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066B6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eastAsia" w:eastAsiaTheme="minorEastAsia"/>
          <w:sz w:val="32"/>
          <w:highlight w:val="none"/>
          <w:lang w:val="en-US" w:eastAsia="zh-CN"/>
        </w:rPr>
      </w:pPr>
    </w:p>
    <w:p w14:paraId="6271A0BA">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eastAsia" w:eastAsiaTheme="minorEastAsia"/>
          <w:sz w:val="36"/>
          <w:highlight w:val="none"/>
          <w:lang w:eastAsia="zh-CN"/>
        </w:rPr>
      </w:pPr>
    </w:p>
    <w:p w14:paraId="30FEBE10">
      <w:pPr>
        <w:jc w:val="center"/>
        <w:rPr>
          <w:rFonts w:eastAsiaTheme="minorEastAsia"/>
          <w:sz w:val="36"/>
          <w:highlight w:val="none"/>
        </w:rPr>
      </w:pPr>
    </w:p>
    <w:p w14:paraId="2BEFA17E">
      <w:pPr>
        <w:keepNext w:val="0"/>
        <w:keepLines w:val="0"/>
        <w:pageBreakBefore w:val="0"/>
        <w:widowControl w:val="0"/>
        <w:kinsoku/>
        <w:wordWrap w:val="0"/>
        <w:overflowPunct/>
        <w:topLinePunct w:val="0"/>
        <w:autoSpaceDE/>
        <w:autoSpaceDN/>
        <w:bidi w:val="0"/>
        <w:adjustRightInd w:val="0"/>
        <w:snapToGrid w:val="0"/>
        <w:spacing w:line="640" w:lineRule="exact"/>
        <w:ind w:firstLine="0" w:firstLineChars="0"/>
        <w:jc w:val="center"/>
        <w:textAlignment w:val="auto"/>
        <w:outlineLvl w:val="9"/>
        <w:rPr>
          <w:rFonts w:hint="eastAsia" w:eastAsiaTheme="minorEastAsia"/>
          <w:sz w:val="44"/>
          <w:szCs w:val="44"/>
          <w:highlight w:val="none"/>
          <w:lang w:eastAsia="zh-CN"/>
        </w:rPr>
      </w:pPr>
      <w:r>
        <w:rPr>
          <w:rFonts w:hint="eastAsia" w:ascii="黑体" w:hAnsi="黑体" w:eastAsia="黑体" w:cs="黑体"/>
          <w:sz w:val="36"/>
          <w:szCs w:val="36"/>
          <w:highlight w:val="none"/>
          <w:lang w:eastAsia="zh-CN"/>
        </w:rPr>
        <w:t>黑龙江省奇福圆环保科技有限公司项目</w:t>
      </w:r>
    </w:p>
    <w:p w14:paraId="3482E095">
      <w:pPr>
        <w:keepNext w:val="0"/>
        <w:keepLines w:val="0"/>
        <w:pageBreakBefore w:val="0"/>
        <w:widowControl w:val="0"/>
        <w:kinsoku/>
        <w:wordWrap w:val="0"/>
        <w:overflowPunct/>
        <w:topLinePunct w:val="0"/>
        <w:autoSpaceDE/>
        <w:autoSpaceDN/>
        <w:bidi w:val="0"/>
        <w:adjustRightInd w:val="0"/>
        <w:snapToGrid w:val="0"/>
        <w:spacing w:line="640" w:lineRule="exact"/>
        <w:ind w:firstLine="0" w:firstLineChars="0"/>
        <w:jc w:val="center"/>
        <w:textAlignment w:val="auto"/>
        <w:outlineLvl w:val="9"/>
        <w:rPr>
          <w:rFonts w:eastAsiaTheme="minorEastAsia"/>
          <w:sz w:val="44"/>
          <w:szCs w:val="44"/>
          <w:highlight w:val="none"/>
        </w:rPr>
      </w:pPr>
    </w:p>
    <w:p w14:paraId="0F37248D">
      <w:pPr>
        <w:keepNext w:val="0"/>
        <w:keepLines w:val="0"/>
        <w:pageBreakBefore w:val="0"/>
        <w:widowControl w:val="0"/>
        <w:kinsoku/>
        <w:wordWrap w:val="0"/>
        <w:overflowPunct/>
        <w:topLinePunct w:val="0"/>
        <w:autoSpaceDE/>
        <w:autoSpaceDN/>
        <w:bidi w:val="0"/>
        <w:adjustRightInd w:val="0"/>
        <w:snapToGrid w:val="0"/>
        <w:spacing w:line="720" w:lineRule="auto"/>
        <w:ind w:firstLine="0" w:firstLineChars="0"/>
        <w:jc w:val="center"/>
        <w:textAlignment w:val="auto"/>
        <w:outlineLvl w:val="9"/>
        <w:rPr>
          <w:rFonts w:hint="eastAsia" w:ascii="方正小标宋简体" w:hAnsi="方正小标宋简体" w:eastAsia="方正小标宋简体" w:cs="方正小标宋简体"/>
          <w:b/>
          <w:bCs/>
          <w:spacing w:val="36"/>
          <w:sz w:val="84"/>
          <w:highlight w:val="none"/>
        </w:rPr>
      </w:pPr>
      <w:r>
        <w:rPr>
          <w:rFonts w:hint="eastAsia" w:ascii="方正小标宋简体" w:hAnsi="方正小标宋简体" w:eastAsia="方正小标宋简体" w:cs="方正小标宋简体"/>
          <w:b/>
          <w:bCs/>
          <w:spacing w:val="36"/>
          <w:sz w:val="84"/>
          <w:highlight w:val="none"/>
        </w:rPr>
        <w:t>环境影响报告书</w:t>
      </w:r>
    </w:p>
    <w:p w14:paraId="5DFA6ACD">
      <w:pPr>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outlineLvl w:val="9"/>
        <w:rPr>
          <w:rFonts w:eastAsiaTheme="minorEastAsia"/>
          <w:b/>
          <w:bCs/>
          <w:sz w:val="30"/>
          <w:szCs w:val="30"/>
          <w:highlight w:val="none"/>
        </w:rPr>
      </w:pPr>
    </w:p>
    <w:p w14:paraId="6804280D">
      <w:pPr>
        <w:keepNext w:val="0"/>
        <w:keepLines w:val="0"/>
        <w:pageBreakBefore w:val="0"/>
        <w:widowControl w:val="0"/>
        <w:kinsoku/>
        <w:wordWrap w:val="0"/>
        <w:overflowPunct/>
        <w:topLinePunct w:val="0"/>
        <w:autoSpaceDE/>
        <w:autoSpaceDN/>
        <w:bidi w:val="0"/>
        <w:adjustRightInd w:val="0"/>
        <w:snapToGrid w:val="0"/>
        <w:jc w:val="center"/>
        <w:textAlignment w:val="auto"/>
        <w:outlineLvl w:val="9"/>
        <w:rPr>
          <w:rFonts w:eastAsiaTheme="minorEastAsia"/>
          <w:sz w:val="30"/>
          <w:highlight w:val="none"/>
        </w:rPr>
      </w:pPr>
    </w:p>
    <w:p w14:paraId="3D94E8DD">
      <w:pPr>
        <w:keepNext w:val="0"/>
        <w:keepLines w:val="0"/>
        <w:pageBreakBefore w:val="0"/>
        <w:widowControl w:val="0"/>
        <w:kinsoku/>
        <w:wordWrap w:val="0"/>
        <w:overflowPunct/>
        <w:topLinePunct w:val="0"/>
        <w:autoSpaceDE/>
        <w:autoSpaceDN/>
        <w:bidi w:val="0"/>
        <w:adjustRightInd w:val="0"/>
        <w:snapToGrid w:val="0"/>
        <w:jc w:val="center"/>
        <w:textAlignment w:val="auto"/>
        <w:outlineLvl w:val="9"/>
        <w:rPr>
          <w:rFonts w:hint="eastAsia" w:eastAsiaTheme="minorEastAsia"/>
          <w:sz w:val="28"/>
          <w:highlight w:val="none"/>
          <w:lang w:eastAsia="zh-CN"/>
        </w:rPr>
      </w:pPr>
      <w:r>
        <w:rPr>
          <w:rFonts w:hint="eastAsia" w:eastAsiaTheme="minorEastAsia"/>
          <w:sz w:val="28"/>
          <w:highlight w:val="none"/>
          <w:lang w:eastAsia="zh-CN"/>
        </w:rPr>
        <w:t>（公示版）</w:t>
      </w:r>
    </w:p>
    <w:p w14:paraId="03336FBA">
      <w:pPr>
        <w:keepNext w:val="0"/>
        <w:keepLines w:val="0"/>
        <w:pageBreakBefore w:val="0"/>
        <w:widowControl w:val="0"/>
        <w:kinsoku/>
        <w:wordWrap w:val="0"/>
        <w:overflowPunct/>
        <w:topLinePunct w:val="0"/>
        <w:autoSpaceDE/>
        <w:autoSpaceDN/>
        <w:bidi w:val="0"/>
        <w:adjustRightInd w:val="0"/>
        <w:snapToGrid w:val="0"/>
        <w:jc w:val="center"/>
        <w:textAlignment w:val="auto"/>
        <w:outlineLvl w:val="9"/>
        <w:rPr>
          <w:rFonts w:eastAsiaTheme="minorEastAsia"/>
          <w:b/>
          <w:sz w:val="36"/>
          <w:szCs w:val="36"/>
          <w:highlight w:val="none"/>
        </w:rPr>
      </w:pPr>
    </w:p>
    <w:p w14:paraId="64920639">
      <w:pPr>
        <w:keepNext w:val="0"/>
        <w:keepLines w:val="0"/>
        <w:pageBreakBefore w:val="0"/>
        <w:widowControl w:val="0"/>
        <w:kinsoku/>
        <w:wordWrap w:val="0"/>
        <w:overflowPunct/>
        <w:topLinePunct w:val="0"/>
        <w:autoSpaceDE/>
        <w:autoSpaceDN/>
        <w:bidi w:val="0"/>
        <w:adjustRightInd w:val="0"/>
        <w:snapToGrid w:val="0"/>
        <w:jc w:val="center"/>
        <w:textAlignment w:val="auto"/>
        <w:outlineLvl w:val="9"/>
        <w:rPr>
          <w:rFonts w:eastAsiaTheme="minorEastAsia"/>
          <w:sz w:val="28"/>
          <w:highlight w:val="none"/>
        </w:rPr>
      </w:pPr>
    </w:p>
    <w:p w14:paraId="2F66B424">
      <w:pPr>
        <w:keepNext w:val="0"/>
        <w:keepLines w:val="0"/>
        <w:pageBreakBefore w:val="0"/>
        <w:widowControl w:val="0"/>
        <w:kinsoku/>
        <w:wordWrap w:val="0"/>
        <w:overflowPunct/>
        <w:topLinePunct w:val="0"/>
        <w:autoSpaceDE/>
        <w:autoSpaceDN/>
        <w:bidi w:val="0"/>
        <w:adjustRightInd w:val="0"/>
        <w:snapToGrid w:val="0"/>
        <w:jc w:val="center"/>
        <w:textAlignment w:val="auto"/>
        <w:outlineLvl w:val="9"/>
        <w:rPr>
          <w:rFonts w:eastAsiaTheme="minorEastAsia"/>
          <w:sz w:val="28"/>
          <w:highlight w:val="none"/>
        </w:rPr>
      </w:pPr>
    </w:p>
    <w:p w14:paraId="0CA3387E">
      <w:pPr>
        <w:keepNext w:val="0"/>
        <w:keepLines w:val="0"/>
        <w:pageBreakBefore w:val="0"/>
        <w:widowControl w:val="0"/>
        <w:kinsoku/>
        <w:wordWrap w:val="0"/>
        <w:overflowPunct/>
        <w:topLinePunct w:val="0"/>
        <w:autoSpaceDE/>
        <w:autoSpaceDN/>
        <w:bidi w:val="0"/>
        <w:adjustRightInd w:val="0"/>
        <w:snapToGrid w:val="0"/>
        <w:jc w:val="center"/>
        <w:textAlignment w:val="auto"/>
        <w:outlineLvl w:val="9"/>
        <w:rPr>
          <w:rFonts w:eastAsiaTheme="minorEastAsia"/>
          <w:sz w:val="28"/>
          <w:highlight w:val="none"/>
        </w:rPr>
      </w:pPr>
    </w:p>
    <w:p w14:paraId="7E5E7B56">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outlineLvl w:val="9"/>
        <w:rPr>
          <w:rFonts w:eastAsiaTheme="minorEastAsia"/>
          <w:sz w:val="28"/>
          <w:highlight w:val="none"/>
        </w:rPr>
      </w:pPr>
    </w:p>
    <w:p w14:paraId="52956067">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outlineLvl w:val="9"/>
        <w:rPr>
          <w:rFonts w:hint="eastAsia" w:ascii="黑体" w:hAnsi="黑体" w:eastAsia="黑体" w:cs="黑体"/>
          <w:b/>
          <w:sz w:val="32"/>
          <w:szCs w:val="32"/>
          <w:highlight w:val="none"/>
          <w:lang w:eastAsia="zh-CN"/>
        </w:rPr>
      </w:pPr>
      <w:bookmarkStart w:id="0" w:name="_Toc26979"/>
      <w:bookmarkStart w:id="1" w:name="_Toc5010"/>
      <w:r>
        <w:rPr>
          <w:rFonts w:hint="eastAsia" w:ascii="黑体" w:hAnsi="黑体" w:eastAsia="黑体" w:cs="黑体"/>
          <w:b/>
          <w:sz w:val="32"/>
          <w:szCs w:val="32"/>
          <w:highlight w:val="none"/>
        </w:rPr>
        <w:t>建设单位：</w:t>
      </w:r>
      <w:bookmarkEnd w:id="0"/>
      <w:bookmarkEnd w:id="1"/>
      <w:r>
        <w:rPr>
          <w:rFonts w:hint="eastAsia" w:ascii="黑体" w:hAnsi="黑体" w:eastAsia="黑体" w:cs="黑体"/>
          <w:b/>
          <w:sz w:val="32"/>
          <w:szCs w:val="32"/>
          <w:highlight w:val="none"/>
          <w:lang w:eastAsia="zh-CN"/>
        </w:rPr>
        <w:t>黑龙江省奇福圆环保科技有限公司</w:t>
      </w:r>
    </w:p>
    <w:p w14:paraId="742B9C10">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outlineLvl w:val="9"/>
        <w:rPr>
          <w:rFonts w:eastAsiaTheme="minorEastAsia"/>
          <w:b/>
          <w:sz w:val="28"/>
          <w:highlight w:val="none"/>
        </w:rPr>
      </w:pPr>
      <w:bookmarkStart w:id="2" w:name="_Toc967"/>
      <w:bookmarkStart w:id="3" w:name="_Toc17219"/>
      <w:r>
        <w:rPr>
          <w:rFonts w:hint="eastAsia" w:ascii="黑体" w:hAnsi="黑体" w:eastAsia="黑体" w:cs="黑体"/>
          <w:b/>
          <w:sz w:val="32"/>
          <w:szCs w:val="32"/>
          <w:highlight w:val="none"/>
        </w:rPr>
        <w:t>编制单位：哈尔滨茸昌环保科技有限公司</w:t>
      </w:r>
      <w:bookmarkEnd w:id="2"/>
      <w:bookmarkEnd w:id="3"/>
    </w:p>
    <w:p w14:paraId="3FE83205">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outlineLvl w:val="9"/>
        <w:rPr>
          <w:rFonts w:hint="eastAsia" w:ascii="黑体" w:hAnsi="黑体" w:eastAsia="黑体" w:cs="黑体"/>
          <w:b/>
          <w:sz w:val="28"/>
          <w:highlight w:val="none"/>
        </w:rPr>
        <w:sectPr>
          <w:headerReference r:id="rId5" w:type="default"/>
          <w:footerReference r:id="rId6"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upperRoman" w:start="1"/>
          <w:cols w:space="720" w:num="1"/>
          <w:docGrid w:type="lines" w:linePitch="312" w:charSpace="0"/>
        </w:sectPr>
      </w:pPr>
      <w:r>
        <w:rPr>
          <w:rFonts w:hint="eastAsia" w:ascii="黑体" w:hAnsi="黑体" w:eastAsia="黑体" w:cs="黑体"/>
          <w:b/>
          <w:sz w:val="28"/>
          <w:highlight w:val="none"/>
        </w:rPr>
        <w:t>编制日期：</w:t>
      </w:r>
      <w:r>
        <w:rPr>
          <w:rFonts w:hint="eastAsia" w:ascii="黑体" w:hAnsi="黑体" w:eastAsia="黑体" w:cs="黑体"/>
          <w:b/>
          <w:sz w:val="28"/>
          <w:highlight w:val="none"/>
          <w:lang w:val="en-US" w:eastAsia="zh-CN"/>
        </w:rPr>
        <w:t>二零二六</w:t>
      </w:r>
      <w:r>
        <w:rPr>
          <w:rFonts w:hint="eastAsia" w:ascii="黑体" w:hAnsi="黑体" w:eastAsia="黑体" w:cs="黑体"/>
          <w:b/>
          <w:sz w:val="28"/>
          <w:highlight w:val="none"/>
        </w:rPr>
        <w:t>年</w:t>
      </w:r>
      <w:r>
        <w:rPr>
          <w:rFonts w:hint="eastAsia" w:ascii="黑体" w:hAnsi="黑体" w:eastAsia="黑体" w:cs="黑体"/>
          <w:b/>
          <w:sz w:val="28"/>
          <w:highlight w:val="none"/>
          <w:lang w:val="en-US" w:eastAsia="zh-CN"/>
        </w:rPr>
        <w:t>二</w:t>
      </w:r>
      <w:r>
        <w:rPr>
          <w:rFonts w:hint="eastAsia" w:ascii="黑体" w:hAnsi="黑体" w:eastAsia="黑体" w:cs="黑体"/>
          <w:b/>
          <w:sz w:val="28"/>
          <w:highlight w:val="none"/>
        </w:rPr>
        <w:t>月</w:t>
      </w:r>
    </w:p>
    <w:p w14:paraId="6FA14FD2">
      <w:pPr>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default" w:eastAsia="宋体"/>
          <w:highlight w:val="none"/>
          <w:lang w:val="en-US" w:eastAsia="zh-CN"/>
        </w:rPr>
        <w:sectPr>
          <w:headerReference r:id="rId7" w:type="default"/>
          <w:footerReference r:id="rId8"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start="1"/>
          <w:cols w:space="425" w:num="1"/>
          <w:docGrid w:type="lines" w:linePitch="312" w:charSpace="0"/>
        </w:sectPr>
      </w:pPr>
      <w:r>
        <w:rPr>
          <w:rFonts w:hint="eastAsia"/>
          <w:highlight w:val="none"/>
          <w:lang w:val="en-US" w:eastAsia="zh-CN"/>
        </w:rPr>
        <w:t xml:space="preserve"> </w:t>
      </w:r>
    </w:p>
    <w:sdt>
      <w:sdtPr>
        <w:rPr>
          <w:rFonts w:ascii="宋体" w:hAnsi="宋体" w:eastAsia="宋体" w:cs="Times New Roman"/>
          <w:b/>
          <w:bCs/>
          <w:kern w:val="2"/>
          <w:sz w:val="36"/>
          <w:szCs w:val="36"/>
          <w:highlight w:val="none"/>
          <w:lang w:val="en-US" w:eastAsia="zh-CN" w:bidi="ar-SA"/>
        </w:rPr>
        <w:id w:val="147480631"/>
        <w15:color w:val="DBDBDB"/>
        <w:docPartObj>
          <w:docPartGallery w:val="Table of Contents"/>
          <w:docPartUnique/>
        </w:docPartObj>
      </w:sdtPr>
      <w:sdtEndPr>
        <w:rPr>
          <w:rFonts w:hint="default" w:ascii="Times New Roman" w:hAnsi="Times New Roman" w:eastAsia="宋体" w:cs="Times New Roman"/>
          <w:b w:val="0"/>
          <w:bCs w:val="0"/>
          <w:kern w:val="2"/>
          <w:sz w:val="21"/>
          <w:szCs w:val="24"/>
          <w:highlight w:val="none"/>
          <w:lang w:val="en-US" w:eastAsia="zh-CN" w:bidi="ar-SA"/>
        </w:rPr>
      </w:sdtEndPr>
      <w:sdtContent>
        <w:p w14:paraId="5B3E31AF">
          <w:pPr>
            <w:spacing w:before="0" w:beforeLines="0" w:after="0" w:afterLines="0" w:line="240" w:lineRule="auto"/>
            <w:ind w:left="0" w:leftChars="0" w:right="0" w:rightChars="0" w:firstLine="0" w:firstLineChars="0"/>
            <w:jc w:val="center"/>
            <w:rPr>
              <w:b/>
              <w:bCs/>
              <w:sz w:val="36"/>
              <w:szCs w:val="36"/>
              <w:highlight w:val="none"/>
            </w:rPr>
          </w:pPr>
          <w:bookmarkStart w:id="4" w:name="_Toc2700"/>
          <w:bookmarkStart w:id="5" w:name="_Toc415"/>
          <w:bookmarkStart w:id="6" w:name="_Toc15671"/>
          <w:r>
            <w:rPr>
              <w:rFonts w:ascii="宋体" w:hAnsi="宋体" w:eastAsia="宋体"/>
              <w:b/>
              <w:bCs/>
              <w:sz w:val="36"/>
              <w:szCs w:val="36"/>
              <w:highlight w:val="none"/>
            </w:rPr>
            <w:t>目</w:t>
          </w:r>
          <w:r>
            <w:rPr>
              <w:rFonts w:hint="eastAsia" w:ascii="宋体" w:hAnsi="宋体"/>
              <w:b/>
              <w:bCs/>
              <w:sz w:val="36"/>
              <w:szCs w:val="36"/>
              <w:highlight w:val="none"/>
              <w:lang w:val="en-US" w:eastAsia="zh-CN"/>
            </w:rPr>
            <w:t xml:space="preserve">  </w:t>
          </w:r>
          <w:r>
            <w:rPr>
              <w:rFonts w:ascii="宋体" w:hAnsi="宋体" w:eastAsia="宋体"/>
              <w:b/>
              <w:bCs/>
              <w:sz w:val="36"/>
              <w:szCs w:val="36"/>
              <w:highlight w:val="none"/>
            </w:rPr>
            <w:t>录</w:t>
          </w:r>
        </w:p>
        <w:p w14:paraId="62138241">
          <w:pPr>
            <w:pStyle w:val="31"/>
            <w:keepNext w:val="0"/>
            <w:keepLines w:val="0"/>
            <w:pageBreakBefore w:val="0"/>
            <w:widowControl w:val="0"/>
            <w:tabs>
              <w:tab w:val="right" w:leader="dot" w:pos="8306"/>
              <w:tab w:val="clear" w:pos="8302"/>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cs="Times New Roman"/>
              <w:b w:val="0"/>
              <w:bCs w:val="0"/>
              <w:highlight w:val="none"/>
            </w:rPr>
            <w:fldChar w:fldCharType="begin"/>
          </w:r>
          <w:r>
            <w:rPr>
              <w:rFonts w:hint="default" w:ascii="Times New Roman" w:hAnsi="Times New Roman" w:cs="Times New Roman"/>
              <w:b w:val="0"/>
              <w:bCs w:val="0"/>
              <w:highlight w:val="none"/>
            </w:rPr>
            <w:instrText xml:space="preserve">TOC \o "1-2" \h \u </w:instrText>
          </w:r>
          <w:r>
            <w:rPr>
              <w:rFonts w:hint="default" w:ascii="Times New Roman" w:hAnsi="Times New Roman" w:cs="Times New Roman"/>
              <w:b w:val="0"/>
              <w:bCs w:val="0"/>
              <w:highlight w:val="none"/>
            </w:rPr>
            <w:fldChar w:fldCharType="separate"/>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_Toc29934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1概述</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_Toc29934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5B22753">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_Toc26507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1.1项目由来</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_Toc26507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1B471F0C">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_Toc19177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1.2项目特点</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_Toc19177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5AA1EB13">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_Toc859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1.3环境影响评价工作过程</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_Toc859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0E9E9D35">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_Toc13784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1.4分析判定相关情况</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_Toc13784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6</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2EB92B5D">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_Toc16540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1.5关注的主要环境问题</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_Toc16540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48</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2C6232EB">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_Toc22670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1.6环境影响评价主要结论</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_Toc22670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48</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67FEF231">
          <w:pPr>
            <w:pStyle w:val="31"/>
            <w:keepNext w:val="0"/>
            <w:keepLines w:val="0"/>
            <w:pageBreakBefore w:val="0"/>
            <w:widowControl w:val="0"/>
            <w:tabs>
              <w:tab w:val="right" w:leader="dot" w:pos="8306"/>
              <w:tab w:val="clear" w:pos="8302"/>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_Toc19241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2总则</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_Toc19241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49</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4CBC52C3">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_Toc23154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2.1编制依据</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_Toc23154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49</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79BF7987">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_Toc29696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2.2环境影响因素识别与评价因子筛选</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_Toc29696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52</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4EE9E974">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_Toc6919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2.3评价标准</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_Toc6919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54</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CC0780B">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_Toc11531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2.4评价工作等级</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_Toc11531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59</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1D0B1ED3">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_Toc31526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2.5评价范围及评价时段</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_Toc31526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69</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53BCF705">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_Toc30730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2.6环境功能区划</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_Toc30730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70</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27320999">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_Toc12465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2.7主要环境保护目标</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_Toc12465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70</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1E34C203">
          <w:pPr>
            <w:pStyle w:val="31"/>
            <w:keepNext w:val="0"/>
            <w:keepLines w:val="0"/>
            <w:pageBreakBefore w:val="0"/>
            <w:widowControl w:val="0"/>
            <w:tabs>
              <w:tab w:val="right" w:leader="dot" w:pos="8306"/>
              <w:tab w:val="clear" w:pos="8302"/>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_Toc2548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3建设项目工程分析</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_Toc2548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72</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2AA38B73">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_Toc244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3.1现有工程基本情况</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_Toc244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72</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8B93977">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_Toc11855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3.</w:t>
          </w:r>
          <w:r>
            <w:rPr>
              <w:rFonts w:hint="default" w:ascii="Times New Roman" w:hAnsi="Times New Roman" w:eastAsia="宋体" w:cs="Times New Roman"/>
              <w:b w:val="0"/>
              <w:bCs w:val="0"/>
              <w:sz w:val="24"/>
              <w:szCs w:val="24"/>
              <w:highlight w:val="none"/>
              <w:lang w:val="en-US" w:eastAsia="zh-CN"/>
            </w:rPr>
            <w:t>2项目概况</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_Toc11855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91</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48691960">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_Toc24348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3.</w:t>
          </w:r>
          <w:r>
            <w:rPr>
              <w:rFonts w:hint="eastAsia"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rPr>
            <w:t>工程分析</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_Toc24348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103</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1B0CC5F7">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_Toc4682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3.</w:t>
          </w:r>
          <w:r>
            <w:rPr>
              <w:rFonts w:hint="eastAsia"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rPr>
            <w:t>污染源源强核算</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_Toc4682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114</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8098C47">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_Toc7584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3.</w:t>
          </w:r>
          <w:r>
            <w:rPr>
              <w:rFonts w:hint="eastAsia"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rPr>
            <w:t>清洁生产</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_Toc7584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136</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D4B38D7">
          <w:pPr>
            <w:pStyle w:val="31"/>
            <w:keepNext w:val="0"/>
            <w:keepLines w:val="0"/>
            <w:pageBreakBefore w:val="0"/>
            <w:widowControl w:val="0"/>
            <w:tabs>
              <w:tab w:val="right" w:leader="dot" w:pos="8306"/>
              <w:tab w:val="clear" w:pos="8302"/>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_Toc13604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4环境现状调查与评价</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_Toc13604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138</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5089D71E">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_Toc28549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4.1自然环境概况</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_Toc28549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138</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523363B7">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_Toc8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4.2环境质量现状调查</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_Toc8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148</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124EDF15">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_Toc2107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4.3环境保护目标调查</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_Toc2107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180</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0EA31CB8">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_Toc6237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4.4区域污染源调查</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_Toc6237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181</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136E0B13">
          <w:pPr>
            <w:pStyle w:val="31"/>
            <w:keepNext w:val="0"/>
            <w:keepLines w:val="0"/>
            <w:pageBreakBefore w:val="0"/>
            <w:widowControl w:val="0"/>
            <w:tabs>
              <w:tab w:val="right" w:leader="dot" w:pos="8306"/>
              <w:tab w:val="clear" w:pos="8302"/>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_Toc11256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5环境影响预测与评价</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_Toc11256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183</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0BA2739D">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_Toc10895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5.1施工期环境影响分析</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_Toc10895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183</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7DBCF838">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_Toc12865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5.2运行期环境影响预测与评价</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_Toc12865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184</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61BF5DCE">
          <w:pPr>
            <w:pStyle w:val="31"/>
            <w:keepNext w:val="0"/>
            <w:keepLines w:val="0"/>
            <w:pageBreakBefore w:val="0"/>
            <w:widowControl w:val="0"/>
            <w:tabs>
              <w:tab w:val="right" w:leader="dot" w:pos="8306"/>
              <w:tab w:val="clear" w:pos="8302"/>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_Toc16821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6环境保护措施及其可行性论证</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_Toc16821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236</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0116C21">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_Toc19694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6.1施工期环境保护措施及其可行性论证</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_Toc19694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236</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7AE41ED7">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_Toc14071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6.2营运期环境保护措施及其可行性论证</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_Toc14071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237</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4AF554B3">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_Toc27755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6.3环境风险管理</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_Toc27755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250</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2CA805BA">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_Toc27988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6.4环境保护投资</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_Toc27988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254</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243F2EE0">
          <w:pPr>
            <w:pStyle w:val="31"/>
            <w:keepNext w:val="0"/>
            <w:keepLines w:val="0"/>
            <w:pageBreakBefore w:val="0"/>
            <w:widowControl w:val="0"/>
            <w:tabs>
              <w:tab w:val="right" w:leader="dot" w:pos="8306"/>
              <w:tab w:val="clear" w:pos="8302"/>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_Toc21241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7环境影响经济损益分析</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_Toc21241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256</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45B2B204">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_Toc17498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7.1社会经济效益分析</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_Toc17498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256</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FD40DA5">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_Toc14073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7.2经济损益分析</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_Toc14073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257</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1D8A033E">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_Toc16839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7.3环境效益分析</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_Toc16839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257</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60FD993F">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_Toc5255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7.4小结</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_Toc5255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258</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2C9AF3A7">
          <w:pPr>
            <w:pStyle w:val="31"/>
            <w:keepNext w:val="0"/>
            <w:keepLines w:val="0"/>
            <w:pageBreakBefore w:val="0"/>
            <w:widowControl w:val="0"/>
            <w:tabs>
              <w:tab w:val="right" w:leader="dot" w:pos="8306"/>
              <w:tab w:val="clear" w:pos="8302"/>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_Toc12604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8环境管理与监测计划</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_Toc12604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259</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64C22F73">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_Toc4332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8.1环境管理</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_Toc4332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259</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43E2A427">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_Toc12894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8.2环境监测</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_Toc12894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264</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4AAF3DB8">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_Toc9910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8.3环境保护竣工验收</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_Toc9910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269</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1A101228">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_Toc12564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8.4总量控制</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_Toc12564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272</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A42C332">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_Toc18293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8.5与排污许可证制度衔接</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_Toc18293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272</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2F7D6F14">
          <w:pPr>
            <w:pStyle w:val="31"/>
            <w:keepNext w:val="0"/>
            <w:keepLines w:val="0"/>
            <w:pageBreakBefore w:val="0"/>
            <w:widowControl w:val="0"/>
            <w:tabs>
              <w:tab w:val="right" w:leader="dot" w:pos="8306"/>
              <w:tab w:val="clear" w:pos="8302"/>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_Toc24786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9环境影响评价结论</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_Toc24786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274</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6E39704">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_Toc18538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9.1评价结论</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_Toc18538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274</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6D5D646">
          <w:pPr>
            <w:pStyle w:val="35"/>
            <w:keepNext w:val="0"/>
            <w:keepLines w:val="0"/>
            <w:pageBreakBefore w:val="0"/>
            <w:widowControl w:val="0"/>
            <w:tabs>
              <w:tab w:val="right" w:leader="dot" w:pos="8306"/>
              <w:tab w:val="clear" w:pos="8296"/>
            </w:tabs>
            <w:kinsoku/>
            <w:wordWrap w:val="0"/>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highlight w:val="none"/>
            </w:rPr>
          </w:pP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HYPERLINK \l _Toc23305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9.2建议</w:t>
          </w:r>
          <w:r>
            <w:rPr>
              <w:rFonts w:hint="default" w:ascii="Times New Roman" w:hAnsi="Times New Roman" w:eastAsia="宋体" w:cs="Times New Roman"/>
              <w:b w:val="0"/>
              <w:bCs w:val="0"/>
              <w:sz w:val="24"/>
              <w:szCs w:val="24"/>
              <w:highlight w:val="none"/>
            </w:rPr>
            <w:tab/>
          </w:r>
          <w:r>
            <w:rPr>
              <w:rFonts w:hint="default" w:ascii="Times New Roman" w:hAnsi="Times New Roman" w:eastAsia="宋体" w:cs="Times New Roman"/>
              <w:b w:val="0"/>
              <w:bCs w:val="0"/>
              <w:sz w:val="24"/>
              <w:szCs w:val="24"/>
              <w:highlight w:val="none"/>
            </w:rPr>
            <w:fldChar w:fldCharType="begin"/>
          </w:r>
          <w:r>
            <w:rPr>
              <w:rFonts w:hint="default" w:ascii="Times New Roman" w:hAnsi="Times New Roman" w:eastAsia="宋体" w:cs="Times New Roman"/>
              <w:b w:val="0"/>
              <w:bCs w:val="0"/>
              <w:sz w:val="24"/>
              <w:szCs w:val="24"/>
              <w:highlight w:val="none"/>
            </w:rPr>
            <w:instrText xml:space="preserve"> PAGEREF _Toc23305 \h </w:instrText>
          </w:r>
          <w:r>
            <w:rPr>
              <w:rFonts w:hint="default" w:ascii="Times New Roman" w:hAnsi="Times New Roman" w:eastAsia="宋体" w:cs="Times New Roman"/>
              <w:b w:val="0"/>
              <w:bCs w:val="0"/>
              <w:sz w:val="24"/>
              <w:szCs w:val="24"/>
              <w:highlight w:val="none"/>
            </w:rPr>
            <w:fldChar w:fldCharType="separate"/>
          </w:r>
          <w:r>
            <w:rPr>
              <w:rFonts w:hint="default" w:ascii="Times New Roman" w:hAnsi="Times New Roman" w:eastAsia="宋体" w:cs="Times New Roman"/>
              <w:b w:val="0"/>
              <w:bCs w:val="0"/>
              <w:sz w:val="24"/>
              <w:szCs w:val="24"/>
              <w:highlight w:val="none"/>
            </w:rPr>
            <w:t>279</w:t>
          </w:r>
          <w:r>
            <w:rPr>
              <w:rFonts w:hint="default" w:ascii="Times New Roman" w:hAnsi="Times New Roman" w:eastAsia="宋体" w:cs="Times New Roman"/>
              <w:b w:val="0"/>
              <w:bCs w:val="0"/>
              <w:sz w:val="24"/>
              <w:szCs w:val="24"/>
              <w:highlight w:val="none"/>
            </w:rPr>
            <w:fldChar w:fldCharType="end"/>
          </w:r>
          <w:r>
            <w:rPr>
              <w:rFonts w:hint="default" w:ascii="Times New Roman" w:hAnsi="Times New Roman" w:eastAsia="宋体" w:cs="Times New Roman"/>
              <w:b w:val="0"/>
              <w:bCs w:val="0"/>
              <w:sz w:val="24"/>
              <w:szCs w:val="24"/>
              <w:highlight w:val="none"/>
            </w:rPr>
            <w:fldChar w:fldCharType="end"/>
          </w:r>
        </w:p>
        <w:p w14:paraId="3D97E71A">
          <w:pPr>
            <w:ind w:left="0" w:leftChars="0" w:firstLine="0" w:firstLineChars="0"/>
            <w:rPr>
              <w:highlight w:val="none"/>
            </w:rPr>
          </w:pPr>
          <w:r>
            <w:rPr>
              <w:rFonts w:hint="default" w:ascii="Times New Roman" w:hAnsi="Times New Roman" w:cs="Times New Roman"/>
              <w:b w:val="0"/>
              <w:bCs w:val="0"/>
              <w:highlight w:val="none"/>
            </w:rPr>
            <w:fldChar w:fldCharType="end"/>
          </w:r>
        </w:p>
      </w:sdtContent>
    </w:sdt>
    <w:bookmarkEnd w:id="4"/>
    <w:bookmarkEnd w:id="5"/>
    <w:bookmarkEnd w:id="6"/>
    <w:p w14:paraId="108A5F9E">
      <w:pPr>
        <w:bidi w:val="0"/>
        <w:rPr>
          <w:highlight w:val="none"/>
        </w:rPr>
      </w:pPr>
      <w:bookmarkStart w:id="7" w:name="_Toc21199"/>
      <w:bookmarkStart w:id="8" w:name="_Toc31745"/>
      <w:bookmarkStart w:id="9" w:name="_Toc28461"/>
      <w:r>
        <w:rPr>
          <w:highlight w:val="none"/>
        </w:rPr>
        <w:t>附件1：营业执照</w:t>
      </w:r>
      <w:bookmarkEnd w:id="7"/>
      <w:bookmarkEnd w:id="8"/>
      <w:bookmarkEnd w:id="9"/>
    </w:p>
    <w:p w14:paraId="613DC35A">
      <w:pPr>
        <w:bidi w:val="0"/>
        <w:rPr>
          <w:highlight w:val="none"/>
        </w:rPr>
      </w:pPr>
      <w:r>
        <w:rPr>
          <w:highlight w:val="none"/>
        </w:rPr>
        <w:t>附件2：土地手续</w:t>
      </w:r>
    </w:p>
    <w:p w14:paraId="0BA9CF11">
      <w:pPr>
        <w:bidi w:val="0"/>
        <w:rPr>
          <w:highlight w:val="none"/>
        </w:rPr>
      </w:pPr>
      <w:bookmarkStart w:id="10" w:name="_Toc14798"/>
      <w:bookmarkStart w:id="11" w:name="_Toc12162"/>
      <w:r>
        <w:rPr>
          <w:highlight w:val="none"/>
        </w:rPr>
        <w:t>附件</w:t>
      </w:r>
      <w:r>
        <w:rPr>
          <w:rFonts w:hint="eastAsia"/>
          <w:highlight w:val="none"/>
          <w:lang w:val="en-US" w:eastAsia="zh-CN"/>
        </w:rPr>
        <w:t>3</w:t>
      </w:r>
      <w:r>
        <w:rPr>
          <w:highlight w:val="none"/>
        </w:rPr>
        <w:t>：核定总量计算说明</w:t>
      </w:r>
      <w:bookmarkEnd w:id="10"/>
      <w:bookmarkEnd w:id="11"/>
    </w:p>
    <w:p w14:paraId="7AECAF8B">
      <w:pPr>
        <w:bidi w:val="0"/>
        <w:rPr>
          <w:highlight w:val="none"/>
        </w:rPr>
      </w:pPr>
      <w:bookmarkStart w:id="12" w:name="_Toc29134"/>
      <w:bookmarkStart w:id="13" w:name="_Toc14458"/>
      <w:r>
        <w:rPr>
          <w:highlight w:val="none"/>
        </w:rPr>
        <w:t>附件</w:t>
      </w:r>
      <w:r>
        <w:rPr>
          <w:rFonts w:hint="eastAsia"/>
          <w:highlight w:val="none"/>
          <w:lang w:val="en-US" w:eastAsia="zh-CN"/>
        </w:rPr>
        <w:t>4</w:t>
      </w:r>
      <w:r>
        <w:rPr>
          <w:highlight w:val="none"/>
        </w:rPr>
        <w:t>：监测报告</w:t>
      </w:r>
      <w:bookmarkEnd w:id="12"/>
      <w:bookmarkEnd w:id="13"/>
    </w:p>
    <w:p w14:paraId="50313F31">
      <w:pPr>
        <w:bidi w:val="0"/>
        <w:rPr>
          <w:rFonts w:hint="eastAsia" w:ascii="Times New Roman" w:hAnsi="Times New Roman" w:cs="Times New Roman"/>
          <w:highlight w:val="none"/>
          <w:lang w:val="en-US" w:eastAsia="zh-CN"/>
        </w:rPr>
      </w:pPr>
      <w:bookmarkStart w:id="14" w:name="_Toc20271"/>
      <w:bookmarkStart w:id="15" w:name="_Toc6012"/>
      <w:r>
        <w:rPr>
          <w:highlight w:val="none"/>
        </w:rPr>
        <w:t>附件</w:t>
      </w:r>
      <w:r>
        <w:rPr>
          <w:rFonts w:hint="eastAsia"/>
          <w:highlight w:val="none"/>
          <w:lang w:val="en-US" w:eastAsia="zh-CN"/>
        </w:rPr>
        <w:t>5</w:t>
      </w:r>
      <w:bookmarkEnd w:id="14"/>
      <w:bookmarkEnd w:id="15"/>
      <w:bookmarkStart w:id="16" w:name="_Toc1891"/>
      <w:bookmarkStart w:id="17" w:name="_Toc24550"/>
      <w:r>
        <w:rPr>
          <w:rFonts w:hint="eastAsia"/>
          <w:highlight w:val="none"/>
          <w:lang w:val="en-US" w:eastAsia="zh-CN"/>
        </w:rPr>
        <w:t>：生态环境分区管控分析报告</w:t>
      </w:r>
      <w:bookmarkEnd w:id="16"/>
      <w:bookmarkEnd w:id="17"/>
    </w:p>
    <w:p w14:paraId="592F6681">
      <w:pPr>
        <w:bidi w:val="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附件</w:t>
      </w:r>
      <w:r>
        <w:rPr>
          <w:rFonts w:hint="eastAsia" w:cs="Times New Roman"/>
          <w:highlight w:val="none"/>
          <w:lang w:val="en-US" w:eastAsia="zh-CN"/>
        </w:rPr>
        <w:t>6</w:t>
      </w:r>
      <w:r>
        <w:rPr>
          <w:rFonts w:hint="eastAsia" w:ascii="Times New Roman" w:hAnsi="Times New Roman" w:cs="Times New Roman"/>
          <w:highlight w:val="none"/>
          <w:lang w:val="en-US" w:eastAsia="zh-CN"/>
        </w:rPr>
        <w:t>：类比项目监测报告</w:t>
      </w:r>
    </w:p>
    <w:p w14:paraId="77FBA894">
      <w:pPr>
        <w:bidi w:val="0"/>
        <w:rPr>
          <w:rFonts w:hint="eastAsia" w:ascii="Times New Roman" w:hAnsi="Times New Roman" w:eastAsia="宋体" w:cs="Times New Roman"/>
          <w:highlight w:val="none"/>
          <w:lang w:val="en-US" w:eastAsia="zh-CN"/>
        </w:rPr>
      </w:pPr>
      <w:r>
        <w:rPr>
          <w:highlight w:val="none"/>
        </w:rPr>
        <w:t>附</w:t>
      </w:r>
      <w:r>
        <w:rPr>
          <w:rFonts w:hint="eastAsia" w:ascii="Times New Roman" w:hAnsi="Times New Roman" w:eastAsia="宋体" w:cs="Times New Roman"/>
          <w:highlight w:val="none"/>
          <w:lang w:val="en-US" w:eastAsia="zh-CN"/>
        </w:rPr>
        <w:t>图1：项目地理位置图</w:t>
      </w:r>
    </w:p>
    <w:p w14:paraId="30821778">
      <w:pPr>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附图2：本项目平面布置图</w:t>
      </w:r>
    </w:p>
    <w:p w14:paraId="56199C75">
      <w:pPr>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附图</w:t>
      </w:r>
      <w:r>
        <w:rPr>
          <w:rFonts w:hint="eastAsia" w:cs="Times New Roman"/>
          <w:highlight w:val="none"/>
          <w:lang w:val="en-US" w:eastAsia="zh-CN"/>
        </w:rPr>
        <w:t>3</w:t>
      </w:r>
      <w:r>
        <w:rPr>
          <w:rFonts w:hint="eastAsia" w:ascii="Times New Roman" w:hAnsi="Times New Roman" w:eastAsia="宋体" w:cs="Times New Roman"/>
          <w:highlight w:val="none"/>
          <w:lang w:val="en-US" w:eastAsia="zh-CN"/>
        </w:rPr>
        <w:t>：项目评价范围与敏感目标分布图</w:t>
      </w:r>
    </w:p>
    <w:p w14:paraId="44740F64">
      <w:pPr>
        <w:bidi w:val="0"/>
        <w:rPr>
          <w:rFonts w:hint="eastAsia"/>
          <w:highlight w:val="none"/>
          <w:lang w:val="en-US" w:eastAsia="zh-CN"/>
        </w:rPr>
      </w:pPr>
      <w:r>
        <w:rPr>
          <w:rFonts w:hint="eastAsia"/>
          <w:highlight w:val="none"/>
          <w:lang w:val="en-US" w:eastAsia="zh-CN"/>
        </w:rPr>
        <w:t>附表</w:t>
      </w:r>
    </w:p>
    <w:p w14:paraId="67267978">
      <w:pPr>
        <w:bidi w:val="0"/>
        <w:rPr>
          <w:highlight w:val="none"/>
        </w:rPr>
      </w:pPr>
      <w:bookmarkStart w:id="18" w:name="_Toc27138"/>
      <w:bookmarkStart w:id="19" w:name="_Toc1857"/>
      <w:bookmarkStart w:id="20" w:name="_Toc6622"/>
      <w:r>
        <w:rPr>
          <w:highlight w:val="none"/>
        </w:rPr>
        <w:t>建设项目大气环境影响评价自查表</w:t>
      </w:r>
      <w:bookmarkEnd w:id="18"/>
      <w:bookmarkEnd w:id="19"/>
      <w:bookmarkEnd w:id="20"/>
    </w:p>
    <w:p w14:paraId="4C206E53">
      <w:pPr>
        <w:bidi w:val="0"/>
        <w:rPr>
          <w:highlight w:val="none"/>
        </w:rPr>
      </w:pPr>
      <w:bookmarkStart w:id="21" w:name="_Toc26150"/>
      <w:bookmarkStart w:id="22" w:name="_Toc2996"/>
      <w:bookmarkStart w:id="23" w:name="_Toc19558"/>
      <w:r>
        <w:rPr>
          <w:highlight w:val="none"/>
        </w:rPr>
        <w:t>地表水环境影响评价自查表</w:t>
      </w:r>
      <w:bookmarkEnd w:id="21"/>
      <w:bookmarkEnd w:id="22"/>
      <w:bookmarkEnd w:id="23"/>
    </w:p>
    <w:p w14:paraId="42B8D170">
      <w:pPr>
        <w:bidi w:val="0"/>
        <w:rPr>
          <w:highlight w:val="none"/>
        </w:rPr>
      </w:pPr>
      <w:r>
        <w:rPr>
          <w:highlight w:val="none"/>
        </w:rPr>
        <w:t>环境风险评价自查表</w:t>
      </w:r>
    </w:p>
    <w:p w14:paraId="2E45522E">
      <w:pPr>
        <w:bidi w:val="0"/>
        <w:rPr>
          <w:rFonts w:hint="eastAsia"/>
          <w:highlight w:val="none"/>
          <w:lang w:eastAsia="zh-CN"/>
        </w:rPr>
      </w:pPr>
      <w:bookmarkStart w:id="24" w:name="_Toc3349"/>
      <w:bookmarkStart w:id="25" w:name="_Toc29052"/>
      <w:bookmarkStart w:id="26" w:name="_Toc30459"/>
      <w:r>
        <w:rPr>
          <w:rFonts w:hint="eastAsia"/>
          <w:highlight w:val="none"/>
          <w:lang w:eastAsia="zh-CN"/>
        </w:rPr>
        <w:t>土壤环境影响评价自查表</w:t>
      </w:r>
      <w:bookmarkEnd w:id="24"/>
      <w:bookmarkEnd w:id="25"/>
      <w:bookmarkEnd w:id="26"/>
    </w:p>
    <w:p w14:paraId="2A8BF59A">
      <w:pPr>
        <w:bidi w:val="0"/>
        <w:rPr>
          <w:rFonts w:hint="eastAsia"/>
          <w:highlight w:val="none"/>
          <w:lang w:eastAsia="zh-CN"/>
        </w:rPr>
      </w:pPr>
      <w:bookmarkStart w:id="27" w:name="_Toc25824"/>
      <w:bookmarkStart w:id="28" w:name="_Toc28712"/>
      <w:bookmarkStart w:id="29" w:name="_Toc32443"/>
      <w:r>
        <w:rPr>
          <w:rFonts w:hint="eastAsia"/>
          <w:highlight w:val="none"/>
          <w:lang w:eastAsia="zh-CN"/>
        </w:rPr>
        <w:t>声环境影响评价自查表</w:t>
      </w:r>
      <w:bookmarkEnd w:id="27"/>
      <w:bookmarkEnd w:id="28"/>
      <w:bookmarkEnd w:id="29"/>
    </w:p>
    <w:p w14:paraId="09505463">
      <w:pPr>
        <w:pStyle w:val="3"/>
        <w:bidi w:val="0"/>
        <w:rPr>
          <w:highlight w:val="none"/>
        </w:rPr>
        <w:sectPr>
          <w:headerReference r:id="rId9" w:type="default"/>
          <w:footerReference r:id="rId10"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start="1"/>
          <w:cols w:space="425" w:num="1"/>
          <w:docGrid w:type="lines" w:linePitch="312" w:charSpace="0"/>
        </w:sectPr>
      </w:pPr>
      <w:bookmarkStart w:id="30" w:name="_Toc3517"/>
      <w:bookmarkStart w:id="31" w:name="_Toc22088"/>
    </w:p>
    <w:p w14:paraId="46D374F8">
      <w:pPr>
        <w:pStyle w:val="3"/>
        <w:bidi w:val="0"/>
        <w:rPr>
          <w:highlight w:val="none"/>
        </w:rPr>
      </w:pPr>
      <w:bookmarkStart w:id="32" w:name="_Toc29934"/>
      <w:r>
        <w:rPr>
          <w:highlight w:val="none"/>
        </w:rPr>
        <w:t>1概述</w:t>
      </w:r>
      <w:bookmarkEnd w:id="30"/>
      <w:bookmarkEnd w:id="31"/>
      <w:bookmarkEnd w:id="32"/>
    </w:p>
    <w:p w14:paraId="7218185F">
      <w:pPr>
        <w:pStyle w:val="4"/>
        <w:bidi w:val="0"/>
        <w:rPr>
          <w:highlight w:val="none"/>
        </w:rPr>
      </w:pPr>
      <w:bookmarkStart w:id="33" w:name="_Toc13636"/>
      <w:bookmarkStart w:id="34" w:name="_Toc10857"/>
      <w:bookmarkStart w:id="35" w:name="_Toc26507"/>
      <w:r>
        <w:rPr>
          <w:highlight w:val="none"/>
        </w:rPr>
        <w:t>1.1项目由来</w:t>
      </w:r>
      <w:bookmarkEnd w:id="33"/>
      <w:bookmarkEnd w:id="34"/>
      <w:bookmarkEnd w:id="35"/>
    </w:p>
    <w:p w14:paraId="0FFAD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kern w:val="2"/>
          <w:sz w:val="24"/>
          <w:szCs w:val="24"/>
          <w:highlight w:val="none"/>
          <w:lang w:val="en-US" w:eastAsia="zh-CN" w:bidi="ar"/>
        </w:rPr>
      </w:pPr>
      <w:bookmarkStart w:id="36" w:name="_Toc15991611"/>
      <w:bookmarkStart w:id="37" w:name="_Toc524431260"/>
      <w:r>
        <w:rPr>
          <w:rFonts w:hint="eastAsia" w:cs="Times New Roman"/>
          <w:kern w:val="2"/>
          <w:sz w:val="24"/>
          <w:szCs w:val="24"/>
          <w:highlight w:val="none"/>
          <w:lang w:val="en-US" w:eastAsia="zh-CN" w:bidi="ar"/>
        </w:rPr>
        <w:t>根据调查，我国存在大量机械加工企业，各类金属制品通常在机加工、磨加工过程中使用润滑油、乳化液等对金属制品表面进行冷却降温和润滑，在加工过程中，金属工件表面的金属层会有一定的磨损，金属屑及零部件中入废油、油水混合物等从而产生含油金属屑。</w:t>
      </w:r>
    </w:p>
    <w:p w14:paraId="1DAA1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kern w:val="2"/>
          <w:sz w:val="24"/>
          <w:szCs w:val="24"/>
          <w:highlight w:val="none"/>
          <w:lang w:val="en-US" w:eastAsia="zh-CN" w:bidi="ar"/>
        </w:rPr>
      </w:pPr>
      <w:r>
        <w:rPr>
          <w:rFonts w:hint="eastAsia" w:cs="Times New Roman"/>
          <w:kern w:val="2"/>
          <w:sz w:val="24"/>
          <w:szCs w:val="24"/>
          <w:highlight w:val="none"/>
          <w:lang w:val="en-US" w:eastAsia="zh-CN" w:bidi="ar"/>
        </w:rPr>
        <w:t>为有效解决社会源危险废物的利用处置问题，建设一个规模化集约化的含油废金属屑综合利用企业，既可减少环境污染，又可回收大量的资源，是一种典型的资源循环利用及固废减量化、资源化、无害化过程，对环境的保护非常有利。</w:t>
      </w:r>
    </w:p>
    <w:p w14:paraId="0E92E0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AnsiTheme="minorEastAsia" w:eastAsiaTheme="minorEastAsia"/>
          <w:bCs/>
          <w:snapToGrid w:val="0"/>
          <w:kern w:val="0"/>
          <w:sz w:val="24"/>
          <w:highlight w:val="none"/>
        </w:rPr>
      </w:pPr>
      <w:r>
        <w:rPr>
          <w:rFonts w:hint="eastAsia" w:cs="Times New Roman"/>
          <w:kern w:val="2"/>
          <w:sz w:val="24"/>
          <w:szCs w:val="24"/>
          <w:highlight w:val="none"/>
          <w:lang w:val="en-US" w:eastAsia="zh-CN" w:bidi="ar"/>
        </w:rPr>
        <w:t>2026年2月，黑龙江省奇福圆环保科技有限公司委托哈尔滨茸昌环保科技</w:t>
      </w:r>
      <w:r>
        <w:rPr>
          <w:rFonts w:hAnsiTheme="minorEastAsia" w:eastAsiaTheme="minorEastAsia"/>
          <w:bCs/>
          <w:snapToGrid w:val="0"/>
          <w:kern w:val="0"/>
          <w:sz w:val="24"/>
          <w:highlight w:val="none"/>
        </w:rPr>
        <w:t>有限公司承担</w:t>
      </w:r>
      <w:r>
        <w:rPr>
          <w:rFonts w:hint="eastAsia" w:eastAsiaTheme="minorEastAsia"/>
          <w:bCs/>
          <w:snapToGrid w:val="0"/>
          <w:kern w:val="0"/>
          <w:sz w:val="24"/>
          <w:highlight w:val="none"/>
          <w:lang w:eastAsia="zh-CN"/>
        </w:rPr>
        <w:t>“</w:t>
      </w:r>
      <w:r>
        <w:rPr>
          <w:rFonts w:hint="eastAsia" w:cs="Times New Roman"/>
          <w:kern w:val="2"/>
          <w:sz w:val="24"/>
          <w:szCs w:val="24"/>
          <w:highlight w:val="none"/>
          <w:lang w:val="en-US" w:eastAsia="zh-CN" w:bidi="ar"/>
        </w:rPr>
        <w:t>黑龙江省奇福圆环保科技有限公司</w:t>
      </w:r>
      <w:r>
        <w:rPr>
          <w:rFonts w:hint="eastAsia" w:eastAsiaTheme="minorEastAsia"/>
          <w:bCs/>
          <w:snapToGrid w:val="0"/>
          <w:kern w:val="0"/>
          <w:sz w:val="24"/>
          <w:highlight w:val="none"/>
          <w:lang w:eastAsia="zh-CN"/>
        </w:rPr>
        <w:t>项目”</w:t>
      </w:r>
      <w:r>
        <w:rPr>
          <w:rFonts w:hAnsiTheme="minorEastAsia" w:eastAsiaTheme="minorEastAsia"/>
          <w:bCs/>
          <w:snapToGrid w:val="0"/>
          <w:kern w:val="0"/>
          <w:sz w:val="24"/>
          <w:highlight w:val="none"/>
        </w:rPr>
        <w:t>（以下简称</w:t>
      </w:r>
      <w:r>
        <w:rPr>
          <w:rFonts w:hint="eastAsia" w:eastAsiaTheme="minorEastAsia"/>
          <w:bCs/>
          <w:snapToGrid w:val="0"/>
          <w:kern w:val="0"/>
          <w:sz w:val="24"/>
          <w:highlight w:val="none"/>
          <w:lang w:eastAsia="zh-CN"/>
        </w:rPr>
        <w:t>“</w:t>
      </w:r>
      <w:r>
        <w:rPr>
          <w:rFonts w:hAnsiTheme="minorEastAsia" w:eastAsiaTheme="minorEastAsia"/>
          <w:bCs/>
          <w:snapToGrid w:val="0"/>
          <w:kern w:val="0"/>
          <w:sz w:val="24"/>
          <w:highlight w:val="none"/>
        </w:rPr>
        <w:t>本项目</w:t>
      </w:r>
      <w:r>
        <w:rPr>
          <w:rFonts w:hint="eastAsia" w:eastAsiaTheme="minorEastAsia"/>
          <w:bCs/>
          <w:snapToGrid w:val="0"/>
          <w:kern w:val="0"/>
          <w:sz w:val="24"/>
          <w:highlight w:val="none"/>
          <w:lang w:eastAsia="zh-CN"/>
        </w:rPr>
        <w:t>”</w:t>
      </w:r>
      <w:r>
        <w:rPr>
          <w:rFonts w:hAnsiTheme="minorEastAsia" w:eastAsiaTheme="minorEastAsia"/>
          <w:bCs/>
          <w:snapToGrid w:val="0"/>
          <w:kern w:val="0"/>
          <w:sz w:val="24"/>
          <w:highlight w:val="none"/>
        </w:rPr>
        <w:t>）环境影响报告书的编制工作。接受委托后，编制单位成立项目组，多次进行现场踏勘，收集了项目所在地的自然环境、区域环境现状等相关资料，在此基础上编制完成了环境影响报告书。</w:t>
      </w:r>
    </w:p>
    <w:p w14:paraId="5E30CA92">
      <w:pPr>
        <w:pStyle w:val="4"/>
        <w:bidi w:val="0"/>
        <w:rPr>
          <w:highlight w:val="none"/>
        </w:rPr>
      </w:pPr>
      <w:bookmarkStart w:id="38" w:name="_Toc32712"/>
      <w:bookmarkStart w:id="39" w:name="_Toc28154"/>
      <w:bookmarkStart w:id="40" w:name="_Toc19177"/>
      <w:r>
        <w:rPr>
          <w:highlight w:val="none"/>
        </w:rPr>
        <w:t>1.2项目特点</w:t>
      </w:r>
      <w:bookmarkEnd w:id="36"/>
      <w:bookmarkEnd w:id="37"/>
      <w:bookmarkEnd w:id="38"/>
      <w:bookmarkEnd w:id="39"/>
      <w:bookmarkEnd w:id="40"/>
    </w:p>
    <w:p w14:paraId="1F7BCC3B">
      <w:pPr>
        <w:bidi w:val="0"/>
        <w:rPr>
          <w:rFonts w:hint="default"/>
          <w:highlight w:val="none"/>
          <w:lang w:val="en-US" w:eastAsia="zh-CN"/>
        </w:rPr>
      </w:pPr>
      <w:r>
        <w:rPr>
          <w:rFonts w:hint="eastAsia" w:hAnsiTheme="minorEastAsia" w:eastAsiaTheme="minorEastAsia"/>
          <w:bCs/>
          <w:snapToGrid w:val="0"/>
          <w:kern w:val="0"/>
          <w:sz w:val="24"/>
          <w:highlight w:val="none"/>
          <w:lang w:val="en-US" w:eastAsia="zh-CN"/>
        </w:rPr>
        <w:t>（1）建设项目特点</w:t>
      </w:r>
    </w:p>
    <w:p w14:paraId="7DBEF991">
      <w:pPr>
        <w:bidi w:val="0"/>
        <w:rPr>
          <w:rFonts w:hint="default"/>
          <w:highlight w:val="none"/>
        </w:rPr>
      </w:pPr>
      <w:r>
        <w:rPr>
          <w:rFonts w:hint="eastAsia"/>
          <w:highlight w:val="none"/>
          <w:lang w:val="en-US" w:eastAsia="zh-CN"/>
        </w:rPr>
        <w:t>本项目</w:t>
      </w:r>
      <w:r>
        <w:rPr>
          <w:rFonts w:hint="default" w:ascii="Times New Roman" w:hAnsi="Times New Roman" w:cs="Times New Roman" w:eastAsiaTheme="minorEastAsia"/>
          <w:sz w:val="24"/>
          <w:highlight w:val="none"/>
        </w:rPr>
        <w:t>位于</w:t>
      </w:r>
      <w:r>
        <w:rPr>
          <w:rFonts w:hint="eastAsia" w:ascii="Times New Roman" w:hAnsi="Times New Roman" w:cs="Times New Roman" w:eastAsiaTheme="minorEastAsia"/>
          <w:sz w:val="24"/>
          <w:highlight w:val="none"/>
          <w:lang w:val="en-US" w:eastAsia="zh-CN"/>
        </w:rPr>
        <w:t>黑龙江省哈尔滨市</w:t>
      </w:r>
      <w:r>
        <w:rPr>
          <w:rFonts w:hint="eastAsia" w:cs="Times New Roman" w:eastAsiaTheme="minorEastAsia"/>
          <w:sz w:val="24"/>
          <w:highlight w:val="none"/>
          <w:lang w:val="en-US" w:eastAsia="zh-CN"/>
        </w:rPr>
        <w:t>香坊</w:t>
      </w:r>
      <w:r>
        <w:rPr>
          <w:rFonts w:hint="eastAsia" w:ascii="Times New Roman" w:hAnsi="Times New Roman" w:cs="Times New Roman" w:eastAsiaTheme="minorEastAsia"/>
          <w:sz w:val="24"/>
          <w:highlight w:val="none"/>
          <w:lang w:val="en-US" w:eastAsia="zh-CN"/>
        </w:rPr>
        <w:t>区</w:t>
      </w:r>
      <w:r>
        <w:rPr>
          <w:rFonts w:hint="eastAsia" w:cs="Times New Roman" w:eastAsiaTheme="minorEastAsia"/>
          <w:sz w:val="24"/>
          <w:highlight w:val="none"/>
          <w:lang w:val="en-US" w:eastAsia="zh-CN"/>
        </w:rPr>
        <w:t>黎明乡幸福村哈阿公路零公里处哈尔滨透平</w:t>
      </w:r>
      <w:r>
        <w:rPr>
          <w:rFonts w:hint="default" w:ascii="Times New Roman" w:hAnsi="Times New Roman" w:cs="Times New Roman" w:eastAsiaTheme="minorEastAsia"/>
          <w:sz w:val="24"/>
          <w:highlight w:val="none"/>
          <w:lang w:val="en-US" w:eastAsia="zh-CN"/>
        </w:rPr>
        <w:t>设备总厂</w:t>
      </w:r>
      <w:r>
        <w:rPr>
          <w:rFonts w:hint="eastAsia" w:cs="Times New Roman" w:eastAsiaTheme="minorEastAsia"/>
          <w:sz w:val="24"/>
          <w:highlight w:val="none"/>
          <w:lang w:val="en-US" w:eastAsia="zh-CN"/>
        </w:rPr>
        <w:t>院内</w:t>
      </w:r>
      <w:r>
        <w:rPr>
          <w:rFonts w:hint="default" w:ascii="Times New Roman" w:hAnsi="Times New Roman" w:cs="Times New Roman" w:eastAsiaTheme="minorEastAsia"/>
          <w:sz w:val="24"/>
          <w:highlight w:val="none"/>
        </w:rPr>
        <w:t>，</w:t>
      </w:r>
      <w:r>
        <w:rPr>
          <w:rFonts w:hint="default" w:ascii="Times New Roman" w:hAnsi="Times New Roman" w:cs="Times New Roman" w:eastAsiaTheme="minorEastAsia"/>
          <w:sz w:val="24"/>
          <w:highlight w:val="none"/>
          <w:lang w:val="en-US" w:eastAsia="zh-CN"/>
        </w:rPr>
        <w:t>租赁</w:t>
      </w:r>
      <w:r>
        <w:rPr>
          <w:rFonts w:hint="eastAsia" w:ascii="Times New Roman" w:hAnsi="Times New Roman" w:cs="Times New Roman" w:eastAsiaTheme="minorEastAsia"/>
          <w:sz w:val="24"/>
          <w:highlight w:val="none"/>
          <w:lang w:val="en-US" w:eastAsia="zh-CN"/>
        </w:rPr>
        <w:t>原</w:t>
      </w:r>
      <w:r>
        <w:rPr>
          <w:rFonts w:hint="default" w:ascii="Times New Roman" w:hAnsi="Times New Roman" w:cs="Times New Roman" w:eastAsiaTheme="minorEastAsia"/>
          <w:sz w:val="24"/>
          <w:highlight w:val="none"/>
          <w:lang w:val="en-US" w:eastAsia="zh-CN"/>
        </w:rPr>
        <w:t>哈尔滨透平设备总厂闲置厂房</w:t>
      </w:r>
      <w:r>
        <w:rPr>
          <w:rFonts w:hint="default" w:ascii="Times New Roman" w:hAnsi="Times New Roman" w:cs="Times New Roman" w:eastAsiaTheme="minorEastAsia"/>
          <w:sz w:val="24"/>
          <w:highlight w:val="none"/>
        </w:rPr>
        <w:t>，</w:t>
      </w:r>
      <w:r>
        <w:rPr>
          <w:rFonts w:hint="default" w:ascii="Times New Roman" w:hAnsi="Times New Roman" w:cs="Times New Roman" w:eastAsiaTheme="minorEastAsia"/>
          <w:sz w:val="24"/>
          <w:highlight w:val="none"/>
          <w:lang w:val="en-US" w:eastAsia="zh-CN"/>
        </w:rPr>
        <w:t>租赁</w:t>
      </w:r>
      <w:r>
        <w:rPr>
          <w:rFonts w:hint="default" w:ascii="Times New Roman" w:hAnsi="Times New Roman" w:cs="Times New Roman" w:eastAsiaTheme="minorEastAsia"/>
          <w:sz w:val="24"/>
          <w:highlight w:val="none"/>
        </w:rPr>
        <w:t>面积为</w:t>
      </w:r>
      <w:r>
        <w:rPr>
          <w:rFonts w:hint="eastAsia" w:cs="Times New Roman" w:eastAsiaTheme="minorEastAsia"/>
          <w:sz w:val="24"/>
          <w:highlight w:val="none"/>
          <w:lang w:val="en-US" w:eastAsia="zh-CN"/>
        </w:rPr>
        <w:t>1800</w:t>
      </w:r>
      <w:r>
        <w:rPr>
          <w:rFonts w:hint="default" w:ascii="Times New Roman" w:hAnsi="Times New Roman" w:cs="Times New Roman" w:eastAsiaTheme="minorEastAsia"/>
          <w:sz w:val="24"/>
          <w:highlight w:val="none"/>
        </w:rPr>
        <w:t>m</w:t>
      </w:r>
      <w:r>
        <w:rPr>
          <w:rFonts w:hint="default" w:ascii="Times New Roman" w:hAnsi="Times New Roman" w:cs="Times New Roman" w:eastAsiaTheme="minorEastAsia"/>
          <w:sz w:val="24"/>
          <w:highlight w:val="none"/>
          <w:vertAlign w:val="superscript"/>
        </w:rPr>
        <w:t>2</w:t>
      </w:r>
      <w:r>
        <w:rPr>
          <w:rFonts w:hint="default" w:ascii="Times New Roman" w:hAnsi="Times New Roman" w:cs="Times New Roman" w:eastAsiaTheme="minorEastAsia"/>
          <w:sz w:val="24"/>
          <w:highlight w:val="none"/>
        </w:rPr>
        <w:t>，用地性质为</w:t>
      </w:r>
      <w:r>
        <w:rPr>
          <w:rFonts w:hint="eastAsia" w:cs="Times New Roman" w:eastAsiaTheme="minorEastAsia"/>
          <w:sz w:val="24"/>
          <w:highlight w:val="none"/>
          <w:lang w:val="en-US" w:eastAsia="zh-CN"/>
        </w:rPr>
        <w:t>工业</w:t>
      </w:r>
      <w:r>
        <w:rPr>
          <w:rFonts w:hint="default" w:ascii="Times New Roman" w:hAnsi="Times New Roman" w:cs="Times New Roman" w:eastAsiaTheme="minorEastAsia"/>
          <w:sz w:val="24"/>
          <w:highlight w:val="none"/>
        </w:rPr>
        <w:t>用地</w:t>
      </w:r>
      <w:r>
        <w:rPr>
          <w:rFonts w:hint="eastAsia" w:cs="Times New Roman" w:eastAsiaTheme="minorEastAsia"/>
          <w:sz w:val="24"/>
          <w:highlight w:val="none"/>
          <w:lang w:eastAsia="zh-CN"/>
        </w:rPr>
        <w:t>，</w:t>
      </w:r>
      <w:r>
        <w:rPr>
          <w:rFonts w:hint="eastAsia" w:cs="Times New Roman" w:eastAsiaTheme="minorEastAsia"/>
          <w:sz w:val="24"/>
          <w:highlight w:val="none"/>
          <w:lang w:val="en-US" w:eastAsia="zh-CN"/>
        </w:rPr>
        <w:t>北侧和西侧为</w:t>
      </w:r>
      <w:r>
        <w:rPr>
          <w:rFonts w:hint="default" w:ascii="Times New Roman" w:hAnsi="Times New Roman" w:cs="Times New Roman" w:eastAsiaTheme="minorEastAsia"/>
          <w:sz w:val="24"/>
          <w:highlight w:val="none"/>
          <w:lang w:val="en-US" w:eastAsia="zh-CN"/>
        </w:rPr>
        <w:t>哈尔滨市协辉金属材料加工有限责任公司</w:t>
      </w:r>
      <w:r>
        <w:rPr>
          <w:rFonts w:hint="eastAsia" w:cs="Times New Roman" w:eastAsiaTheme="minorEastAsia"/>
          <w:sz w:val="24"/>
          <w:highlight w:val="none"/>
          <w:lang w:val="en-US" w:eastAsia="zh-CN"/>
        </w:rPr>
        <w:t>，东侧为哈尔滨英明新型包装制</w:t>
      </w:r>
      <w:r>
        <w:rPr>
          <w:rFonts w:hint="eastAsia" w:ascii="Times New Roman" w:hAnsi="Times New Roman" w:cs="Times New Roman" w:eastAsiaTheme="minorEastAsia"/>
          <w:sz w:val="24"/>
          <w:highlight w:val="none"/>
          <w:lang w:val="en-US" w:eastAsia="zh-CN"/>
        </w:rPr>
        <w:t>品有限公司，南侧为乡道</w:t>
      </w:r>
      <w:r>
        <w:rPr>
          <w:rFonts w:hint="default" w:ascii="Times New Roman" w:hAnsi="Times New Roman" w:cs="Times New Roman" w:eastAsiaTheme="minorEastAsia"/>
          <w:sz w:val="24"/>
          <w:highlight w:val="none"/>
          <w:lang w:val="en-US" w:eastAsia="zh-CN"/>
        </w:rPr>
        <w:t>。</w:t>
      </w:r>
      <w:r>
        <w:rPr>
          <w:rFonts w:hint="eastAsia" w:ascii="Times New Roman" w:hAnsi="Times New Roman" w:cs="Times New Roman" w:eastAsiaTheme="minorEastAsia"/>
          <w:sz w:val="24"/>
          <w:highlight w:val="none"/>
          <w:lang w:val="en-US" w:eastAsia="zh-CN"/>
        </w:rPr>
        <w:t>公司拟投资3</w:t>
      </w:r>
      <w:r>
        <w:rPr>
          <w:rFonts w:hint="default" w:ascii="Times New Roman" w:hAnsi="Times New Roman" w:cs="Times New Roman" w:eastAsiaTheme="minorEastAsia"/>
          <w:sz w:val="24"/>
          <w:highlight w:val="none"/>
          <w:lang w:val="en-US" w:eastAsia="zh-CN"/>
        </w:rPr>
        <w:t>00</w:t>
      </w:r>
      <w:r>
        <w:rPr>
          <w:rFonts w:hint="eastAsia" w:ascii="Times New Roman" w:hAnsi="Times New Roman" w:cs="Times New Roman" w:eastAsiaTheme="minorEastAsia"/>
          <w:sz w:val="24"/>
          <w:highlight w:val="none"/>
          <w:lang w:val="en-US" w:eastAsia="zh-CN"/>
        </w:rPr>
        <w:t>万元，实施新建含油金属屑收集处理、</w:t>
      </w:r>
      <w:r>
        <w:rPr>
          <w:rFonts w:hint="eastAsia" w:cs="Times New Roman" w:eastAsiaTheme="minorEastAsia"/>
          <w:sz w:val="24"/>
          <w:highlight w:val="none"/>
          <w:lang w:val="en-US" w:eastAsia="zh-CN"/>
        </w:rPr>
        <w:t>锂电池</w:t>
      </w:r>
      <w:r>
        <w:rPr>
          <w:rFonts w:hint="eastAsia" w:ascii="Times New Roman" w:hAnsi="Times New Roman" w:cs="Times New Roman" w:eastAsiaTheme="minorEastAsia"/>
          <w:sz w:val="24"/>
          <w:highlight w:val="none"/>
          <w:lang w:val="en-US" w:eastAsia="zh-CN"/>
        </w:rPr>
        <w:t>回收项目，年收集处理含油废铁屑5000t/a（HW09 900-006-09），含油废铝屑3000t/a（HW09 900-006-09），废铁质油桶500t/a（HW08 900-249-08），回收并储存</w:t>
      </w:r>
      <w:r>
        <w:rPr>
          <w:rFonts w:hint="eastAsia" w:cs="Times New Roman" w:eastAsiaTheme="minorEastAsia"/>
          <w:sz w:val="24"/>
          <w:highlight w:val="none"/>
          <w:lang w:val="en-US" w:eastAsia="zh-CN"/>
        </w:rPr>
        <w:t>锂</w:t>
      </w:r>
      <w:r>
        <w:rPr>
          <w:rFonts w:hint="eastAsia" w:ascii="Times New Roman" w:hAnsi="Times New Roman" w:cs="Times New Roman" w:eastAsiaTheme="minorEastAsia"/>
          <w:sz w:val="24"/>
          <w:highlight w:val="none"/>
          <w:lang w:val="en-US" w:eastAsia="zh-CN"/>
        </w:rPr>
        <w:t>电池600t/a；年生产300天，1班制，8小时，夜间不生产。</w:t>
      </w:r>
    </w:p>
    <w:p w14:paraId="6DE81A94">
      <w:pPr>
        <w:bidi w:val="0"/>
        <w:rPr>
          <w:rFonts w:hint="default"/>
          <w:highlight w:val="none"/>
        </w:rPr>
      </w:pPr>
      <w:r>
        <w:rPr>
          <w:rFonts w:hint="default"/>
          <w:sz w:val="24"/>
          <w:szCs w:val="24"/>
          <w:highlight w:val="none"/>
        </w:rPr>
        <w:t>本项目将收集来的含油金属屑作为原料，经过</w:t>
      </w:r>
      <w:r>
        <w:rPr>
          <w:rFonts w:hint="default" w:ascii="Times New Roman" w:hAnsi="Times New Roman" w:cs="Times New Roman"/>
          <w:sz w:val="24"/>
          <w:szCs w:val="24"/>
          <w:highlight w:val="none"/>
          <w:lang w:val="en-US" w:eastAsia="zh-CN"/>
        </w:rPr>
        <w:t>破碎、甩干</w:t>
      </w:r>
      <w:r>
        <w:rPr>
          <w:rFonts w:hint="default" w:ascii="Times New Roman" w:hAnsi="Times New Roman" w:cs="Times New Roman"/>
          <w:sz w:val="24"/>
          <w:szCs w:val="24"/>
          <w:highlight w:val="none"/>
        </w:rPr>
        <w:t>等工序</w:t>
      </w:r>
      <w:r>
        <w:rPr>
          <w:rFonts w:hint="default" w:ascii="Times New Roman" w:hAnsi="Times New Roman" w:cs="Times New Roman"/>
          <w:sz w:val="24"/>
          <w:szCs w:val="24"/>
          <w:highlight w:val="none"/>
          <w:lang w:val="en-US" w:eastAsia="zh-CN"/>
        </w:rPr>
        <w:t>脱油</w:t>
      </w:r>
      <w:r>
        <w:rPr>
          <w:rFonts w:hint="default" w:ascii="Times New Roman" w:hAnsi="Times New Roman" w:cs="Times New Roman"/>
          <w:sz w:val="24"/>
          <w:szCs w:val="24"/>
          <w:highlight w:val="none"/>
        </w:rPr>
        <w:t>后得到</w:t>
      </w:r>
      <w:r>
        <w:rPr>
          <w:rFonts w:hint="eastAsia" w:cs="Times New Roman"/>
          <w:sz w:val="24"/>
          <w:szCs w:val="24"/>
          <w:highlight w:val="none"/>
          <w:lang w:eastAsia="zh-CN"/>
        </w:rPr>
        <w:t>脱油</w:t>
      </w:r>
      <w:r>
        <w:rPr>
          <w:rFonts w:hint="eastAsia" w:cs="Times New Roman"/>
          <w:sz w:val="24"/>
          <w:szCs w:val="24"/>
          <w:highlight w:val="none"/>
          <w:lang w:val="en-US" w:eastAsia="zh-CN"/>
        </w:rPr>
        <w:t>金属屑</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可满足</w:t>
      </w:r>
      <w:r>
        <w:rPr>
          <w:rFonts w:hint="default" w:ascii="Times New Roman" w:hAnsi="Times New Roman" w:eastAsia="宋体" w:cs="Times New Roman"/>
          <w:color w:val="auto"/>
          <w:sz w:val="24"/>
          <w:szCs w:val="24"/>
          <w:highlight w:val="none"/>
          <w:lang w:val="en-US" w:eastAsia="zh-CN"/>
        </w:rPr>
        <w:t>《国家危险废物名录（2025版）》附录《危险废物豁免管理清单》中</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压榨、压滤、过滤除油达到静置无滴漏后打包压块用于金属冶炼。</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要求，</w:t>
      </w:r>
      <w:r>
        <w:rPr>
          <w:rFonts w:hint="eastAsia" w:cs="Times New Roman"/>
          <w:highlight w:val="none"/>
          <w:lang w:eastAsia="zh-CN"/>
        </w:rPr>
        <w:t>金属屑仍</w:t>
      </w:r>
      <w:r>
        <w:rPr>
          <w:rFonts w:hint="default" w:ascii="Times New Roman" w:hAnsi="Times New Roman" w:cs="Times New Roman"/>
          <w:highlight w:val="none"/>
          <w:lang w:val="en-US" w:eastAsia="zh-CN"/>
        </w:rPr>
        <w:t>按照危险废物管理，作为危险废物交由</w:t>
      </w:r>
      <w:r>
        <w:rPr>
          <w:rFonts w:hint="eastAsia" w:cs="Times New Roman"/>
          <w:highlight w:val="none"/>
          <w:lang w:val="en-US" w:eastAsia="zh-CN"/>
        </w:rPr>
        <w:t>有资质单位</w:t>
      </w:r>
      <w:r>
        <w:rPr>
          <w:rFonts w:hint="default" w:ascii="Times New Roman" w:hAnsi="Times New Roman" w:cs="Times New Roman"/>
          <w:highlight w:val="none"/>
          <w:lang w:val="en-US" w:eastAsia="zh-CN"/>
        </w:rPr>
        <w:t>处置</w:t>
      </w:r>
      <w:r>
        <w:rPr>
          <w:rFonts w:hint="default" w:ascii="Times New Roman" w:hAnsi="Times New Roman" w:cs="Times New Roman"/>
          <w:highlight w:val="none"/>
        </w:rPr>
        <w:t>。</w:t>
      </w:r>
    </w:p>
    <w:p w14:paraId="5BDE32A0">
      <w:pPr>
        <w:rPr>
          <w:rFonts w:hint="default"/>
          <w:color w:val="000000" w:themeColor="text1"/>
          <w:kern w:val="24"/>
          <w:highlight w:val="none"/>
          <w:lang w:val="en-US" w:eastAsia="zh-CN"/>
          <w14:textFill>
            <w14:solidFill>
              <w14:schemeClr w14:val="tx1"/>
            </w14:solidFill>
          </w14:textFill>
        </w:rPr>
      </w:pPr>
      <w:r>
        <w:rPr>
          <w:rFonts w:hint="eastAsia"/>
          <w:color w:val="000000" w:themeColor="text1"/>
          <w:kern w:val="24"/>
          <w:highlight w:val="none"/>
          <w:lang w:eastAsia="zh-CN"/>
          <w14:textFill>
            <w14:solidFill>
              <w14:schemeClr w14:val="tx1"/>
            </w14:solidFill>
          </w14:textFill>
        </w:rPr>
        <w:t>（</w:t>
      </w:r>
      <w:r>
        <w:rPr>
          <w:rFonts w:hint="eastAsia"/>
          <w:color w:val="000000" w:themeColor="text1"/>
          <w:kern w:val="24"/>
          <w:highlight w:val="none"/>
          <w:lang w:val="en-US" w:eastAsia="zh-CN"/>
          <w14:textFill>
            <w14:solidFill>
              <w14:schemeClr w14:val="tx1"/>
            </w14:solidFill>
          </w14:textFill>
        </w:rPr>
        <w:t>2</w:t>
      </w:r>
      <w:r>
        <w:rPr>
          <w:rFonts w:hint="eastAsia"/>
          <w:color w:val="000000" w:themeColor="text1"/>
          <w:kern w:val="24"/>
          <w:highlight w:val="none"/>
          <w:lang w:eastAsia="zh-CN"/>
          <w14:textFill>
            <w14:solidFill>
              <w14:schemeClr w14:val="tx1"/>
            </w14:solidFill>
          </w14:textFill>
        </w:rPr>
        <w:t>）</w:t>
      </w:r>
      <w:r>
        <w:rPr>
          <w:rFonts w:hint="eastAsia"/>
          <w:color w:val="000000" w:themeColor="text1"/>
          <w:kern w:val="24"/>
          <w:highlight w:val="none"/>
          <w:lang w:val="en-US" w:eastAsia="zh-CN"/>
          <w14:textFill>
            <w14:solidFill>
              <w14:schemeClr w14:val="tx1"/>
            </w14:solidFill>
          </w14:textFill>
        </w:rPr>
        <w:t>排污特点</w:t>
      </w:r>
    </w:p>
    <w:p w14:paraId="6920AEBF">
      <w:pPr>
        <w:keepNext w:val="0"/>
        <w:keepLines w:val="0"/>
        <w:pageBreakBefore w:val="0"/>
        <w:widowControl w:val="0"/>
        <w:numPr>
          <w:ilvl w:val="0"/>
          <w:numId w:val="0"/>
        </w:numPr>
        <w:kinsoku/>
        <w:wordWrap w:val="0"/>
        <w:overflowPunct/>
        <w:topLinePunct w:val="0"/>
        <w:autoSpaceDE/>
        <w:autoSpaceDN/>
        <w:bidi w:val="0"/>
        <w:adjustRightInd w:val="0"/>
        <w:snapToGrid w:val="0"/>
        <w:ind w:leftChars="0" w:firstLine="480" w:firstLineChars="200"/>
        <w:textAlignment w:val="auto"/>
        <w:rPr>
          <w:rFonts w:hint="default" w:hAnsiTheme="minorEastAsia" w:eastAsiaTheme="minorEastAsia"/>
          <w:spacing w:val="-4"/>
          <w:sz w:val="24"/>
          <w:highlight w:val="none"/>
          <w:lang w:val="en-US" w:eastAsia="zh-CN"/>
        </w:rPr>
      </w:pPr>
      <w:r>
        <w:rPr>
          <w:rFonts w:hint="eastAsia" w:cs="Times New Roman" w:eastAsiaTheme="minorEastAsia"/>
          <w:sz w:val="24"/>
          <w:highlight w:val="none"/>
          <w:lang w:val="en-US" w:eastAsia="zh-CN"/>
        </w:rPr>
        <w:t>生产会产生</w:t>
      </w:r>
      <w:r>
        <w:rPr>
          <w:rFonts w:hint="default" w:ascii="Times New Roman" w:hAnsi="Times New Roman" w:cs="Times New Roman" w:eastAsiaTheme="minorEastAsia"/>
          <w:sz w:val="24"/>
          <w:highlight w:val="none"/>
        </w:rPr>
        <w:t>废液</w:t>
      </w:r>
      <w:r>
        <w:rPr>
          <w:rFonts w:hint="eastAsia" w:cs="Times New Roman" w:eastAsiaTheme="minorEastAsia"/>
          <w:sz w:val="24"/>
          <w:highlight w:val="none"/>
          <w:lang w:eastAsia="zh-CN"/>
        </w:rPr>
        <w:t>、</w:t>
      </w:r>
      <w:r>
        <w:rPr>
          <w:rFonts w:hint="eastAsia" w:cs="Times New Roman" w:eastAsiaTheme="minorEastAsia"/>
          <w:sz w:val="24"/>
          <w:highlight w:val="none"/>
          <w:lang w:val="en-US" w:eastAsia="zh-CN"/>
        </w:rPr>
        <w:t>废活性炭、废过滤材料、废电解液和电池等危险废物，均委托有资质单位处置</w:t>
      </w:r>
      <w:r>
        <w:rPr>
          <w:rFonts w:hint="default" w:ascii="Times New Roman" w:hAnsi="Times New Roman" w:cs="Times New Roman" w:eastAsiaTheme="minorEastAsia"/>
          <w:spacing w:val="-4"/>
          <w:sz w:val="24"/>
          <w:highlight w:val="none"/>
        </w:rPr>
        <w:t>。</w:t>
      </w:r>
      <w:r>
        <w:rPr>
          <w:rFonts w:hint="eastAsia" w:cs="Times New Roman" w:eastAsiaTheme="minorEastAsia"/>
          <w:spacing w:val="-4"/>
          <w:sz w:val="24"/>
          <w:highlight w:val="none"/>
          <w:lang w:val="en-US" w:eastAsia="zh-CN"/>
        </w:rPr>
        <w:t>本项目不产生生产废水，</w:t>
      </w:r>
      <w:r>
        <w:rPr>
          <w:rFonts w:hint="eastAsia"/>
          <w:color w:val="auto"/>
        </w:rPr>
        <w:t>生活污水排入防渗旱厕，定期清掏，外运堆肥</w:t>
      </w:r>
      <w:r>
        <w:rPr>
          <w:rFonts w:hint="eastAsia" w:cs="Times New Roman" w:eastAsiaTheme="minorEastAsia"/>
          <w:spacing w:val="-4"/>
          <w:sz w:val="24"/>
          <w:highlight w:val="none"/>
          <w:lang w:val="en-US" w:eastAsia="zh-CN"/>
        </w:rPr>
        <w:t>；本项目产生油雾、挥发性有机物、颗粒物及臭气浓度，生产车间废气收集后经油雾净化器+活性炭吸附装置处理后由15m高排气筒（DA001）排放，危险废物贮存库废气收集后经活性炭吸附装置处理后由15m高排气筒（DA002）排放</w:t>
      </w:r>
      <w:r>
        <w:rPr>
          <w:rFonts w:hint="default" w:ascii="Times New Roman" w:hAnsi="Times New Roman" w:cs="Times New Roman" w:eastAsiaTheme="minorEastAsia"/>
          <w:spacing w:val="-4"/>
          <w:sz w:val="24"/>
          <w:highlight w:val="none"/>
        </w:rPr>
        <w:t>。</w:t>
      </w:r>
    </w:p>
    <w:p w14:paraId="511214CA">
      <w:pPr>
        <w:pStyle w:val="4"/>
        <w:bidi w:val="0"/>
        <w:rPr>
          <w:highlight w:val="none"/>
        </w:rPr>
      </w:pPr>
      <w:bookmarkStart w:id="41" w:name="_Toc479252799"/>
      <w:bookmarkStart w:id="42" w:name="_Toc859"/>
      <w:bookmarkStart w:id="43" w:name="_Toc13793"/>
      <w:bookmarkStart w:id="44" w:name="_Toc22306"/>
      <w:r>
        <w:rPr>
          <w:highlight w:val="none"/>
        </w:rPr>
        <w:t>1.3</w:t>
      </w:r>
      <w:bookmarkEnd w:id="41"/>
      <w:r>
        <w:rPr>
          <w:highlight w:val="none"/>
        </w:rPr>
        <w:t>环境影响评价工作过程</w:t>
      </w:r>
      <w:bookmarkEnd w:id="42"/>
      <w:bookmarkEnd w:id="43"/>
      <w:bookmarkEnd w:id="44"/>
    </w:p>
    <w:p w14:paraId="7CC9FE18">
      <w:pPr>
        <w:bidi w:val="0"/>
        <w:rPr>
          <w:highlight w:val="none"/>
        </w:rPr>
      </w:pPr>
      <w:r>
        <w:rPr>
          <w:highlight w:val="none"/>
        </w:rPr>
        <w:t>根据《中华人民共和国环境保护法</w:t>
      </w:r>
      <w:r>
        <w:rPr>
          <w:rFonts w:hint="eastAsia"/>
          <w:highlight w:val="none"/>
          <w:lang w:eastAsia="zh-CN"/>
        </w:rPr>
        <w:t>》、《</w:t>
      </w:r>
      <w:r>
        <w:rPr>
          <w:highlight w:val="none"/>
        </w:rPr>
        <w:t>中华人民共和国环境影响评价法》，该项目应开展环境影响评价工作</w:t>
      </w:r>
      <w:r>
        <w:rPr>
          <w:rFonts w:hint="eastAsia"/>
          <w:highlight w:val="none"/>
        </w:rPr>
        <w:t>；</w:t>
      </w:r>
      <w:r>
        <w:rPr>
          <w:highlight w:val="none"/>
        </w:rPr>
        <w:t>根据《建设项目环境影响评价分类管理名录》（2021版）</w:t>
      </w:r>
      <w:r>
        <w:rPr>
          <w:rFonts w:hint="eastAsia"/>
          <w:highlight w:val="none"/>
          <w:lang w:eastAsia="zh-CN"/>
        </w:rPr>
        <w:t>“</w:t>
      </w:r>
      <w:r>
        <w:rPr>
          <w:rFonts w:hint="eastAsia"/>
          <w:highlight w:val="none"/>
          <w:lang w:val="en-US" w:eastAsia="zh-CN"/>
        </w:rPr>
        <w:t>四十七、生态保护和环境治理业</w:t>
      </w:r>
      <w:r>
        <w:rPr>
          <w:rFonts w:hint="default"/>
          <w:highlight w:val="none"/>
          <w:lang w:val="en-US" w:eastAsia="zh-CN"/>
        </w:rPr>
        <w:t>——101</w:t>
      </w:r>
      <w:r>
        <w:rPr>
          <w:rFonts w:hint="eastAsia"/>
          <w:highlight w:val="none"/>
          <w:lang w:val="en-US" w:eastAsia="zh-CN"/>
        </w:rPr>
        <w:t>、危险废物（不含医疗废物）利用及处置</w:t>
      </w:r>
      <w:r>
        <w:rPr>
          <w:rFonts w:hint="eastAsia"/>
          <w:highlight w:val="none"/>
          <w:lang w:eastAsia="zh-CN"/>
        </w:rPr>
        <w:t>”</w:t>
      </w:r>
      <w:r>
        <w:rPr>
          <w:highlight w:val="none"/>
        </w:rPr>
        <w:t>，本单位应做报告书。在研究相关技术及其他有关文件基础上进行初步工程分析，开展了初步环境现状调查，进行了环境影响识别和评价因子筛选。明确了评价重点为地下水环境影响、噪声环境影响、土壤环境影响，确定了保护目标，进一步确定评价工作等级、范围及评价标准，制定出相应工作方案。</w:t>
      </w:r>
    </w:p>
    <w:p w14:paraId="4F747D15">
      <w:pPr>
        <w:bidi w:val="0"/>
        <w:rPr>
          <w:rFonts w:eastAsiaTheme="minorEastAsia"/>
          <w:snapToGrid w:val="0"/>
          <w:kern w:val="0"/>
          <w:sz w:val="24"/>
          <w:highlight w:val="none"/>
        </w:rPr>
      </w:pPr>
      <w:r>
        <w:rPr>
          <w:rFonts w:hAnsiTheme="minorEastAsia" w:eastAsiaTheme="minorEastAsia"/>
          <w:snapToGrid w:val="0"/>
          <w:kern w:val="0"/>
          <w:sz w:val="24"/>
          <w:highlight w:val="none"/>
        </w:rPr>
        <w:t>依据《建设项目环境影响评价技术导则总纲》（</w:t>
      </w:r>
      <w:r>
        <w:rPr>
          <w:rFonts w:eastAsiaTheme="minorEastAsia"/>
          <w:snapToGrid w:val="0"/>
          <w:kern w:val="0"/>
          <w:sz w:val="24"/>
          <w:highlight w:val="none"/>
        </w:rPr>
        <w:t>HJ2.1-2016</w:t>
      </w:r>
      <w:r>
        <w:rPr>
          <w:rFonts w:hAnsiTheme="minorEastAsia" w:eastAsiaTheme="minorEastAsia"/>
          <w:snapToGrid w:val="0"/>
          <w:kern w:val="0"/>
          <w:sz w:val="24"/>
          <w:highlight w:val="none"/>
        </w:rPr>
        <w:t>）要求，本次环评工作分为三个阶段进行，即调查分析和工作方案制定阶段，分析论证和预测评价阶段，环境影响报告书编制阶段。具体过程见图</w:t>
      </w:r>
      <w:r>
        <w:rPr>
          <w:rFonts w:eastAsiaTheme="minorEastAsia"/>
          <w:snapToGrid w:val="0"/>
          <w:kern w:val="0"/>
          <w:sz w:val="24"/>
          <w:highlight w:val="none"/>
        </w:rPr>
        <w:t>1-3-1</w:t>
      </w:r>
      <w:r>
        <w:rPr>
          <w:rFonts w:hAnsiTheme="minorEastAsia" w:eastAsiaTheme="minorEastAsia"/>
          <w:snapToGrid w:val="0"/>
          <w:kern w:val="0"/>
          <w:sz w:val="24"/>
          <w:highlight w:val="none"/>
        </w:rPr>
        <w:t>。</w:t>
      </w:r>
    </w:p>
    <w:p w14:paraId="2BC47E6B">
      <w:pPr>
        <w:jc w:val="center"/>
        <w:rPr>
          <w:rStyle w:val="78"/>
          <w:rFonts w:ascii="Times New Roman" w:hAnsi="Times New Roman" w:eastAsiaTheme="minorEastAsia"/>
          <w:sz w:val="24"/>
          <w:szCs w:val="24"/>
          <w:highlight w:val="none"/>
        </w:rPr>
      </w:pPr>
      <w:r>
        <w:rPr>
          <w:rFonts w:eastAsiaTheme="minorEastAsia"/>
          <w:kern w:val="0"/>
          <w:highlight w:val="none"/>
        </w:rPr>
        <w:drawing>
          <wp:inline distT="0" distB="0" distL="0" distR="0">
            <wp:extent cx="4854575" cy="4622800"/>
            <wp:effectExtent l="0" t="0" r="3175" b="635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noChangeArrowheads="1"/>
                    </pic:cNvPicPr>
                  </pic:nvPicPr>
                  <pic:blipFill>
                    <a:blip r:embed="rId22" cstate="print"/>
                    <a:srcRect l="2990" t="2215" r="3015" b="4371"/>
                    <a:stretch>
                      <a:fillRect/>
                    </a:stretch>
                  </pic:blipFill>
                  <pic:spPr>
                    <a:xfrm>
                      <a:off x="0" y="0"/>
                      <a:ext cx="4854575" cy="4622800"/>
                    </a:xfrm>
                    <a:prstGeom prst="rect">
                      <a:avLst/>
                    </a:prstGeom>
                    <a:noFill/>
                    <a:ln w="9525">
                      <a:noFill/>
                      <a:miter lim="800000"/>
                      <a:headEnd/>
                      <a:tailEnd/>
                    </a:ln>
                  </pic:spPr>
                </pic:pic>
              </a:graphicData>
            </a:graphic>
          </wp:inline>
        </w:drawing>
      </w:r>
    </w:p>
    <w:p w14:paraId="2557A2D3">
      <w:pPr>
        <w:pStyle w:val="7"/>
        <w:bidi w:val="0"/>
        <w:rPr>
          <w:highlight w:val="none"/>
        </w:rPr>
      </w:pPr>
      <w:r>
        <w:rPr>
          <w:highlight w:val="none"/>
        </w:rPr>
        <w:t>图1-3-1环境影响评价工作程序</w:t>
      </w:r>
    </w:p>
    <w:p w14:paraId="2456B356">
      <w:pPr>
        <w:bidi w:val="0"/>
        <w:rPr>
          <w:rStyle w:val="78"/>
          <w:rFonts w:ascii="Times New Roman" w:hAnsi="Times New Roman" w:eastAsiaTheme="minorEastAsia"/>
          <w:b w:val="0"/>
          <w:sz w:val="24"/>
          <w:szCs w:val="24"/>
          <w:highlight w:val="none"/>
        </w:rPr>
      </w:pPr>
      <w:r>
        <w:rPr>
          <w:rStyle w:val="78"/>
          <w:rFonts w:ascii="Times New Roman" w:hAnsiTheme="minorEastAsia" w:eastAsiaTheme="minorEastAsia"/>
          <w:b w:val="0"/>
          <w:sz w:val="24"/>
          <w:szCs w:val="24"/>
          <w:highlight w:val="none"/>
        </w:rPr>
        <w:t>（</w:t>
      </w:r>
      <w:r>
        <w:rPr>
          <w:rStyle w:val="78"/>
          <w:rFonts w:ascii="Times New Roman" w:hAnsi="Times New Roman" w:eastAsiaTheme="minorEastAsia"/>
          <w:b w:val="0"/>
          <w:sz w:val="24"/>
          <w:szCs w:val="24"/>
          <w:highlight w:val="none"/>
        </w:rPr>
        <w:t>1</w:t>
      </w:r>
      <w:r>
        <w:rPr>
          <w:rStyle w:val="78"/>
          <w:rFonts w:ascii="Times New Roman" w:hAnsiTheme="minorEastAsia" w:eastAsiaTheme="minorEastAsia"/>
          <w:b w:val="0"/>
          <w:sz w:val="24"/>
          <w:szCs w:val="24"/>
          <w:highlight w:val="none"/>
        </w:rPr>
        <w:t>）在本项目环境影响评价第一阶段，首先对现场的实际</w:t>
      </w:r>
      <w:r>
        <w:rPr>
          <w:rStyle w:val="78"/>
          <w:rFonts w:hint="eastAsia" w:hAnsiTheme="minorEastAsia" w:eastAsiaTheme="minorEastAsia"/>
          <w:b w:val="0"/>
          <w:sz w:val="24"/>
          <w:szCs w:val="24"/>
          <w:highlight w:val="none"/>
          <w:lang w:eastAsia="zh-CN"/>
        </w:rPr>
        <w:t>情况</w:t>
      </w:r>
      <w:r>
        <w:rPr>
          <w:rStyle w:val="78"/>
          <w:rFonts w:ascii="Times New Roman" w:hAnsiTheme="minorEastAsia" w:eastAsiaTheme="minorEastAsia"/>
          <w:b w:val="0"/>
          <w:sz w:val="24"/>
          <w:szCs w:val="24"/>
          <w:highlight w:val="none"/>
        </w:rPr>
        <w:t>进行踏查并收集企业现有情况的相关资料；其次开展环境质量现状调查，研究本项目相关的技术文件，结合本项目的特点，进行初步工程分析，判定评价因子、工作等级及评价范围等，制定工作方案，并进行网上第一次公示。</w:t>
      </w:r>
    </w:p>
    <w:p w14:paraId="588EC523">
      <w:pPr>
        <w:bidi w:val="0"/>
        <w:rPr>
          <w:rStyle w:val="78"/>
          <w:rFonts w:ascii="Times New Roman" w:hAnsi="Times New Roman" w:eastAsiaTheme="minorEastAsia"/>
          <w:b w:val="0"/>
          <w:sz w:val="24"/>
          <w:szCs w:val="24"/>
          <w:highlight w:val="none"/>
        </w:rPr>
      </w:pPr>
      <w:r>
        <w:rPr>
          <w:rStyle w:val="78"/>
          <w:rFonts w:ascii="Times New Roman" w:hAnsiTheme="minorEastAsia" w:eastAsiaTheme="minorEastAsia"/>
          <w:b w:val="0"/>
          <w:sz w:val="24"/>
          <w:szCs w:val="24"/>
          <w:highlight w:val="none"/>
        </w:rPr>
        <w:t>（</w:t>
      </w:r>
      <w:r>
        <w:rPr>
          <w:rStyle w:val="78"/>
          <w:rFonts w:ascii="Times New Roman" w:hAnsi="Times New Roman" w:eastAsiaTheme="minorEastAsia"/>
          <w:b w:val="0"/>
          <w:sz w:val="24"/>
          <w:szCs w:val="24"/>
          <w:highlight w:val="none"/>
        </w:rPr>
        <w:t>2</w:t>
      </w:r>
      <w:r>
        <w:rPr>
          <w:rStyle w:val="78"/>
          <w:rFonts w:ascii="Times New Roman" w:hAnsiTheme="minorEastAsia" w:eastAsiaTheme="minorEastAsia"/>
          <w:b w:val="0"/>
          <w:sz w:val="24"/>
          <w:szCs w:val="24"/>
          <w:highlight w:val="none"/>
        </w:rPr>
        <w:t>）环境影响评价第二阶段，根据工作方案，进行环境现状调查监测和评价以及本项目的工程分析，确定本项目产排污环节，核算污染物排放源强，并进行各要素环境影响预测与评价。</w:t>
      </w:r>
    </w:p>
    <w:p w14:paraId="728FD5A1">
      <w:pPr>
        <w:bidi w:val="0"/>
        <w:rPr>
          <w:rStyle w:val="78"/>
          <w:rFonts w:ascii="Times New Roman" w:hAnsiTheme="minorEastAsia" w:eastAsiaTheme="minorEastAsia"/>
          <w:b w:val="0"/>
          <w:sz w:val="24"/>
          <w:szCs w:val="24"/>
          <w:highlight w:val="none"/>
        </w:rPr>
      </w:pPr>
      <w:r>
        <w:rPr>
          <w:rStyle w:val="78"/>
          <w:rFonts w:ascii="Times New Roman" w:hAnsiTheme="minorEastAsia" w:eastAsiaTheme="minorEastAsia"/>
          <w:b w:val="0"/>
          <w:sz w:val="24"/>
          <w:szCs w:val="24"/>
          <w:highlight w:val="none"/>
        </w:rPr>
        <w:t>（</w:t>
      </w:r>
      <w:r>
        <w:rPr>
          <w:rStyle w:val="78"/>
          <w:rFonts w:ascii="Times New Roman" w:hAnsi="Times New Roman" w:eastAsiaTheme="minorEastAsia"/>
          <w:b w:val="0"/>
          <w:sz w:val="24"/>
          <w:szCs w:val="24"/>
          <w:highlight w:val="none"/>
        </w:rPr>
        <w:t>3</w:t>
      </w:r>
      <w:r>
        <w:rPr>
          <w:rStyle w:val="78"/>
          <w:rFonts w:ascii="Times New Roman" w:hAnsiTheme="minorEastAsia" w:eastAsiaTheme="minorEastAsia"/>
          <w:b w:val="0"/>
          <w:sz w:val="24"/>
          <w:szCs w:val="24"/>
          <w:highlight w:val="none"/>
        </w:rPr>
        <w:t>）环境影响评价第三阶段，根据预测结果，提出环境保护措施，进行技术经济论证，并给出污染物排放清单，并给出项目环境影响评价结论，最终完成报告书编制，形成《</w:t>
      </w:r>
      <w:r>
        <w:rPr>
          <w:rFonts w:hint="eastAsia" w:eastAsiaTheme="minorEastAsia"/>
          <w:sz w:val="24"/>
          <w:highlight w:val="none"/>
          <w:lang w:eastAsia="zh-CN"/>
        </w:rPr>
        <w:t>黑龙江省奇福圆环保科技有限公司项目环境影响报告书</w:t>
      </w:r>
      <w:r>
        <w:rPr>
          <w:rStyle w:val="78"/>
          <w:rFonts w:ascii="Times New Roman" w:hAnsiTheme="minorEastAsia" w:eastAsiaTheme="minorEastAsia"/>
          <w:b w:val="0"/>
          <w:sz w:val="24"/>
          <w:szCs w:val="24"/>
          <w:highlight w:val="none"/>
        </w:rPr>
        <w:t>》。对报告征求意见稿进行网上公示和现场张贴公示以及报纸公示。</w:t>
      </w:r>
    </w:p>
    <w:p w14:paraId="1033BC6E">
      <w:pPr>
        <w:pStyle w:val="4"/>
        <w:bidi w:val="0"/>
        <w:rPr>
          <w:highlight w:val="none"/>
        </w:rPr>
      </w:pPr>
      <w:bookmarkStart w:id="45" w:name="_Toc488072911"/>
      <w:bookmarkStart w:id="46" w:name="_Toc28429"/>
      <w:bookmarkStart w:id="47" w:name="_Toc32211"/>
      <w:bookmarkStart w:id="48" w:name="_Toc486932294"/>
      <w:bookmarkStart w:id="49" w:name="_Toc13784"/>
      <w:r>
        <w:rPr>
          <w:highlight w:val="none"/>
        </w:rPr>
        <w:t>1.4分析判定相关情况</w:t>
      </w:r>
      <w:bookmarkEnd w:id="45"/>
      <w:bookmarkEnd w:id="46"/>
      <w:bookmarkEnd w:id="47"/>
      <w:bookmarkEnd w:id="48"/>
      <w:bookmarkEnd w:id="49"/>
    </w:p>
    <w:p w14:paraId="08A477AF">
      <w:pPr>
        <w:pStyle w:val="5"/>
        <w:bidi w:val="0"/>
        <w:rPr>
          <w:highlight w:val="none"/>
        </w:rPr>
      </w:pPr>
      <w:bookmarkStart w:id="50" w:name="_Toc20394"/>
      <w:bookmarkStart w:id="51" w:name="_Toc29140"/>
      <w:r>
        <w:rPr>
          <w:highlight w:val="none"/>
        </w:rPr>
        <w:t>1.4.1与《产业结构调整指导目录（</w:t>
      </w:r>
      <w:r>
        <w:rPr>
          <w:rFonts w:hint="eastAsia"/>
          <w:highlight w:val="none"/>
          <w:lang w:val="en-US" w:eastAsia="zh-CN"/>
        </w:rPr>
        <w:t>2024</w:t>
      </w:r>
      <w:r>
        <w:rPr>
          <w:highlight w:val="none"/>
        </w:rPr>
        <w:t>年本）》符合性分析</w:t>
      </w:r>
      <w:bookmarkEnd w:id="50"/>
      <w:bookmarkEnd w:id="51"/>
    </w:p>
    <w:p w14:paraId="6F9C3980">
      <w:pPr>
        <w:keepNext w:val="0"/>
        <w:keepLines w:val="0"/>
        <w:pageBreakBefore w:val="0"/>
        <w:widowControl/>
        <w:suppressLineNumbers w:val="0"/>
        <w:kinsoku/>
        <w:wordWrap w:val="0"/>
        <w:overflowPunct/>
        <w:topLinePunct w:val="0"/>
        <w:autoSpaceDE/>
        <w:autoSpaceDN/>
        <w:bidi w:val="0"/>
        <w:adjustRightInd w:val="0"/>
        <w:snapToGrid w:val="0"/>
        <w:spacing w:line="360" w:lineRule="auto"/>
        <w:ind w:firstLine="480" w:firstLineChars="200"/>
        <w:jc w:val="left"/>
        <w:textAlignment w:val="auto"/>
        <w:rPr>
          <w:rFonts w:ascii="Times New Roman" w:cs="Times New Roman" w:hAnsiTheme="minorEastAsia" w:eastAsiaTheme="minorEastAsia"/>
          <w:kern w:val="2"/>
          <w:sz w:val="24"/>
          <w:szCs w:val="24"/>
          <w:highlight w:val="none"/>
          <w:lang w:val="en-US" w:eastAsia="zh-CN" w:bidi="ar-SA"/>
        </w:rPr>
      </w:pPr>
      <w:r>
        <w:rPr>
          <w:rFonts w:ascii="Times New Roman" w:cs="Times New Roman" w:hAnsiTheme="minorEastAsia" w:eastAsiaTheme="minorEastAsia"/>
          <w:kern w:val="2"/>
          <w:sz w:val="24"/>
          <w:szCs w:val="24"/>
          <w:highlight w:val="none"/>
          <w:lang w:val="en-US" w:eastAsia="zh-CN" w:bidi="ar-SA"/>
        </w:rPr>
        <w:t>本项目</w:t>
      </w:r>
      <w:r>
        <w:rPr>
          <w:rFonts w:hint="eastAsia" w:ascii="Times New Roman" w:cs="Times New Roman" w:hAnsiTheme="minorEastAsia" w:eastAsiaTheme="minorEastAsia"/>
          <w:kern w:val="2"/>
          <w:sz w:val="24"/>
          <w:szCs w:val="24"/>
          <w:highlight w:val="none"/>
          <w:lang w:val="en-US" w:eastAsia="zh-CN" w:bidi="ar-SA"/>
        </w:rPr>
        <w:t>属于</w:t>
      </w:r>
      <w:r>
        <w:rPr>
          <w:rFonts w:ascii="Times New Roman" w:cs="Times New Roman" w:hAnsiTheme="minorEastAsia" w:eastAsiaTheme="minorEastAsia"/>
          <w:kern w:val="2"/>
          <w:sz w:val="24"/>
          <w:szCs w:val="24"/>
          <w:highlight w:val="none"/>
          <w:lang w:val="en-US" w:eastAsia="zh-CN" w:bidi="ar-SA"/>
        </w:rPr>
        <w:t>《产业结构调整指导目录（</w:t>
      </w:r>
      <w:r>
        <w:rPr>
          <w:rFonts w:hint="eastAsia" w:ascii="Times New Roman" w:cs="Times New Roman" w:hAnsiTheme="minorEastAsia" w:eastAsiaTheme="minorEastAsia"/>
          <w:kern w:val="2"/>
          <w:sz w:val="24"/>
          <w:szCs w:val="24"/>
          <w:highlight w:val="none"/>
          <w:lang w:val="en-US" w:eastAsia="zh-CN" w:bidi="ar-SA"/>
        </w:rPr>
        <w:t>2024</w:t>
      </w:r>
      <w:r>
        <w:rPr>
          <w:rFonts w:ascii="Times New Roman" w:cs="Times New Roman" w:hAnsiTheme="minorEastAsia" w:eastAsiaTheme="minorEastAsia"/>
          <w:kern w:val="2"/>
          <w:sz w:val="24"/>
          <w:szCs w:val="24"/>
          <w:highlight w:val="none"/>
          <w:lang w:val="en-US" w:eastAsia="zh-CN" w:bidi="ar-SA"/>
        </w:rPr>
        <w:t>年本）》中</w:t>
      </w:r>
      <w:r>
        <w:rPr>
          <w:rFonts w:hint="eastAsia" w:ascii="Times New Roman" w:cs="Times New Roman" w:hAnsiTheme="minorEastAsia" w:eastAsiaTheme="minorEastAsia"/>
          <w:kern w:val="2"/>
          <w:sz w:val="24"/>
          <w:szCs w:val="24"/>
          <w:highlight w:val="none"/>
          <w:lang w:val="en-US" w:eastAsia="zh-CN" w:bidi="ar-SA"/>
        </w:rPr>
        <w:t>鼓励类：“四十二、环境保护与资源节约综合利用中6.</w:t>
      </w:r>
      <w:r>
        <w:rPr>
          <w:rFonts w:ascii="Times New Roman" w:cs="Times New Roman" w:hAnsiTheme="minorEastAsia" w:eastAsiaTheme="minorEastAsia"/>
          <w:kern w:val="2"/>
          <w:sz w:val="24"/>
          <w:szCs w:val="24"/>
          <w:highlight w:val="none"/>
          <w:lang w:val="en-US" w:eastAsia="zh-CN" w:bidi="ar-SA"/>
        </w:rPr>
        <w:t>危险废物（医疗废物）无害化处置和高</w:t>
      </w:r>
      <w:r>
        <w:rPr>
          <w:rFonts w:hint="default" w:ascii="Times New Roman" w:cs="Times New Roman" w:hAnsiTheme="minorEastAsia" w:eastAsiaTheme="minorEastAsia"/>
          <w:kern w:val="2"/>
          <w:sz w:val="24"/>
          <w:szCs w:val="24"/>
          <w:highlight w:val="none"/>
          <w:lang w:val="en-US" w:eastAsia="zh-CN" w:bidi="ar-SA"/>
        </w:rPr>
        <w:t>效利用技术设备开发制造、利用处置中心建设和（或）运营</w:t>
      </w:r>
      <w:r>
        <w:rPr>
          <w:rFonts w:hint="eastAsia" w:cs="Times New Roman" w:hAnsiTheme="minorEastAsia" w:eastAsiaTheme="minorEastAsia"/>
          <w:kern w:val="2"/>
          <w:sz w:val="24"/>
          <w:szCs w:val="24"/>
          <w:highlight w:val="none"/>
          <w:lang w:val="en-US" w:eastAsia="zh-CN" w:bidi="ar-SA"/>
        </w:rPr>
        <w:t>。”</w:t>
      </w:r>
      <w:r>
        <w:rPr>
          <w:rFonts w:ascii="Times New Roman" w:cs="Times New Roman" w:hAnsiTheme="minorEastAsia" w:eastAsiaTheme="minorEastAsia"/>
          <w:kern w:val="2"/>
          <w:sz w:val="24"/>
          <w:szCs w:val="24"/>
          <w:highlight w:val="none"/>
          <w:lang w:val="en-US" w:eastAsia="zh-CN" w:bidi="ar-SA"/>
        </w:rPr>
        <w:t>本项目的建设符合产业政策的要求，符合国家产业政策规定。</w:t>
      </w:r>
    </w:p>
    <w:p w14:paraId="05C13B4C">
      <w:pPr>
        <w:pStyle w:val="5"/>
        <w:bidi w:val="0"/>
        <w:rPr>
          <w:rFonts w:hint="default"/>
          <w:highlight w:val="none"/>
        </w:rPr>
      </w:pPr>
      <w:bookmarkStart w:id="52" w:name="_Toc4425"/>
      <w:bookmarkStart w:id="53" w:name="_Toc21761"/>
      <w:r>
        <w:rPr>
          <w:highlight w:val="none"/>
        </w:rPr>
        <w:t>1.4.</w:t>
      </w:r>
      <w:r>
        <w:rPr>
          <w:rFonts w:hint="eastAsia"/>
          <w:highlight w:val="none"/>
          <w:lang w:val="en-US" w:eastAsia="zh-CN"/>
        </w:rPr>
        <w:t>2</w:t>
      </w:r>
      <w:r>
        <w:rPr>
          <w:rFonts w:hint="default"/>
          <w:highlight w:val="none"/>
        </w:rPr>
        <w:t>与《危险废物污染防治技术政策》（环发[2001]199号）符合性分析</w:t>
      </w:r>
      <w:bookmarkEnd w:id="52"/>
      <w:bookmarkEnd w:id="53"/>
    </w:p>
    <w:p w14:paraId="61A948DC">
      <w:pPr>
        <w:pStyle w:val="7"/>
        <w:bidi w:val="0"/>
        <w:rPr>
          <w:highlight w:val="none"/>
        </w:rPr>
      </w:pPr>
      <w:r>
        <w:rPr>
          <w:highlight w:val="none"/>
        </w:rPr>
        <w:t>表1-4-</w:t>
      </w:r>
      <w:r>
        <w:rPr>
          <w:rFonts w:hint="eastAsia"/>
          <w:highlight w:val="none"/>
          <w:lang w:val="en-US" w:eastAsia="zh-CN"/>
        </w:rPr>
        <w:t>1</w:t>
      </w:r>
      <w:r>
        <w:rPr>
          <w:rFonts w:hint="eastAsia"/>
          <w:highlight w:val="none"/>
        </w:rPr>
        <w:t>《危险废物污染防治技术政策》</w:t>
      </w:r>
      <w:r>
        <w:rPr>
          <w:highlight w:val="none"/>
        </w:rPr>
        <w:t>符合性分析</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3749"/>
        <w:gridCol w:w="2949"/>
        <w:gridCol w:w="849"/>
      </w:tblGrid>
      <w:tr w14:paraId="42137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572" w:type="pct"/>
            <w:tcBorders>
              <w:tl2br w:val="nil"/>
              <w:tr2bl w:val="nil"/>
            </w:tcBorders>
            <w:noWrap w:val="0"/>
            <w:vAlign w:val="center"/>
          </w:tcPr>
          <w:p w14:paraId="7053DD74">
            <w:pPr>
              <w:pStyle w:val="8"/>
              <w:suppressLineNumbers w:val="0"/>
              <w:bidi w:val="0"/>
              <w:spacing w:before="0" w:beforeAutospacing="0" w:after="0" w:afterAutospacing="0"/>
              <w:ind w:left="0" w:right="0"/>
              <w:rPr>
                <w:rFonts w:hint="default"/>
                <w:highlight w:val="none"/>
              </w:rPr>
            </w:pPr>
            <w:r>
              <w:rPr>
                <w:rFonts w:hint="default"/>
                <w:highlight w:val="none"/>
              </w:rPr>
              <w:t>项目</w:t>
            </w:r>
          </w:p>
        </w:tc>
        <w:tc>
          <w:tcPr>
            <w:tcW w:w="2199" w:type="pct"/>
            <w:tcBorders>
              <w:tl2br w:val="nil"/>
              <w:tr2bl w:val="nil"/>
            </w:tcBorders>
            <w:noWrap w:val="0"/>
            <w:vAlign w:val="center"/>
          </w:tcPr>
          <w:p w14:paraId="717B691D">
            <w:pPr>
              <w:pStyle w:val="8"/>
              <w:suppressLineNumbers w:val="0"/>
              <w:bidi w:val="0"/>
              <w:spacing w:before="0" w:beforeAutospacing="0" w:after="0" w:afterAutospacing="0"/>
              <w:ind w:left="0" w:right="0"/>
              <w:rPr>
                <w:rFonts w:hint="default"/>
                <w:highlight w:val="none"/>
              </w:rPr>
            </w:pPr>
            <w:r>
              <w:rPr>
                <w:rFonts w:hint="default"/>
                <w:highlight w:val="none"/>
              </w:rPr>
              <w:t>规范要求</w:t>
            </w:r>
          </w:p>
        </w:tc>
        <w:tc>
          <w:tcPr>
            <w:tcW w:w="1730" w:type="pct"/>
            <w:tcBorders>
              <w:tl2br w:val="nil"/>
              <w:tr2bl w:val="nil"/>
            </w:tcBorders>
            <w:noWrap w:val="0"/>
            <w:vAlign w:val="center"/>
          </w:tcPr>
          <w:p w14:paraId="75688807">
            <w:pPr>
              <w:pStyle w:val="8"/>
              <w:suppressLineNumbers w:val="0"/>
              <w:bidi w:val="0"/>
              <w:spacing w:before="0" w:beforeAutospacing="0" w:after="0" w:afterAutospacing="0"/>
              <w:ind w:left="0" w:right="0"/>
              <w:rPr>
                <w:rFonts w:hint="default"/>
                <w:highlight w:val="none"/>
              </w:rPr>
            </w:pPr>
            <w:r>
              <w:rPr>
                <w:rFonts w:hint="default"/>
                <w:highlight w:val="none"/>
              </w:rPr>
              <w:t>核对本项目具体情况</w:t>
            </w:r>
          </w:p>
        </w:tc>
        <w:tc>
          <w:tcPr>
            <w:tcW w:w="498" w:type="pct"/>
            <w:tcBorders>
              <w:tl2br w:val="nil"/>
              <w:tr2bl w:val="nil"/>
            </w:tcBorders>
            <w:noWrap w:val="0"/>
            <w:vAlign w:val="center"/>
          </w:tcPr>
          <w:p w14:paraId="51CF2622">
            <w:pPr>
              <w:pStyle w:val="8"/>
              <w:suppressLineNumbers w:val="0"/>
              <w:bidi w:val="0"/>
              <w:spacing w:before="0" w:beforeAutospacing="0" w:after="0" w:afterAutospacing="0"/>
              <w:ind w:left="0" w:right="0"/>
              <w:rPr>
                <w:rFonts w:hint="default"/>
                <w:highlight w:val="none"/>
              </w:rPr>
            </w:pPr>
            <w:r>
              <w:rPr>
                <w:rFonts w:hint="default"/>
                <w:highlight w:val="none"/>
              </w:rPr>
              <w:t>符合性分析</w:t>
            </w:r>
          </w:p>
        </w:tc>
      </w:tr>
      <w:tr w14:paraId="7E5EF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572" w:type="pct"/>
            <w:tcBorders>
              <w:tl2br w:val="nil"/>
              <w:tr2bl w:val="nil"/>
            </w:tcBorders>
            <w:noWrap w:val="0"/>
            <w:vAlign w:val="center"/>
          </w:tcPr>
          <w:p w14:paraId="154FD5BF">
            <w:pPr>
              <w:pStyle w:val="8"/>
              <w:suppressLineNumbers w:val="0"/>
              <w:bidi w:val="0"/>
              <w:spacing w:before="0" w:beforeAutospacing="0" w:after="0" w:afterAutospacing="0"/>
              <w:ind w:left="0" w:right="0"/>
              <w:rPr>
                <w:rFonts w:hint="default"/>
                <w:highlight w:val="none"/>
              </w:rPr>
            </w:pPr>
            <w:r>
              <w:rPr>
                <w:rFonts w:hint="default"/>
                <w:highlight w:val="none"/>
              </w:rPr>
              <w:t>危险废物的减量化</w:t>
            </w:r>
          </w:p>
        </w:tc>
        <w:tc>
          <w:tcPr>
            <w:tcW w:w="2199" w:type="pct"/>
            <w:tcBorders>
              <w:tl2br w:val="nil"/>
              <w:tr2bl w:val="nil"/>
            </w:tcBorders>
            <w:noWrap w:val="0"/>
            <w:vAlign w:val="center"/>
          </w:tcPr>
          <w:p w14:paraId="75CB617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企业应积极采用低废、少废、无废工艺，禁止采用《淘汰落后生产能力、工艺和产品的目录》中明令淘汰的技术工艺和设备。</w:t>
            </w:r>
          </w:p>
        </w:tc>
        <w:tc>
          <w:tcPr>
            <w:tcW w:w="1730" w:type="pct"/>
            <w:tcBorders>
              <w:tl2br w:val="nil"/>
              <w:tr2bl w:val="nil"/>
            </w:tcBorders>
            <w:noWrap w:val="0"/>
            <w:vAlign w:val="center"/>
          </w:tcPr>
          <w:p w14:paraId="5EB0EDC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本项目采取的工艺属于少废工艺，本项目采取</w:t>
            </w:r>
            <w:r>
              <w:rPr>
                <w:rFonts w:hint="eastAsia" w:ascii="Times New Roman" w:hAnsi="Times New Roman" w:cs="Times New Roman"/>
                <w:snapToGrid w:val="0"/>
                <w:color w:val="auto"/>
                <w:sz w:val="21"/>
                <w:szCs w:val="21"/>
                <w:highlight w:val="none"/>
                <w:lang w:val="en-US" w:eastAsia="zh-CN"/>
              </w:rPr>
              <w:t>的</w:t>
            </w:r>
            <w:r>
              <w:rPr>
                <w:rFonts w:hint="default" w:ascii="Times New Roman" w:hAnsi="Times New Roman" w:cs="Times New Roman"/>
                <w:snapToGrid w:val="0"/>
                <w:color w:val="auto"/>
                <w:sz w:val="21"/>
                <w:szCs w:val="21"/>
                <w:highlight w:val="none"/>
                <w:lang w:val="en-US" w:eastAsia="zh-CN"/>
              </w:rPr>
              <w:t>技术工艺和设备均不属于《淘汰落后生产能力、工艺和产品的目录》中明令淘汰的技术工艺和设备。</w:t>
            </w:r>
          </w:p>
        </w:tc>
        <w:tc>
          <w:tcPr>
            <w:tcW w:w="498" w:type="pct"/>
            <w:tcBorders>
              <w:tl2br w:val="nil"/>
              <w:tr2bl w:val="nil"/>
            </w:tcBorders>
            <w:noWrap w:val="0"/>
            <w:vAlign w:val="center"/>
          </w:tcPr>
          <w:p w14:paraId="75476778">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5009E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pct"/>
            <w:tcBorders>
              <w:tl2br w:val="nil"/>
              <w:tr2bl w:val="nil"/>
            </w:tcBorders>
            <w:noWrap w:val="0"/>
            <w:vAlign w:val="center"/>
          </w:tcPr>
          <w:p w14:paraId="1CBDC9A1">
            <w:pPr>
              <w:pStyle w:val="8"/>
              <w:suppressLineNumbers w:val="0"/>
              <w:bidi w:val="0"/>
              <w:spacing w:before="0" w:beforeAutospacing="0" w:after="0" w:afterAutospacing="0"/>
              <w:ind w:left="0" w:right="0"/>
              <w:rPr>
                <w:rFonts w:hint="default"/>
                <w:highlight w:val="none"/>
              </w:rPr>
            </w:pPr>
            <w:r>
              <w:rPr>
                <w:rFonts w:hint="eastAsia" w:ascii="宋体" w:hAnsi="宋体" w:eastAsia="宋体" w:cs="宋体"/>
                <w:sz w:val="21"/>
                <w:szCs w:val="21"/>
                <w:highlight w:val="none"/>
              </w:rPr>
              <w:t>危险废物收集与运输</w:t>
            </w:r>
          </w:p>
        </w:tc>
        <w:tc>
          <w:tcPr>
            <w:tcW w:w="2199" w:type="pct"/>
            <w:tcBorders>
              <w:tl2br w:val="nil"/>
              <w:tr2bl w:val="nil"/>
            </w:tcBorders>
            <w:noWrap w:val="0"/>
            <w:vAlign w:val="center"/>
          </w:tcPr>
          <w:p w14:paraId="06118EB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危险废物要根据其成分，用符合国家标准的专门容器分类收集；</w:t>
            </w:r>
          </w:p>
        </w:tc>
        <w:tc>
          <w:tcPr>
            <w:tcW w:w="1730" w:type="pct"/>
            <w:tcBorders>
              <w:tl2br w:val="nil"/>
              <w:tr2bl w:val="nil"/>
            </w:tcBorders>
            <w:noWrap w:val="0"/>
            <w:vAlign w:val="center"/>
          </w:tcPr>
          <w:p w14:paraId="25F4076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本项目危险废物均采用符合国家标准的专门容器分类收集。</w:t>
            </w:r>
          </w:p>
        </w:tc>
        <w:tc>
          <w:tcPr>
            <w:tcW w:w="498" w:type="pct"/>
            <w:tcBorders>
              <w:tl2br w:val="nil"/>
              <w:tr2bl w:val="nil"/>
            </w:tcBorders>
            <w:noWrap w:val="0"/>
            <w:vAlign w:val="center"/>
          </w:tcPr>
          <w:p w14:paraId="3CBF6A22">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7DDBA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72" w:type="pct"/>
            <w:vMerge w:val="restart"/>
            <w:tcBorders>
              <w:tl2br w:val="nil"/>
              <w:tr2bl w:val="nil"/>
            </w:tcBorders>
            <w:noWrap w:val="0"/>
            <w:vAlign w:val="center"/>
          </w:tcPr>
          <w:p w14:paraId="66C5310A">
            <w:pPr>
              <w:pStyle w:val="8"/>
              <w:suppressLineNumbers w:val="0"/>
              <w:bidi w:val="0"/>
              <w:spacing w:before="0" w:beforeAutospacing="0" w:after="0" w:afterAutospacing="0"/>
              <w:ind w:left="0" w:right="0"/>
              <w:outlineLvl w:val="9"/>
              <w:rPr>
                <w:rFonts w:hint="default"/>
                <w:highlight w:val="none"/>
              </w:rPr>
            </w:pPr>
            <w:r>
              <w:rPr>
                <w:rFonts w:hint="eastAsia" w:ascii="宋体" w:hAnsi="宋体" w:eastAsia="宋体" w:cs="宋体"/>
                <w:sz w:val="21"/>
                <w:szCs w:val="21"/>
                <w:highlight w:val="none"/>
              </w:rPr>
              <w:t>危险废物收集与运输</w:t>
            </w:r>
          </w:p>
        </w:tc>
        <w:tc>
          <w:tcPr>
            <w:tcW w:w="2199" w:type="pct"/>
            <w:tcBorders>
              <w:tl2br w:val="nil"/>
              <w:tr2bl w:val="nil"/>
            </w:tcBorders>
            <w:noWrap w:val="0"/>
            <w:vAlign w:val="center"/>
          </w:tcPr>
          <w:p w14:paraId="12778E5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tc>
        <w:tc>
          <w:tcPr>
            <w:tcW w:w="1730" w:type="pct"/>
            <w:tcBorders>
              <w:tl2br w:val="nil"/>
              <w:tr2bl w:val="nil"/>
            </w:tcBorders>
            <w:noWrap w:val="0"/>
            <w:vAlign w:val="center"/>
          </w:tcPr>
          <w:p w14:paraId="3ADD76D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本项目危险废物均采用符合国家标准的专门容器分类收集。本项目建成后，危险废物贮存包装均按要求贴标签。</w:t>
            </w:r>
          </w:p>
        </w:tc>
        <w:tc>
          <w:tcPr>
            <w:tcW w:w="498" w:type="pct"/>
            <w:tcBorders>
              <w:tl2br w:val="nil"/>
              <w:tr2bl w:val="nil"/>
            </w:tcBorders>
            <w:noWrap w:val="0"/>
            <w:vAlign w:val="center"/>
          </w:tcPr>
          <w:p w14:paraId="602BF33F">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2349C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72" w:type="pct"/>
            <w:vMerge w:val="continue"/>
            <w:tcBorders>
              <w:tl2br w:val="nil"/>
              <w:tr2bl w:val="nil"/>
            </w:tcBorders>
            <w:noWrap w:val="0"/>
            <w:vAlign w:val="center"/>
          </w:tcPr>
          <w:p w14:paraId="4B37D9D3">
            <w:pPr>
              <w:pStyle w:val="8"/>
              <w:suppressLineNumbers w:val="0"/>
              <w:bidi w:val="0"/>
              <w:spacing w:before="0" w:beforeAutospacing="0" w:after="0" w:afterAutospacing="0"/>
              <w:ind w:left="0" w:right="0"/>
              <w:outlineLvl w:val="9"/>
              <w:rPr>
                <w:rFonts w:hint="default"/>
                <w:highlight w:val="none"/>
              </w:rPr>
            </w:pPr>
          </w:p>
        </w:tc>
        <w:tc>
          <w:tcPr>
            <w:tcW w:w="2199" w:type="pct"/>
            <w:tcBorders>
              <w:tl2br w:val="nil"/>
              <w:tr2bl w:val="nil"/>
            </w:tcBorders>
            <w:shd w:val="clear" w:color="auto" w:fill="auto"/>
            <w:noWrap w:val="0"/>
            <w:vAlign w:val="center"/>
          </w:tcPr>
          <w:p w14:paraId="6E60EBD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鼓励发展安全高效的危险废物运输系统，鼓励发展各种形式的专用车辆，对危险废物运输要求安全可靠，要严格按照危险废物运输的管理规定进行危险废物的运输，减少运输过程中的二次污染和可能造成的环境风险。</w:t>
            </w:r>
          </w:p>
        </w:tc>
        <w:tc>
          <w:tcPr>
            <w:tcW w:w="1730" w:type="pct"/>
            <w:tcBorders>
              <w:tl2br w:val="nil"/>
              <w:tr2bl w:val="nil"/>
            </w:tcBorders>
            <w:shd w:val="clear" w:color="auto" w:fill="auto"/>
            <w:noWrap w:val="0"/>
            <w:vAlign w:val="center"/>
          </w:tcPr>
          <w:p w14:paraId="5116A67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项目收集的各类危险废物均运输采用专用车辆收集运输，委托有危险废物运输资质的运输单位，运输过程严格按照危险废物运输的管理规定运输，能有效减少运输过程中的二次污染和可能造成的环境。</w:t>
            </w:r>
          </w:p>
        </w:tc>
        <w:tc>
          <w:tcPr>
            <w:tcW w:w="498" w:type="pct"/>
            <w:tcBorders>
              <w:tl2br w:val="nil"/>
              <w:tr2bl w:val="nil"/>
            </w:tcBorders>
            <w:noWrap w:val="0"/>
            <w:vAlign w:val="center"/>
          </w:tcPr>
          <w:p w14:paraId="3FF53177">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59B87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72" w:type="pct"/>
            <w:tcBorders>
              <w:tl2br w:val="nil"/>
              <w:tr2bl w:val="nil"/>
            </w:tcBorders>
            <w:noWrap w:val="0"/>
            <w:vAlign w:val="center"/>
          </w:tcPr>
          <w:p w14:paraId="43FEBBB8">
            <w:pPr>
              <w:pStyle w:val="8"/>
              <w:suppressLineNumbers w:val="0"/>
              <w:bidi w:val="0"/>
              <w:spacing w:before="0" w:beforeAutospacing="0" w:after="0" w:afterAutospacing="0"/>
              <w:ind w:left="0" w:right="0"/>
              <w:rPr>
                <w:rFonts w:hint="default"/>
                <w:highlight w:val="none"/>
              </w:rPr>
            </w:pPr>
            <w:r>
              <w:rPr>
                <w:rFonts w:hint="eastAsia" w:ascii="宋体" w:hAnsi="宋体" w:eastAsia="宋体" w:cs="宋体"/>
                <w:sz w:val="21"/>
                <w:szCs w:val="21"/>
                <w:highlight w:val="none"/>
              </w:rPr>
              <w:t>危险废物转移</w:t>
            </w:r>
          </w:p>
        </w:tc>
        <w:tc>
          <w:tcPr>
            <w:tcW w:w="2199" w:type="pct"/>
            <w:tcBorders>
              <w:tl2br w:val="nil"/>
              <w:tr2bl w:val="nil"/>
            </w:tcBorders>
            <w:shd w:val="clear" w:color="auto" w:fill="auto"/>
            <w:noWrap w:val="0"/>
            <w:vAlign w:val="center"/>
          </w:tcPr>
          <w:p w14:paraId="0DFF4A64">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危险废物的越境转移应遵从《控制危险废物越境转移及其处置的巴塞尔公约》的要求，危险废物的国内转移遵从《危险废物转移联单管理办法》及其它有关规定的要求。</w:t>
            </w:r>
          </w:p>
        </w:tc>
        <w:tc>
          <w:tcPr>
            <w:tcW w:w="1730" w:type="pct"/>
            <w:tcBorders>
              <w:tl2br w:val="nil"/>
              <w:tr2bl w:val="nil"/>
            </w:tcBorders>
            <w:shd w:val="clear" w:color="auto" w:fill="auto"/>
            <w:noWrap w:val="0"/>
            <w:vAlign w:val="center"/>
          </w:tcPr>
          <w:p w14:paraId="519C2DB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项目收集的危险废物不越境转移。</w:t>
            </w:r>
          </w:p>
        </w:tc>
        <w:tc>
          <w:tcPr>
            <w:tcW w:w="498" w:type="pct"/>
            <w:tcBorders>
              <w:tl2br w:val="nil"/>
              <w:tr2bl w:val="nil"/>
            </w:tcBorders>
            <w:noWrap w:val="0"/>
            <w:vAlign w:val="center"/>
          </w:tcPr>
          <w:p w14:paraId="4682991B">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bl>
    <w:p w14:paraId="6069FF7F">
      <w:pPr>
        <w:pStyle w:val="8"/>
        <w:bidi w:val="0"/>
        <w:rPr>
          <w:rFonts w:hint="eastAsia"/>
          <w:highlight w:val="none"/>
          <w:lang w:val="en-US" w:eastAsia="zh-CN"/>
        </w:rPr>
      </w:pPr>
    </w:p>
    <w:p w14:paraId="1BB61CD0">
      <w:pPr>
        <w:pStyle w:val="7"/>
        <w:bidi w:val="0"/>
        <w:rPr>
          <w:highlight w:val="none"/>
        </w:rPr>
      </w:pPr>
      <w:r>
        <w:rPr>
          <w:rFonts w:hint="eastAsia"/>
          <w:highlight w:val="none"/>
          <w:lang w:val="en-US" w:eastAsia="zh-CN"/>
        </w:rPr>
        <w:t>续</w:t>
      </w:r>
      <w:r>
        <w:rPr>
          <w:highlight w:val="none"/>
        </w:rPr>
        <w:t>表1-4-</w:t>
      </w:r>
      <w:r>
        <w:rPr>
          <w:rFonts w:hint="eastAsia"/>
          <w:highlight w:val="none"/>
          <w:lang w:val="en-US" w:eastAsia="zh-CN"/>
        </w:rPr>
        <w:t>1</w:t>
      </w:r>
      <w:r>
        <w:rPr>
          <w:rFonts w:hint="eastAsia"/>
          <w:highlight w:val="none"/>
        </w:rPr>
        <w:t>《危险废物污染防治技术政策》</w:t>
      </w:r>
      <w:r>
        <w:rPr>
          <w:highlight w:val="none"/>
        </w:rPr>
        <w:t>符合性分析</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3479"/>
        <w:gridCol w:w="3321"/>
        <w:gridCol w:w="849"/>
      </w:tblGrid>
      <w:tr w14:paraId="032D9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l2br w:val="nil"/>
              <w:tr2bl w:val="nil"/>
            </w:tcBorders>
            <w:noWrap w:val="0"/>
            <w:vAlign w:val="center"/>
          </w:tcPr>
          <w:p w14:paraId="6BFD8870">
            <w:pPr>
              <w:pStyle w:val="8"/>
              <w:suppressLineNumbers w:val="0"/>
              <w:bidi w:val="0"/>
              <w:spacing w:before="0" w:beforeAutospacing="0" w:after="0" w:afterAutospacing="0"/>
              <w:ind w:left="0" w:right="0"/>
              <w:outlineLvl w:val="9"/>
              <w:rPr>
                <w:rFonts w:hint="default"/>
                <w:highlight w:val="none"/>
              </w:rPr>
            </w:pPr>
            <w:r>
              <w:rPr>
                <w:rFonts w:hint="default"/>
                <w:highlight w:val="none"/>
              </w:rPr>
              <w:t>危险废物的贮存</w:t>
            </w:r>
          </w:p>
        </w:tc>
        <w:tc>
          <w:tcPr>
            <w:tcW w:w="2041" w:type="pct"/>
            <w:tcBorders>
              <w:tl2br w:val="nil"/>
              <w:tr2bl w:val="nil"/>
            </w:tcBorders>
            <w:shd w:val="clear" w:color="auto" w:fill="auto"/>
            <w:noWrap w:val="0"/>
            <w:vAlign w:val="center"/>
          </w:tcPr>
          <w:p w14:paraId="184E3E86">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贮存危险废物的单位需拥有相应许可证。禁止将危险废物以任何形式转移给无许可证的单位，或转移到非危险废物贮存设施中。</w:t>
            </w:r>
          </w:p>
        </w:tc>
        <w:tc>
          <w:tcPr>
            <w:tcW w:w="1948" w:type="pct"/>
            <w:tcBorders>
              <w:tl2br w:val="nil"/>
              <w:tr2bl w:val="nil"/>
            </w:tcBorders>
            <w:shd w:val="clear" w:color="auto" w:fill="auto"/>
            <w:noWrap w:val="0"/>
            <w:vAlign w:val="center"/>
          </w:tcPr>
          <w:p w14:paraId="0144B841">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企业将按要求申领危险废物经营许可证。</w:t>
            </w:r>
          </w:p>
        </w:tc>
        <w:tc>
          <w:tcPr>
            <w:tcW w:w="498" w:type="pct"/>
            <w:tcBorders>
              <w:tl2br w:val="nil"/>
              <w:tr2bl w:val="nil"/>
            </w:tcBorders>
            <w:shd w:val="clear" w:color="auto" w:fill="auto"/>
            <w:noWrap w:val="0"/>
            <w:vAlign w:val="center"/>
          </w:tcPr>
          <w:p w14:paraId="456D84B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符合</w:t>
            </w:r>
          </w:p>
        </w:tc>
      </w:tr>
      <w:tr w14:paraId="11582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center"/>
          </w:tcPr>
          <w:p w14:paraId="609B3ACD">
            <w:pPr>
              <w:pStyle w:val="8"/>
              <w:suppressLineNumbers w:val="0"/>
              <w:bidi w:val="0"/>
              <w:spacing w:before="0" w:beforeAutospacing="0" w:after="0" w:afterAutospacing="0"/>
              <w:ind w:left="0" w:right="0"/>
              <w:outlineLvl w:val="9"/>
              <w:rPr>
                <w:rFonts w:hint="default"/>
                <w:highlight w:val="none"/>
              </w:rPr>
            </w:pPr>
          </w:p>
        </w:tc>
        <w:tc>
          <w:tcPr>
            <w:tcW w:w="2041" w:type="pct"/>
            <w:tcBorders>
              <w:tl2br w:val="nil"/>
              <w:tr2bl w:val="nil"/>
            </w:tcBorders>
            <w:noWrap w:val="0"/>
            <w:vAlign w:val="center"/>
          </w:tcPr>
          <w:p w14:paraId="1C1CF56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应建有堵截泄漏的裙脚</w:t>
            </w:r>
            <w:r>
              <w:rPr>
                <w:rFonts w:hint="eastAsia" w:ascii="Times New Roman" w:hAnsi="Times New Roman" w:cs="Times New Roman"/>
                <w:snapToGrid w:val="0"/>
                <w:color w:val="auto"/>
                <w:sz w:val="21"/>
                <w:szCs w:val="21"/>
                <w:highlight w:val="none"/>
                <w:lang w:val="en-US" w:eastAsia="zh-CN"/>
              </w:rPr>
              <w:t>，</w:t>
            </w:r>
            <w:r>
              <w:rPr>
                <w:rFonts w:hint="default" w:ascii="Times New Roman" w:hAnsi="Times New Roman" w:cs="Times New Roman"/>
                <w:snapToGrid w:val="0"/>
                <w:color w:val="auto"/>
                <w:sz w:val="21"/>
                <w:szCs w:val="21"/>
                <w:highlight w:val="none"/>
                <w:lang w:val="en-US" w:eastAsia="zh-CN"/>
              </w:rPr>
              <w:t>地面与裙脚要用坚固防渗的材料建造。应有隔离设施、报警装置和防风、防晒、防雨；</w:t>
            </w:r>
          </w:p>
        </w:tc>
        <w:tc>
          <w:tcPr>
            <w:tcW w:w="1948" w:type="pct"/>
            <w:tcBorders>
              <w:tl2br w:val="nil"/>
              <w:tr2bl w:val="nil"/>
            </w:tcBorders>
            <w:noWrap w:val="0"/>
            <w:vAlign w:val="center"/>
          </w:tcPr>
          <w:p w14:paraId="6B811A7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w:t>
            </w:r>
            <w:r>
              <w:rPr>
                <w:rFonts w:hint="eastAsia" w:ascii="Times New Roman" w:hAnsi="Times New Roman" w:cs="Times New Roman"/>
                <w:snapToGrid w:val="0"/>
                <w:color w:val="auto"/>
                <w:sz w:val="21"/>
                <w:szCs w:val="21"/>
                <w:highlight w:val="none"/>
                <w:lang w:val="en-US" w:eastAsia="zh-CN"/>
              </w:rPr>
              <w:t>生产、储存均位于生产车间及危险废物贮存库内，生产车间、危险废物贮存库</w:t>
            </w:r>
            <w:r>
              <w:rPr>
                <w:rFonts w:hint="default" w:ascii="Times New Roman" w:hAnsi="Times New Roman" w:cs="Times New Roman"/>
                <w:snapToGrid w:val="0"/>
                <w:color w:val="auto"/>
                <w:sz w:val="21"/>
                <w:szCs w:val="21"/>
                <w:highlight w:val="none"/>
                <w:lang w:val="en-US" w:eastAsia="zh-CN"/>
              </w:rPr>
              <w:t>处均设置有堵截泄漏的</w:t>
            </w:r>
            <w:r>
              <w:rPr>
                <w:rFonts w:hint="eastAsia" w:ascii="Times New Roman" w:hAnsi="Times New Roman" w:cs="Times New Roman"/>
                <w:snapToGrid w:val="0"/>
                <w:color w:val="auto"/>
                <w:sz w:val="21"/>
                <w:szCs w:val="21"/>
                <w:highlight w:val="none"/>
                <w:lang w:val="en-US" w:eastAsia="zh-CN"/>
              </w:rPr>
              <w:t>裙角</w:t>
            </w:r>
            <w:r>
              <w:rPr>
                <w:rFonts w:hint="default" w:ascii="Times New Roman" w:hAnsi="Times New Roman" w:cs="Times New Roman"/>
                <w:snapToGrid w:val="0"/>
                <w:color w:val="auto"/>
                <w:sz w:val="21"/>
                <w:szCs w:val="21"/>
                <w:highlight w:val="none"/>
                <w:lang w:val="en-US" w:eastAsia="zh-CN"/>
              </w:rPr>
              <w:t>，采用坚固防渗的材料建造，并采取隔离设施、报警装置和相应的防风、防晒、防雨措施</w:t>
            </w:r>
            <w:r>
              <w:rPr>
                <w:rFonts w:hint="eastAsia" w:ascii="Times New Roman" w:hAnsi="Times New Roman" w:cs="Times New Roman"/>
                <w:snapToGrid w:val="0"/>
                <w:color w:val="auto"/>
                <w:sz w:val="21"/>
                <w:szCs w:val="21"/>
                <w:highlight w:val="none"/>
                <w:lang w:val="en-US" w:eastAsia="zh-CN"/>
              </w:rPr>
              <w:t>。</w:t>
            </w:r>
          </w:p>
        </w:tc>
        <w:tc>
          <w:tcPr>
            <w:tcW w:w="498" w:type="pct"/>
            <w:tcBorders>
              <w:tl2br w:val="nil"/>
              <w:tr2bl w:val="nil"/>
            </w:tcBorders>
            <w:noWrap w:val="0"/>
            <w:vAlign w:val="center"/>
          </w:tcPr>
          <w:p w14:paraId="53E1BE4C">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3D30E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l2br w:val="nil"/>
              <w:tr2bl w:val="nil"/>
            </w:tcBorders>
            <w:noWrap w:val="0"/>
            <w:vAlign w:val="center"/>
          </w:tcPr>
          <w:p w14:paraId="78738567">
            <w:pPr>
              <w:pStyle w:val="8"/>
              <w:suppressLineNumbers w:val="0"/>
              <w:bidi w:val="0"/>
              <w:spacing w:before="0" w:beforeAutospacing="0" w:after="0" w:afterAutospacing="0"/>
              <w:ind w:left="0" w:right="0"/>
              <w:outlineLvl w:val="9"/>
              <w:rPr>
                <w:rFonts w:hint="default"/>
                <w:highlight w:val="none"/>
              </w:rPr>
            </w:pPr>
            <w:r>
              <w:rPr>
                <w:rFonts w:hint="default"/>
                <w:highlight w:val="none"/>
              </w:rPr>
              <w:t>危险废物的贮存</w:t>
            </w:r>
          </w:p>
        </w:tc>
        <w:tc>
          <w:tcPr>
            <w:tcW w:w="2041" w:type="pct"/>
            <w:tcBorders>
              <w:tl2br w:val="nil"/>
              <w:tr2bl w:val="nil"/>
            </w:tcBorders>
            <w:noWrap w:val="0"/>
            <w:vAlign w:val="center"/>
          </w:tcPr>
          <w:p w14:paraId="04B6D414">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基础防渗层为粘土层的，其厚度应在1米以上，渗透系数应小于1.0×10</w:t>
            </w:r>
            <w:r>
              <w:rPr>
                <w:rFonts w:hint="default" w:ascii="Times New Roman" w:hAnsi="Times New Roman" w:cs="Times New Roman"/>
                <w:snapToGrid w:val="0"/>
                <w:color w:val="auto"/>
                <w:sz w:val="21"/>
                <w:szCs w:val="21"/>
                <w:highlight w:val="none"/>
                <w:vertAlign w:val="superscript"/>
                <w:lang w:val="en-US" w:eastAsia="zh-CN"/>
              </w:rPr>
              <w:t>-7</w:t>
            </w:r>
            <w:r>
              <w:rPr>
                <w:rFonts w:hint="default" w:ascii="Times New Roman" w:hAnsi="Times New Roman" w:cs="Times New Roman"/>
                <w:snapToGrid w:val="0"/>
                <w:color w:val="auto"/>
                <w:sz w:val="21"/>
                <w:szCs w:val="21"/>
                <w:highlight w:val="none"/>
                <w:lang w:val="en-US" w:eastAsia="zh-CN"/>
              </w:rPr>
              <w:t>厘米/秒；基础防渗层也可用厚度在2毫米以上的高密度聚乙烯或其他人工防渗材料组成，渗透系数应小于1.0×10</w:t>
            </w:r>
            <w:r>
              <w:rPr>
                <w:rFonts w:hint="default" w:ascii="Times New Roman" w:hAnsi="Times New Roman" w:cs="Times New Roman"/>
                <w:snapToGrid w:val="0"/>
                <w:color w:val="auto"/>
                <w:sz w:val="21"/>
                <w:szCs w:val="21"/>
                <w:highlight w:val="none"/>
                <w:vertAlign w:val="superscript"/>
                <w:lang w:val="en-US" w:eastAsia="zh-CN"/>
              </w:rPr>
              <w:t>-10</w:t>
            </w:r>
            <w:r>
              <w:rPr>
                <w:rFonts w:hint="default" w:ascii="Times New Roman" w:hAnsi="Times New Roman" w:cs="Times New Roman"/>
                <w:snapToGrid w:val="0"/>
                <w:color w:val="auto"/>
                <w:sz w:val="21"/>
                <w:szCs w:val="21"/>
                <w:highlight w:val="none"/>
                <w:lang w:val="en-US" w:eastAsia="zh-CN"/>
              </w:rPr>
              <w:t>厘米/秒；</w:t>
            </w:r>
          </w:p>
        </w:tc>
        <w:tc>
          <w:tcPr>
            <w:tcW w:w="1948" w:type="pct"/>
            <w:tcBorders>
              <w:tl2br w:val="nil"/>
              <w:tr2bl w:val="nil"/>
            </w:tcBorders>
            <w:noWrap w:val="0"/>
            <w:vAlign w:val="center"/>
          </w:tcPr>
          <w:p w14:paraId="3A355E2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生产车间、危险废物贮存库地面整体采取防渗措施，防渗层采取人工材料防渗层+防渗混凝土层，渗透系数＜1.0×10</w:t>
            </w:r>
            <w:r>
              <w:rPr>
                <w:rFonts w:hint="eastAsia" w:ascii="Times New Roman" w:hAnsi="Times New Roman" w:cs="Times New Roman"/>
                <w:snapToGrid w:val="0"/>
                <w:color w:val="auto"/>
                <w:sz w:val="21"/>
                <w:szCs w:val="21"/>
                <w:highlight w:val="none"/>
                <w:vertAlign w:val="superscript"/>
                <w:lang w:val="en-US" w:eastAsia="zh-CN"/>
              </w:rPr>
              <w:t>-10</w:t>
            </w:r>
            <w:r>
              <w:rPr>
                <w:rFonts w:hint="eastAsia" w:ascii="Times New Roman" w:hAnsi="Times New Roman" w:cs="Times New Roman"/>
                <w:snapToGrid w:val="0"/>
                <w:color w:val="auto"/>
                <w:sz w:val="21"/>
                <w:szCs w:val="21"/>
                <w:highlight w:val="none"/>
                <w:lang w:val="en-US" w:eastAsia="zh-CN"/>
              </w:rPr>
              <w:t>cm/s。</w:t>
            </w:r>
          </w:p>
        </w:tc>
        <w:tc>
          <w:tcPr>
            <w:tcW w:w="498" w:type="pct"/>
            <w:tcBorders>
              <w:tl2br w:val="nil"/>
              <w:tr2bl w:val="nil"/>
            </w:tcBorders>
            <w:noWrap w:val="0"/>
            <w:vAlign w:val="center"/>
          </w:tcPr>
          <w:p w14:paraId="4BAB2766">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0AD1A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center"/>
          </w:tcPr>
          <w:p w14:paraId="3448CA0A">
            <w:pPr>
              <w:pStyle w:val="8"/>
              <w:suppressLineNumbers w:val="0"/>
              <w:bidi w:val="0"/>
              <w:spacing w:before="0" w:beforeAutospacing="0" w:after="0" w:afterAutospacing="0"/>
              <w:ind w:left="0" w:right="0"/>
              <w:outlineLvl w:val="9"/>
              <w:rPr>
                <w:rFonts w:hint="default"/>
                <w:highlight w:val="none"/>
              </w:rPr>
            </w:pPr>
          </w:p>
        </w:tc>
        <w:tc>
          <w:tcPr>
            <w:tcW w:w="2041" w:type="pct"/>
            <w:tcBorders>
              <w:tl2br w:val="nil"/>
              <w:tr2bl w:val="nil"/>
            </w:tcBorders>
            <w:noWrap w:val="0"/>
            <w:vAlign w:val="center"/>
          </w:tcPr>
          <w:p w14:paraId="031EFE6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须有泄漏液体收集装置及气体导出口和气体净化装置；</w:t>
            </w:r>
          </w:p>
        </w:tc>
        <w:tc>
          <w:tcPr>
            <w:tcW w:w="1948" w:type="pct"/>
            <w:tcBorders>
              <w:tl2br w:val="nil"/>
              <w:tr2bl w:val="nil"/>
            </w:tcBorders>
            <w:noWrap w:val="0"/>
            <w:vAlign w:val="center"/>
          </w:tcPr>
          <w:p w14:paraId="0E43C4C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危险废物贮存库设置活性炭吸附装置及排气筒，原料贮存池位于生产车间内，车间整体设置一套油雾净化器及活性炭吸附装置及排气筒</w:t>
            </w:r>
          </w:p>
        </w:tc>
        <w:tc>
          <w:tcPr>
            <w:tcW w:w="498" w:type="pct"/>
            <w:tcBorders>
              <w:tl2br w:val="nil"/>
              <w:tr2bl w:val="nil"/>
            </w:tcBorders>
            <w:noWrap w:val="0"/>
            <w:vAlign w:val="center"/>
          </w:tcPr>
          <w:p w14:paraId="5FC81A2E">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55425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l2br w:val="nil"/>
              <w:tr2bl w:val="nil"/>
            </w:tcBorders>
            <w:noWrap w:val="0"/>
            <w:vAlign w:val="center"/>
          </w:tcPr>
          <w:p w14:paraId="6C55D545">
            <w:pPr>
              <w:pStyle w:val="8"/>
              <w:suppressLineNumbers w:val="0"/>
              <w:bidi w:val="0"/>
              <w:spacing w:before="0" w:beforeAutospacing="0" w:after="0" w:afterAutospacing="0"/>
              <w:ind w:left="0" w:right="0"/>
              <w:outlineLvl w:val="9"/>
              <w:rPr>
                <w:rFonts w:hint="default"/>
                <w:highlight w:val="none"/>
              </w:rPr>
            </w:pPr>
            <w:r>
              <w:rPr>
                <w:rFonts w:hint="default"/>
                <w:highlight w:val="none"/>
              </w:rPr>
              <w:t>危险废物的贮存</w:t>
            </w:r>
          </w:p>
        </w:tc>
        <w:tc>
          <w:tcPr>
            <w:tcW w:w="2041" w:type="pct"/>
            <w:tcBorders>
              <w:tl2br w:val="nil"/>
              <w:tr2bl w:val="nil"/>
            </w:tcBorders>
            <w:noWrap w:val="0"/>
            <w:vAlign w:val="center"/>
          </w:tcPr>
          <w:p w14:paraId="29A8439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用于存放液体、半固体危险废物的地方，还须有耐腐蚀的硬化地面，地面无裂隙；</w:t>
            </w:r>
          </w:p>
        </w:tc>
        <w:tc>
          <w:tcPr>
            <w:tcW w:w="1948" w:type="pct"/>
            <w:tcBorders>
              <w:tl2br w:val="nil"/>
              <w:tr2bl w:val="nil"/>
            </w:tcBorders>
            <w:noWrap w:val="0"/>
            <w:vAlign w:val="center"/>
          </w:tcPr>
          <w:p w14:paraId="2B7DD89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本工程</w:t>
            </w:r>
            <w:r>
              <w:rPr>
                <w:rFonts w:hint="eastAsia" w:ascii="Times New Roman" w:hAnsi="Times New Roman" w:cs="Times New Roman"/>
                <w:snapToGrid w:val="0"/>
                <w:color w:val="auto"/>
                <w:sz w:val="21"/>
                <w:szCs w:val="21"/>
                <w:highlight w:val="none"/>
                <w:lang w:val="en-US" w:eastAsia="zh-CN"/>
              </w:rPr>
              <w:t>拟对生产车间</w:t>
            </w:r>
            <w:r>
              <w:rPr>
                <w:rFonts w:hint="default" w:ascii="Times New Roman" w:hAnsi="Times New Roman" w:cs="Times New Roman"/>
                <w:snapToGrid w:val="0"/>
                <w:color w:val="auto"/>
                <w:sz w:val="21"/>
                <w:szCs w:val="21"/>
                <w:highlight w:val="none"/>
                <w:lang w:val="en-US" w:eastAsia="zh-CN"/>
              </w:rPr>
              <w:t>地面</w:t>
            </w:r>
            <w:r>
              <w:rPr>
                <w:rFonts w:hint="eastAsia" w:ascii="Times New Roman" w:hAnsi="Times New Roman" w:cs="Times New Roman"/>
                <w:snapToGrid w:val="0"/>
                <w:color w:val="auto"/>
                <w:sz w:val="21"/>
                <w:szCs w:val="21"/>
                <w:highlight w:val="none"/>
                <w:lang w:val="en-US" w:eastAsia="zh-CN"/>
              </w:rPr>
              <w:t>、原料贮存池整体</w:t>
            </w:r>
            <w:r>
              <w:rPr>
                <w:rFonts w:hint="default" w:ascii="Times New Roman" w:hAnsi="Times New Roman" w:cs="Times New Roman"/>
                <w:snapToGrid w:val="0"/>
                <w:color w:val="auto"/>
                <w:sz w:val="21"/>
                <w:szCs w:val="21"/>
                <w:highlight w:val="none"/>
                <w:lang w:val="en-US" w:eastAsia="zh-CN"/>
              </w:rPr>
              <w:t>进行耐腐蚀硬化，同时</w:t>
            </w:r>
            <w:r>
              <w:rPr>
                <w:rFonts w:hint="eastAsia" w:ascii="Times New Roman" w:hAnsi="Times New Roman" w:cs="Times New Roman"/>
                <w:snapToGrid w:val="0"/>
                <w:color w:val="auto"/>
                <w:sz w:val="21"/>
                <w:szCs w:val="21"/>
                <w:highlight w:val="none"/>
                <w:lang w:val="en-US" w:eastAsia="zh-CN"/>
              </w:rPr>
              <w:t>铺设防渗材料，地面应无裂隙</w:t>
            </w:r>
            <w:r>
              <w:rPr>
                <w:rFonts w:hint="default" w:ascii="Times New Roman" w:hAnsi="Times New Roman" w:cs="Times New Roman"/>
                <w:snapToGrid w:val="0"/>
                <w:color w:val="auto"/>
                <w:sz w:val="21"/>
                <w:szCs w:val="21"/>
                <w:highlight w:val="none"/>
                <w:lang w:val="en-US" w:eastAsia="zh-CN"/>
              </w:rPr>
              <w:t>；</w:t>
            </w:r>
          </w:p>
        </w:tc>
        <w:tc>
          <w:tcPr>
            <w:tcW w:w="498" w:type="pct"/>
            <w:tcBorders>
              <w:tl2br w:val="nil"/>
              <w:tr2bl w:val="nil"/>
            </w:tcBorders>
            <w:noWrap w:val="0"/>
            <w:vAlign w:val="center"/>
          </w:tcPr>
          <w:p w14:paraId="34C10EA1">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0D314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center"/>
          </w:tcPr>
          <w:p w14:paraId="3BEB35E9">
            <w:pPr>
              <w:pStyle w:val="8"/>
              <w:suppressLineNumbers w:val="0"/>
              <w:bidi w:val="0"/>
              <w:spacing w:before="0" w:beforeAutospacing="0" w:after="0" w:afterAutospacing="0"/>
              <w:ind w:left="0" w:right="0"/>
              <w:outlineLvl w:val="9"/>
              <w:rPr>
                <w:rFonts w:hint="default"/>
                <w:highlight w:val="none"/>
              </w:rPr>
            </w:pPr>
          </w:p>
        </w:tc>
        <w:tc>
          <w:tcPr>
            <w:tcW w:w="2041" w:type="pct"/>
            <w:tcBorders>
              <w:tl2br w:val="nil"/>
              <w:tr2bl w:val="nil"/>
            </w:tcBorders>
            <w:noWrap w:val="0"/>
            <w:vAlign w:val="center"/>
          </w:tcPr>
          <w:p w14:paraId="6781F0F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衬层上需建有渗滤液收集清除系统、径流疏导系统、雨水收集池；</w:t>
            </w:r>
          </w:p>
        </w:tc>
        <w:tc>
          <w:tcPr>
            <w:tcW w:w="1948" w:type="pct"/>
            <w:tcBorders>
              <w:tl2br w:val="nil"/>
              <w:tr2bl w:val="nil"/>
            </w:tcBorders>
            <w:noWrap w:val="0"/>
            <w:vAlign w:val="center"/>
          </w:tcPr>
          <w:p w14:paraId="443F9CB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w:t>
            </w:r>
            <w:r>
              <w:rPr>
                <w:rFonts w:hint="eastAsia" w:ascii="Times New Roman" w:hAnsi="Times New Roman" w:cs="Times New Roman"/>
                <w:snapToGrid w:val="0"/>
                <w:color w:val="auto"/>
                <w:sz w:val="21"/>
                <w:szCs w:val="21"/>
                <w:highlight w:val="none"/>
                <w:lang w:val="en-US" w:eastAsia="zh-CN"/>
              </w:rPr>
              <w:t>项目位于封闭厂房内，不涉及雨水</w:t>
            </w:r>
            <w:r>
              <w:rPr>
                <w:rFonts w:hint="default" w:ascii="Times New Roman" w:hAnsi="Times New Roman" w:cs="Times New Roman"/>
                <w:snapToGrid w:val="0"/>
                <w:color w:val="auto"/>
                <w:sz w:val="21"/>
                <w:szCs w:val="21"/>
                <w:highlight w:val="none"/>
                <w:lang w:val="en-US" w:eastAsia="zh-CN"/>
              </w:rPr>
              <w:t>；在</w:t>
            </w:r>
            <w:r>
              <w:rPr>
                <w:rFonts w:hint="eastAsia" w:ascii="Times New Roman" w:hAnsi="Times New Roman" w:cs="Times New Roman"/>
                <w:snapToGrid w:val="0"/>
                <w:color w:val="auto"/>
                <w:sz w:val="21"/>
                <w:szCs w:val="21"/>
                <w:highlight w:val="none"/>
                <w:lang w:val="en-US" w:eastAsia="zh-CN"/>
              </w:rPr>
              <w:t>生产车间、危险废物贮存库</w:t>
            </w:r>
            <w:r>
              <w:rPr>
                <w:rFonts w:hint="default" w:ascii="Times New Roman" w:hAnsi="Times New Roman" w:cs="Times New Roman"/>
                <w:snapToGrid w:val="0"/>
                <w:color w:val="auto"/>
                <w:sz w:val="21"/>
                <w:szCs w:val="21"/>
                <w:highlight w:val="none"/>
                <w:lang w:val="en-US" w:eastAsia="zh-CN"/>
              </w:rPr>
              <w:t>设置有泄漏液体收集装置如围堰</w:t>
            </w:r>
            <w:r>
              <w:rPr>
                <w:rFonts w:hint="eastAsia" w:ascii="Times New Roman" w:hAnsi="Times New Roman" w:cs="Times New Roman"/>
                <w:snapToGrid w:val="0"/>
                <w:color w:val="auto"/>
                <w:sz w:val="21"/>
                <w:szCs w:val="21"/>
                <w:highlight w:val="none"/>
                <w:lang w:val="en-US" w:eastAsia="zh-CN"/>
              </w:rPr>
              <w:t>、导流槽、集液池</w:t>
            </w:r>
            <w:r>
              <w:rPr>
                <w:rFonts w:hint="default" w:ascii="Times New Roman" w:hAnsi="Times New Roman" w:cs="Times New Roman"/>
                <w:snapToGrid w:val="0"/>
                <w:color w:val="auto"/>
                <w:sz w:val="21"/>
                <w:szCs w:val="21"/>
                <w:highlight w:val="none"/>
                <w:lang w:val="en-US" w:eastAsia="zh-CN"/>
              </w:rPr>
              <w:t>等；</w:t>
            </w:r>
          </w:p>
        </w:tc>
        <w:tc>
          <w:tcPr>
            <w:tcW w:w="498" w:type="pct"/>
            <w:tcBorders>
              <w:tl2br w:val="nil"/>
              <w:tr2bl w:val="nil"/>
            </w:tcBorders>
            <w:noWrap w:val="0"/>
            <w:vAlign w:val="center"/>
          </w:tcPr>
          <w:p w14:paraId="46F0BE00">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646F3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center"/>
          </w:tcPr>
          <w:p w14:paraId="7D1531AE">
            <w:pPr>
              <w:pStyle w:val="8"/>
              <w:suppressLineNumbers w:val="0"/>
              <w:bidi w:val="0"/>
              <w:spacing w:before="0" w:beforeAutospacing="0" w:after="0" w:afterAutospacing="0"/>
              <w:ind w:left="0" w:right="0"/>
              <w:outlineLvl w:val="9"/>
              <w:rPr>
                <w:rFonts w:hint="default"/>
                <w:highlight w:val="none"/>
              </w:rPr>
            </w:pPr>
          </w:p>
        </w:tc>
        <w:tc>
          <w:tcPr>
            <w:tcW w:w="2041" w:type="pct"/>
            <w:tcBorders>
              <w:tl2br w:val="nil"/>
              <w:tr2bl w:val="nil"/>
            </w:tcBorders>
            <w:noWrap w:val="0"/>
            <w:vAlign w:val="center"/>
          </w:tcPr>
          <w:p w14:paraId="5A57518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贮存易燃易爆的危险废物的场所应配备消防设备。</w:t>
            </w:r>
          </w:p>
        </w:tc>
        <w:tc>
          <w:tcPr>
            <w:tcW w:w="1948" w:type="pct"/>
            <w:tcBorders>
              <w:tl2br w:val="nil"/>
              <w:tr2bl w:val="nil"/>
            </w:tcBorders>
            <w:noWrap w:val="0"/>
            <w:vAlign w:val="center"/>
          </w:tcPr>
          <w:p w14:paraId="18E793B4">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本项目在厂区按照</w:t>
            </w:r>
            <w:r>
              <w:rPr>
                <w:rFonts w:hint="eastAsia" w:ascii="Times New Roman" w:hAnsi="Times New Roman" w:cs="Times New Roman"/>
                <w:snapToGrid w:val="0"/>
                <w:color w:val="auto"/>
                <w:sz w:val="21"/>
                <w:szCs w:val="21"/>
                <w:highlight w:val="none"/>
                <w:lang w:val="en-US" w:eastAsia="zh-CN"/>
              </w:rPr>
              <w:t>相关</w:t>
            </w:r>
            <w:r>
              <w:rPr>
                <w:rFonts w:hint="default" w:ascii="Times New Roman" w:hAnsi="Times New Roman" w:cs="Times New Roman"/>
                <w:snapToGrid w:val="0"/>
                <w:color w:val="auto"/>
                <w:sz w:val="21"/>
                <w:szCs w:val="21"/>
                <w:highlight w:val="none"/>
                <w:lang w:val="en-US" w:eastAsia="zh-CN"/>
              </w:rPr>
              <w:t>要求设置了符合规范要求的消防设备。</w:t>
            </w:r>
          </w:p>
        </w:tc>
        <w:tc>
          <w:tcPr>
            <w:tcW w:w="498" w:type="pct"/>
            <w:tcBorders>
              <w:tl2br w:val="nil"/>
              <w:tr2bl w:val="nil"/>
            </w:tcBorders>
            <w:noWrap w:val="0"/>
            <w:vAlign w:val="center"/>
          </w:tcPr>
          <w:p w14:paraId="4158A20F">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7EC0E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512" w:type="pct"/>
            <w:tcBorders>
              <w:tl2br w:val="nil"/>
              <w:tr2bl w:val="nil"/>
            </w:tcBorders>
            <w:noWrap w:val="0"/>
            <w:vAlign w:val="center"/>
          </w:tcPr>
          <w:p w14:paraId="18CF688B">
            <w:pPr>
              <w:pStyle w:val="8"/>
              <w:suppressLineNumbers w:val="0"/>
              <w:bidi w:val="0"/>
              <w:spacing w:before="0" w:beforeAutospacing="0" w:after="0" w:afterAutospacing="0"/>
              <w:ind w:left="0" w:right="0"/>
              <w:rPr>
                <w:rFonts w:hint="default"/>
                <w:highlight w:val="none"/>
              </w:rPr>
            </w:pPr>
            <w:r>
              <w:rPr>
                <w:rFonts w:hint="default"/>
                <w:highlight w:val="none"/>
              </w:rPr>
              <w:t>废矿物油的污染防治</w:t>
            </w:r>
          </w:p>
        </w:tc>
        <w:tc>
          <w:tcPr>
            <w:tcW w:w="2041" w:type="pct"/>
            <w:tcBorders>
              <w:tl2br w:val="nil"/>
              <w:tr2bl w:val="nil"/>
            </w:tcBorders>
            <w:noWrap w:val="0"/>
            <w:vAlign w:val="center"/>
          </w:tcPr>
          <w:p w14:paraId="6CD8924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鼓励建立废矿物油收集体系，禁止将废矿物油任意抛洒、掩埋或倒入下水道以及用作建筑脱模油，禁止继续使用硫酸/白土法再生废矿物油。</w:t>
            </w:r>
          </w:p>
        </w:tc>
        <w:tc>
          <w:tcPr>
            <w:tcW w:w="1948" w:type="pct"/>
            <w:tcBorders>
              <w:tl2br w:val="nil"/>
              <w:tr2bl w:val="nil"/>
            </w:tcBorders>
            <w:noWrap w:val="0"/>
            <w:vAlign w:val="center"/>
          </w:tcPr>
          <w:p w14:paraId="5436725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本项目分离出的废液由专用容器收集，交由有资质单位处置</w:t>
            </w:r>
            <w:r>
              <w:rPr>
                <w:rFonts w:hint="default" w:ascii="Times New Roman" w:hAnsi="Times New Roman" w:cs="Times New Roman"/>
                <w:snapToGrid w:val="0"/>
                <w:color w:val="auto"/>
                <w:sz w:val="21"/>
                <w:szCs w:val="21"/>
                <w:highlight w:val="none"/>
                <w:lang w:val="en-US" w:eastAsia="zh-CN"/>
              </w:rPr>
              <w:t>。</w:t>
            </w:r>
          </w:p>
        </w:tc>
        <w:tc>
          <w:tcPr>
            <w:tcW w:w="498" w:type="pct"/>
            <w:tcBorders>
              <w:tl2br w:val="nil"/>
              <w:tr2bl w:val="nil"/>
            </w:tcBorders>
            <w:noWrap w:val="0"/>
            <w:vAlign w:val="center"/>
          </w:tcPr>
          <w:p w14:paraId="3C8142A1">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bl>
    <w:p w14:paraId="02F15466">
      <w:pPr>
        <w:pStyle w:val="5"/>
        <w:bidi w:val="0"/>
        <w:rPr>
          <w:highlight w:val="none"/>
        </w:rPr>
      </w:pPr>
      <w:bookmarkStart w:id="54" w:name="_Toc22983"/>
      <w:bookmarkStart w:id="55" w:name="_Toc9906"/>
      <w:r>
        <w:rPr>
          <w:highlight w:val="none"/>
        </w:rPr>
        <w:t>1.4.</w:t>
      </w:r>
      <w:r>
        <w:rPr>
          <w:rFonts w:hint="eastAsia"/>
          <w:highlight w:val="none"/>
          <w:lang w:val="en-US" w:eastAsia="zh-CN"/>
        </w:rPr>
        <w:t>3</w:t>
      </w:r>
      <w:r>
        <w:rPr>
          <w:highlight w:val="none"/>
        </w:rPr>
        <w:t>与《危险废物贮存污染控制标准》（GB18597-2023）符合性分析</w:t>
      </w:r>
      <w:bookmarkEnd w:id="54"/>
      <w:bookmarkEnd w:id="55"/>
    </w:p>
    <w:p w14:paraId="783094F0">
      <w:pPr>
        <w:pStyle w:val="14"/>
        <w:rPr>
          <w:highlight w:val="none"/>
        </w:rPr>
      </w:pPr>
    </w:p>
    <w:p w14:paraId="3B326050">
      <w:pPr>
        <w:rPr>
          <w:highlight w:val="none"/>
        </w:rPr>
      </w:pPr>
    </w:p>
    <w:p w14:paraId="3BA25B20">
      <w:pPr>
        <w:rPr>
          <w:highlight w:val="none"/>
        </w:rPr>
      </w:pPr>
    </w:p>
    <w:p w14:paraId="34071F1A">
      <w:pPr>
        <w:rPr>
          <w:highlight w:val="none"/>
        </w:rPr>
      </w:pPr>
    </w:p>
    <w:p w14:paraId="6825EEAB">
      <w:pPr>
        <w:rPr>
          <w:highlight w:val="none"/>
        </w:rPr>
      </w:pPr>
    </w:p>
    <w:p w14:paraId="69E5FD7C">
      <w:pPr>
        <w:rPr>
          <w:highlight w:val="none"/>
        </w:rPr>
      </w:pPr>
    </w:p>
    <w:p w14:paraId="190268D4">
      <w:pPr>
        <w:pStyle w:val="7"/>
        <w:bidi w:val="0"/>
        <w:rPr>
          <w:highlight w:val="none"/>
        </w:rPr>
      </w:pPr>
      <w:r>
        <w:rPr>
          <w:highlight w:val="none"/>
        </w:rPr>
        <w:t>表1-4-</w:t>
      </w:r>
      <w:r>
        <w:rPr>
          <w:rFonts w:hint="eastAsia"/>
          <w:highlight w:val="none"/>
          <w:lang w:val="en-US" w:eastAsia="zh-CN"/>
        </w:rPr>
        <w:t>2</w:t>
      </w:r>
      <w:r>
        <w:rPr>
          <w:highlight w:val="none"/>
        </w:rPr>
        <w:t>与《危险废物贮存污染控制标准》符合性一览表</w:t>
      </w:r>
    </w:p>
    <w:tbl>
      <w:tblPr>
        <w:tblStyle w:val="44"/>
        <w:tblpPr w:leftFromText="180" w:rightFromText="180" w:vertAnchor="text" w:tblpXSpec="left" w:tblpY="1"/>
        <w:tblOverlap w:val="never"/>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4112"/>
        <w:gridCol w:w="3265"/>
        <w:gridCol w:w="586"/>
      </w:tblGrid>
      <w:tr w14:paraId="0736AF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5224B967">
            <w:pPr>
              <w:pStyle w:val="8"/>
              <w:suppressLineNumbers w:val="0"/>
              <w:bidi w:val="0"/>
              <w:spacing w:before="0" w:beforeAutospacing="0" w:after="0" w:afterAutospacing="0"/>
              <w:ind w:left="0" w:right="0"/>
              <w:jc w:val="center"/>
              <w:rPr>
                <w:rFonts w:hint="default"/>
                <w:highlight w:val="none"/>
              </w:rPr>
            </w:pPr>
            <w:r>
              <w:rPr>
                <w:rFonts w:hint="default"/>
                <w:highlight w:val="none"/>
              </w:rPr>
              <w:t>序号</w:t>
            </w:r>
          </w:p>
        </w:tc>
        <w:tc>
          <w:tcPr>
            <w:tcW w:w="4112" w:type="dxa"/>
            <w:vAlign w:val="center"/>
          </w:tcPr>
          <w:p w14:paraId="4FE1351D">
            <w:pPr>
              <w:pStyle w:val="8"/>
              <w:suppressLineNumbers w:val="0"/>
              <w:bidi w:val="0"/>
              <w:spacing w:before="0" w:beforeAutospacing="0" w:after="0" w:afterAutospacing="0"/>
              <w:ind w:left="0" w:right="0"/>
              <w:jc w:val="center"/>
              <w:rPr>
                <w:rFonts w:hint="default"/>
                <w:highlight w:val="none"/>
              </w:rPr>
            </w:pPr>
            <w:r>
              <w:rPr>
                <w:rFonts w:hint="default"/>
                <w:color w:val="auto"/>
                <w:sz w:val="21"/>
                <w:szCs w:val="21"/>
                <w:highlight w:val="none"/>
              </w:rPr>
              <w:t>要求内容</w:t>
            </w:r>
          </w:p>
        </w:tc>
        <w:tc>
          <w:tcPr>
            <w:tcW w:w="3265" w:type="dxa"/>
            <w:vAlign w:val="center"/>
          </w:tcPr>
          <w:p w14:paraId="58885BF8">
            <w:pPr>
              <w:pStyle w:val="8"/>
              <w:suppressLineNumbers w:val="0"/>
              <w:bidi w:val="0"/>
              <w:spacing w:before="0" w:beforeAutospacing="0" w:after="0" w:afterAutospacing="0"/>
              <w:ind w:left="0" w:right="0"/>
              <w:jc w:val="center"/>
              <w:rPr>
                <w:rFonts w:hint="eastAsia" w:eastAsia="宋体"/>
                <w:highlight w:val="none"/>
                <w:lang w:eastAsia="zh-CN"/>
              </w:rPr>
            </w:pPr>
            <w:r>
              <w:rPr>
                <w:rFonts w:hint="eastAsia"/>
                <w:highlight w:val="none"/>
                <w:lang w:val="en-US" w:eastAsia="zh-CN"/>
              </w:rPr>
              <w:t>合理性分析</w:t>
            </w:r>
          </w:p>
        </w:tc>
        <w:tc>
          <w:tcPr>
            <w:tcW w:w="586" w:type="dxa"/>
            <w:vAlign w:val="center"/>
          </w:tcPr>
          <w:p w14:paraId="74BD002A">
            <w:pPr>
              <w:pStyle w:val="8"/>
              <w:suppressLineNumbers w:val="0"/>
              <w:bidi w:val="0"/>
              <w:spacing w:before="0" w:beforeAutospacing="0" w:after="0" w:afterAutospacing="0"/>
              <w:ind w:left="0" w:right="0"/>
              <w:jc w:val="center"/>
              <w:rPr>
                <w:rFonts w:hint="default"/>
                <w:highlight w:val="none"/>
              </w:rPr>
            </w:pPr>
            <w:r>
              <w:rPr>
                <w:rFonts w:hint="default"/>
                <w:highlight w:val="none"/>
              </w:rPr>
              <w:t>符合性</w:t>
            </w:r>
          </w:p>
        </w:tc>
      </w:tr>
      <w:tr w14:paraId="42623E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542B1A28">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0FC695C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产生、收集、贮存、利用、处置危险废物的单位应建造危险废物贮存设施或设置贮存场所，并根据需要选择贮存设施类型</w:t>
            </w:r>
          </w:p>
        </w:tc>
        <w:tc>
          <w:tcPr>
            <w:tcW w:w="3265" w:type="dxa"/>
            <w:vAlign w:val="center"/>
          </w:tcPr>
          <w:p w14:paraId="124394E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本项目设专门原料贮存池用于接收含油金属屑，危险废物贮存库用于储存生产产生的废液、废活性炭、废过滤材料、废电解液和电池</w:t>
            </w:r>
          </w:p>
        </w:tc>
        <w:tc>
          <w:tcPr>
            <w:tcW w:w="586" w:type="dxa"/>
            <w:vAlign w:val="center"/>
          </w:tcPr>
          <w:p w14:paraId="34D42B86">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50C250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4469D127">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69A7D29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贮存危险废物应根据危险废物的类别、数量、形态、物理化学性质和环境风险等因素，确定贮存设施或场所类型和规模</w:t>
            </w:r>
          </w:p>
        </w:tc>
        <w:tc>
          <w:tcPr>
            <w:tcW w:w="3265" w:type="dxa"/>
            <w:vAlign w:val="center"/>
          </w:tcPr>
          <w:p w14:paraId="43BF7F8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w:t>
            </w:r>
            <w:r>
              <w:rPr>
                <w:rFonts w:hint="eastAsia" w:ascii="Times New Roman" w:hAnsi="Times New Roman" w:cs="Times New Roman"/>
                <w:snapToGrid w:val="0"/>
                <w:color w:val="auto"/>
                <w:sz w:val="21"/>
                <w:szCs w:val="21"/>
                <w:highlight w:val="none"/>
                <w:lang w:val="en-US" w:eastAsia="zh-CN"/>
              </w:rPr>
              <w:t>根据原料及危险废物数量、形态、物理化学性质确定贮存场所为贮存池及危险废物贮存库</w:t>
            </w:r>
          </w:p>
        </w:tc>
        <w:tc>
          <w:tcPr>
            <w:tcW w:w="586" w:type="dxa"/>
            <w:vAlign w:val="center"/>
          </w:tcPr>
          <w:p w14:paraId="4B83ABB2">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1718C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562667E8">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1121BAE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贮存危险废物应根据危险废物的类别、形态、物理化学性质和污染防治要求进行分类贮存，且应避免危险废物与不相容的物质或材料接触</w:t>
            </w:r>
          </w:p>
        </w:tc>
        <w:tc>
          <w:tcPr>
            <w:tcW w:w="3265" w:type="dxa"/>
            <w:vAlign w:val="center"/>
          </w:tcPr>
          <w:p w14:paraId="45B1487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w:t>
            </w:r>
            <w:r>
              <w:rPr>
                <w:rFonts w:hint="eastAsia" w:ascii="Times New Roman" w:hAnsi="Times New Roman" w:cs="Times New Roman"/>
                <w:snapToGrid w:val="0"/>
                <w:color w:val="auto"/>
                <w:sz w:val="21"/>
                <w:szCs w:val="21"/>
                <w:highlight w:val="none"/>
                <w:lang w:val="en-US" w:eastAsia="zh-CN"/>
              </w:rPr>
              <w:t>原料及生产产生的危险废物</w:t>
            </w:r>
            <w:r>
              <w:rPr>
                <w:rFonts w:hint="default" w:ascii="Times New Roman" w:hAnsi="Times New Roman" w:cs="Times New Roman"/>
                <w:snapToGrid w:val="0"/>
                <w:color w:val="auto"/>
                <w:sz w:val="21"/>
                <w:szCs w:val="21"/>
                <w:highlight w:val="none"/>
                <w:lang w:val="en-US" w:eastAsia="zh-CN"/>
              </w:rPr>
              <w:t>分开储存，不进行接触</w:t>
            </w:r>
          </w:p>
        </w:tc>
        <w:tc>
          <w:tcPr>
            <w:tcW w:w="586" w:type="dxa"/>
            <w:vAlign w:val="center"/>
          </w:tcPr>
          <w:p w14:paraId="18ACFD1F">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0BA1F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10AD43F6">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5E3FC75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tc>
        <w:tc>
          <w:tcPr>
            <w:tcW w:w="3265" w:type="dxa"/>
            <w:vAlign w:val="center"/>
          </w:tcPr>
          <w:p w14:paraId="33AA9618">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本项目无渗漏液产生，本项目</w:t>
            </w:r>
            <w:r>
              <w:rPr>
                <w:rFonts w:hint="eastAsia" w:ascii="Times New Roman" w:hAnsi="Times New Roman" w:cs="Times New Roman"/>
                <w:snapToGrid w:val="0"/>
                <w:color w:val="auto"/>
                <w:sz w:val="21"/>
                <w:szCs w:val="21"/>
                <w:highlight w:val="none"/>
                <w:lang w:val="en-US" w:eastAsia="zh-CN"/>
              </w:rPr>
              <w:t>生产车间及危险废物贮存库均</w:t>
            </w:r>
            <w:r>
              <w:rPr>
                <w:rFonts w:hint="default" w:ascii="Times New Roman" w:hAnsi="Times New Roman" w:cs="Times New Roman"/>
                <w:snapToGrid w:val="0"/>
                <w:color w:val="auto"/>
                <w:sz w:val="21"/>
                <w:szCs w:val="21"/>
                <w:highlight w:val="none"/>
                <w:lang w:val="en-US" w:eastAsia="zh-CN"/>
              </w:rPr>
              <w:t>设置</w:t>
            </w:r>
            <w:r>
              <w:rPr>
                <w:rFonts w:hint="eastAsia" w:ascii="Times New Roman" w:hAnsi="Times New Roman" w:cs="Times New Roman"/>
                <w:snapToGrid w:val="0"/>
                <w:color w:val="auto"/>
                <w:sz w:val="21"/>
                <w:szCs w:val="21"/>
                <w:highlight w:val="none"/>
                <w:lang w:val="en-US" w:eastAsia="zh-CN"/>
              </w:rPr>
              <w:t>废气收集处理设施</w:t>
            </w:r>
            <w:r>
              <w:rPr>
                <w:rFonts w:hint="default" w:ascii="Times New Roman" w:hAnsi="Times New Roman" w:cs="Times New Roman"/>
                <w:snapToGrid w:val="0"/>
                <w:color w:val="auto"/>
                <w:sz w:val="21"/>
                <w:szCs w:val="21"/>
                <w:highlight w:val="none"/>
                <w:lang w:val="en-US" w:eastAsia="zh-CN"/>
              </w:rPr>
              <w:t>，减少了VOCs排放</w:t>
            </w:r>
          </w:p>
        </w:tc>
        <w:tc>
          <w:tcPr>
            <w:tcW w:w="586" w:type="dxa"/>
            <w:vAlign w:val="center"/>
          </w:tcPr>
          <w:p w14:paraId="290D1D1A">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171056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2EBF346A">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7EF2C83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贮存设施或场所、容器和包装物应按HJ1276要求设置危险废物贮存设施或场所标志、危险废物贮存分区标志和危险废物标签等危险废物识别标志</w:t>
            </w:r>
          </w:p>
        </w:tc>
        <w:tc>
          <w:tcPr>
            <w:tcW w:w="3265" w:type="dxa"/>
            <w:vAlign w:val="center"/>
          </w:tcPr>
          <w:p w14:paraId="4EA24C8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本项目要求建设单位在</w:t>
            </w:r>
            <w:r>
              <w:rPr>
                <w:rFonts w:hint="eastAsia" w:ascii="Times New Roman" w:hAnsi="Times New Roman" w:cs="Times New Roman"/>
                <w:snapToGrid w:val="0"/>
                <w:color w:val="auto"/>
                <w:sz w:val="21"/>
                <w:szCs w:val="21"/>
                <w:highlight w:val="none"/>
                <w:lang w:val="en-US" w:eastAsia="zh-CN"/>
              </w:rPr>
              <w:t>原料贮存池、危险废物贮存库</w:t>
            </w:r>
            <w:r>
              <w:rPr>
                <w:rFonts w:hint="default" w:ascii="Times New Roman" w:hAnsi="Times New Roman" w:cs="Times New Roman"/>
                <w:snapToGrid w:val="0"/>
                <w:color w:val="auto"/>
                <w:sz w:val="21"/>
                <w:szCs w:val="21"/>
                <w:highlight w:val="none"/>
                <w:lang w:val="en-US" w:eastAsia="zh-CN"/>
              </w:rPr>
              <w:t>设置危险废物标签等危险废物识别标志</w:t>
            </w:r>
          </w:p>
        </w:tc>
        <w:tc>
          <w:tcPr>
            <w:tcW w:w="586" w:type="dxa"/>
            <w:vAlign w:val="center"/>
          </w:tcPr>
          <w:p w14:paraId="2FC6C777">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261431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5847FC10">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7D135AF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3265" w:type="dxa"/>
            <w:vAlign w:val="center"/>
          </w:tcPr>
          <w:p w14:paraId="121FD541">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本评价要求单位在企业结束营业时将</w:t>
            </w:r>
            <w:r>
              <w:rPr>
                <w:rFonts w:hint="eastAsia" w:ascii="Times New Roman" w:hAnsi="Times New Roman" w:cs="Times New Roman"/>
                <w:snapToGrid w:val="0"/>
                <w:color w:val="auto"/>
                <w:sz w:val="21"/>
                <w:szCs w:val="21"/>
                <w:highlight w:val="none"/>
                <w:lang w:val="en-US" w:eastAsia="zh-CN"/>
              </w:rPr>
              <w:t>原料贮存区、危险废物贮存库</w:t>
            </w:r>
            <w:r>
              <w:rPr>
                <w:rFonts w:hint="default" w:ascii="Times New Roman" w:hAnsi="Times New Roman" w:cs="Times New Roman"/>
                <w:snapToGrid w:val="0"/>
                <w:color w:val="auto"/>
                <w:sz w:val="21"/>
                <w:szCs w:val="21"/>
                <w:highlight w:val="none"/>
                <w:lang w:val="en-US" w:eastAsia="zh-CN"/>
              </w:rPr>
              <w:t>内所有的废物进行清理，不得遗漏</w:t>
            </w:r>
          </w:p>
        </w:tc>
        <w:tc>
          <w:tcPr>
            <w:tcW w:w="586" w:type="dxa"/>
            <w:vAlign w:val="center"/>
          </w:tcPr>
          <w:p w14:paraId="164D9F2B">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13DF3B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3666A0C1">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0C004AC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贮存设施选址应满足生态环境保护法律法规、规划和“三线一单”生态环境分区管控的要求，建设项目应依法进行环境影响评价</w:t>
            </w:r>
          </w:p>
        </w:tc>
        <w:tc>
          <w:tcPr>
            <w:tcW w:w="3265" w:type="dxa"/>
            <w:vAlign w:val="center"/>
          </w:tcPr>
          <w:p w14:paraId="0620119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本项目符合产业政策，明确本项目符合</w:t>
            </w:r>
            <w:r>
              <w:rPr>
                <w:rFonts w:hint="eastAsia" w:ascii="Times New Roman" w:hAnsi="Times New Roman" w:cs="Times New Roman"/>
                <w:snapToGrid w:val="0"/>
                <w:color w:val="auto"/>
                <w:sz w:val="21"/>
                <w:szCs w:val="21"/>
                <w:highlight w:val="none"/>
                <w:lang w:val="en-US" w:eastAsia="zh-CN"/>
              </w:rPr>
              <w:t>黑龙江省生态环境分区管控数据应用平台出具的《黑龙江省奇福圆环保科技有限公司项目生态环境分区管控分析报告》</w:t>
            </w:r>
            <w:r>
              <w:rPr>
                <w:rFonts w:hint="default" w:ascii="Times New Roman" w:hAnsi="Times New Roman" w:cs="Times New Roman"/>
                <w:snapToGrid w:val="0"/>
                <w:color w:val="auto"/>
                <w:sz w:val="21"/>
                <w:szCs w:val="21"/>
                <w:highlight w:val="none"/>
                <w:lang w:val="en-US" w:eastAsia="zh-CN"/>
              </w:rPr>
              <w:t>中相关生态环境准入要求</w:t>
            </w:r>
          </w:p>
        </w:tc>
        <w:tc>
          <w:tcPr>
            <w:tcW w:w="586" w:type="dxa"/>
            <w:vAlign w:val="center"/>
          </w:tcPr>
          <w:p w14:paraId="2EF03FE4">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4DDF66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24926443">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726A1EC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集中贮存设施不应选在生态保护红线区域、永久基本农田和其他需要特别保护的区域内，不应建在溶洞区或易遭受洪水、滑坡、泥石流、潮汐等严重自然灾害影响的地区。</w:t>
            </w:r>
          </w:p>
        </w:tc>
        <w:tc>
          <w:tcPr>
            <w:tcW w:w="3265" w:type="dxa"/>
            <w:vAlign w:val="center"/>
          </w:tcPr>
          <w:p w14:paraId="67109F3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本项目厂址位于哈尔滨</w:t>
            </w:r>
            <w:r>
              <w:rPr>
                <w:rFonts w:hint="eastAsia" w:ascii="Times New Roman" w:hAnsi="Times New Roman" w:cs="Times New Roman"/>
                <w:snapToGrid w:val="0"/>
                <w:color w:val="auto"/>
                <w:sz w:val="21"/>
                <w:szCs w:val="21"/>
                <w:highlight w:val="none"/>
                <w:lang w:val="en-US" w:eastAsia="zh-CN"/>
              </w:rPr>
              <w:t>市香坊</w:t>
            </w:r>
            <w:r>
              <w:rPr>
                <w:rFonts w:hint="default" w:ascii="Times New Roman" w:hAnsi="Times New Roman" w:cs="Times New Roman"/>
                <w:snapToGrid w:val="0"/>
                <w:color w:val="auto"/>
                <w:sz w:val="21"/>
                <w:szCs w:val="21"/>
                <w:highlight w:val="none"/>
                <w:lang w:val="en-US" w:eastAsia="zh-CN"/>
              </w:rPr>
              <w:t>区</w:t>
            </w:r>
            <w:r>
              <w:rPr>
                <w:rFonts w:hint="eastAsia" w:ascii="Times New Roman" w:hAnsi="Times New Roman" w:cs="Times New Roman"/>
                <w:snapToGrid w:val="0"/>
                <w:color w:val="auto"/>
                <w:sz w:val="21"/>
                <w:szCs w:val="21"/>
                <w:highlight w:val="none"/>
                <w:lang w:val="en-US" w:eastAsia="zh-CN"/>
              </w:rPr>
              <w:t>幸福村</w:t>
            </w:r>
            <w:r>
              <w:rPr>
                <w:rFonts w:hint="default" w:ascii="Times New Roman" w:hAnsi="Times New Roman" w:cs="Times New Roman"/>
                <w:snapToGrid w:val="0"/>
                <w:color w:val="auto"/>
                <w:sz w:val="21"/>
                <w:szCs w:val="21"/>
                <w:highlight w:val="none"/>
                <w:lang w:val="en-US" w:eastAsia="zh-CN"/>
              </w:rPr>
              <w:t>，周边不存</w:t>
            </w:r>
            <w:r>
              <w:rPr>
                <w:rFonts w:hint="eastAsia" w:ascii="Times New Roman" w:hAnsi="Times New Roman" w:cs="Times New Roman"/>
                <w:snapToGrid w:val="0"/>
                <w:color w:val="auto"/>
                <w:sz w:val="21"/>
                <w:szCs w:val="21"/>
                <w:highlight w:val="none"/>
                <w:lang w:val="en-US" w:eastAsia="zh-CN"/>
              </w:rPr>
              <w:t>在生</w:t>
            </w:r>
            <w:r>
              <w:rPr>
                <w:rFonts w:hint="default" w:ascii="Times New Roman" w:hAnsi="Times New Roman" w:cs="Times New Roman"/>
                <w:snapToGrid w:val="0"/>
                <w:color w:val="auto"/>
                <w:sz w:val="21"/>
                <w:szCs w:val="21"/>
                <w:highlight w:val="none"/>
                <w:lang w:val="en-US" w:eastAsia="zh-CN"/>
              </w:rPr>
              <w:t>态保护红线区域、永久基本农田和其他需要特别保护的区域，选址不在溶洞区或易遭受洪水、滑坡、泥石流、潮汐等严重自然灾害影响的地区</w:t>
            </w:r>
          </w:p>
        </w:tc>
        <w:tc>
          <w:tcPr>
            <w:tcW w:w="586" w:type="dxa"/>
            <w:vAlign w:val="center"/>
          </w:tcPr>
          <w:p w14:paraId="71EF7258">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7C8B79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33B3D336">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7057B10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贮存设施不应选在江河、湖泊、运河、渠道、水库及其最高水位线以下的滩地和岸坡，以及法律法规规定禁止贮存危险废物的其他地点</w:t>
            </w:r>
          </w:p>
        </w:tc>
        <w:tc>
          <w:tcPr>
            <w:tcW w:w="3265" w:type="dxa"/>
            <w:vAlign w:val="center"/>
          </w:tcPr>
          <w:p w14:paraId="2B9054F8">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本项目选址不在滩地和岸坡</w:t>
            </w:r>
          </w:p>
        </w:tc>
        <w:tc>
          <w:tcPr>
            <w:tcW w:w="586" w:type="dxa"/>
            <w:vAlign w:val="center"/>
          </w:tcPr>
          <w:p w14:paraId="458E507E">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bl>
    <w:p w14:paraId="4131AF8C">
      <w:pPr>
        <w:pStyle w:val="8"/>
        <w:bidi w:val="0"/>
        <w:rPr>
          <w:rFonts w:hint="eastAsia"/>
          <w:highlight w:val="none"/>
          <w:lang w:val="en-US" w:eastAsia="zh-CN"/>
        </w:rPr>
      </w:pPr>
    </w:p>
    <w:p w14:paraId="5839BD9C">
      <w:pPr>
        <w:pStyle w:val="7"/>
        <w:bidi w:val="0"/>
        <w:rPr>
          <w:highlight w:val="none"/>
          <w:lang w:val="en-US" w:eastAsia="zh-CN"/>
        </w:rPr>
      </w:pPr>
      <w:r>
        <w:rPr>
          <w:rFonts w:hint="eastAsia"/>
          <w:highlight w:val="none"/>
          <w:lang w:val="en-US" w:eastAsia="zh-CN"/>
        </w:rPr>
        <w:t>续</w:t>
      </w:r>
      <w:r>
        <w:rPr>
          <w:highlight w:val="none"/>
          <w:lang w:val="en-US" w:eastAsia="zh-CN"/>
        </w:rPr>
        <w:t>表1-4-</w:t>
      </w:r>
      <w:r>
        <w:rPr>
          <w:rFonts w:hint="eastAsia"/>
          <w:highlight w:val="none"/>
          <w:lang w:val="en-US" w:eastAsia="zh-CN"/>
        </w:rPr>
        <w:t>2</w:t>
      </w:r>
      <w:r>
        <w:rPr>
          <w:highlight w:val="none"/>
          <w:lang w:val="en-US" w:eastAsia="zh-CN"/>
        </w:rPr>
        <w:t>与《危险废物贮存污染控制标准》符合性一览表</w:t>
      </w:r>
    </w:p>
    <w:tbl>
      <w:tblPr>
        <w:tblStyle w:val="44"/>
        <w:tblpPr w:leftFromText="180" w:rightFromText="180" w:vertAnchor="text" w:tblpXSpec="left" w:tblpY="1"/>
        <w:tblOverlap w:val="never"/>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4112"/>
        <w:gridCol w:w="3265"/>
        <w:gridCol w:w="586"/>
      </w:tblGrid>
      <w:tr w14:paraId="6A472A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736E33D1">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27C893C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贮存设施场址的位置以及其与周围环境敏感目标的距离应依据环境影响评价文件确定</w:t>
            </w:r>
          </w:p>
        </w:tc>
        <w:tc>
          <w:tcPr>
            <w:tcW w:w="3265" w:type="dxa"/>
            <w:vAlign w:val="center"/>
          </w:tcPr>
          <w:p w14:paraId="024B713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本项目贮存设施</w:t>
            </w:r>
            <w:r>
              <w:rPr>
                <w:rFonts w:hint="default" w:ascii="Times New Roman" w:hAnsi="Times New Roman" w:cs="Times New Roman"/>
                <w:snapToGrid w:val="0"/>
                <w:color w:val="auto"/>
                <w:sz w:val="21"/>
                <w:szCs w:val="21"/>
                <w:highlight w:val="none"/>
                <w:lang w:val="en-US" w:eastAsia="zh-CN"/>
              </w:rPr>
              <w:t>距离最近敏感目标</w:t>
            </w:r>
            <w:r>
              <w:rPr>
                <w:rFonts w:hint="eastAsia" w:ascii="Times New Roman" w:hAnsi="Times New Roman" w:cs="Times New Roman"/>
                <w:snapToGrid w:val="0"/>
                <w:color w:val="auto"/>
                <w:sz w:val="21"/>
                <w:szCs w:val="21"/>
                <w:highlight w:val="none"/>
                <w:lang w:val="en-US" w:eastAsia="zh-CN"/>
              </w:rPr>
              <w:t>约</w:t>
            </w:r>
            <w:r>
              <w:rPr>
                <w:rFonts w:hint="default" w:ascii="Times New Roman" w:hAnsi="Times New Roman" w:cs="Times New Roman"/>
                <w:snapToGrid w:val="0"/>
                <w:color w:val="auto"/>
                <w:sz w:val="21"/>
                <w:szCs w:val="21"/>
                <w:highlight w:val="none"/>
                <w:lang w:val="en-US" w:eastAsia="zh-CN"/>
              </w:rPr>
              <w:t>为</w:t>
            </w:r>
            <w:r>
              <w:rPr>
                <w:rFonts w:hint="eastAsia" w:ascii="Times New Roman" w:hAnsi="Times New Roman" w:cs="Times New Roman"/>
                <w:snapToGrid w:val="0"/>
                <w:color w:val="auto"/>
                <w:sz w:val="21"/>
                <w:szCs w:val="21"/>
                <w:highlight w:val="none"/>
                <w:lang w:val="en-US" w:eastAsia="zh-CN"/>
              </w:rPr>
              <w:t>420</w:t>
            </w:r>
            <w:r>
              <w:rPr>
                <w:rFonts w:hint="default" w:ascii="Times New Roman" w:hAnsi="Times New Roman" w:cs="Times New Roman"/>
                <w:snapToGrid w:val="0"/>
                <w:color w:val="auto"/>
                <w:sz w:val="21"/>
                <w:szCs w:val="21"/>
                <w:highlight w:val="none"/>
                <w:lang w:val="en-US" w:eastAsia="zh-CN"/>
              </w:rPr>
              <w:t>m，根据环境影响评价结果，对其影响很小，不需设置防护距离</w:t>
            </w:r>
          </w:p>
        </w:tc>
        <w:tc>
          <w:tcPr>
            <w:tcW w:w="586" w:type="dxa"/>
            <w:vAlign w:val="center"/>
          </w:tcPr>
          <w:p w14:paraId="4A15AB11">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736D1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7ED63319">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711C55E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贮存设施应根据危险废物的形态、物理化学性质、包装形式和污染物迁移途径，采风、防晒、防雨、防漏、防渗、防腐以及其他环境污染防治措施，不应露天堆放危险废物。</w:t>
            </w:r>
          </w:p>
        </w:tc>
        <w:tc>
          <w:tcPr>
            <w:tcW w:w="3265" w:type="dxa"/>
            <w:vAlign w:val="center"/>
          </w:tcPr>
          <w:p w14:paraId="704C7EA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w:t>
            </w:r>
            <w:r>
              <w:rPr>
                <w:rFonts w:hint="eastAsia" w:ascii="Times New Roman" w:hAnsi="Times New Roman" w:cs="Times New Roman"/>
                <w:snapToGrid w:val="0"/>
                <w:color w:val="auto"/>
                <w:sz w:val="21"/>
                <w:szCs w:val="21"/>
                <w:highlight w:val="none"/>
                <w:lang w:val="en-US" w:eastAsia="zh-CN"/>
              </w:rPr>
              <w:t>原料含油金属屑采用贮存池贮存，位于封闭生产车间内</w:t>
            </w:r>
            <w:r>
              <w:rPr>
                <w:rFonts w:hint="default" w:ascii="Times New Roman" w:hAnsi="Times New Roman" w:cs="Times New Roman"/>
                <w:snapToGrid w:val="0"/>
                <w:color w:val="auto"/>
                <w:sz w:val="21"/>
                <w:szCs w:val="21"/>
                <w:highlight w:val="none"/>
                <w:lang w:val="en-US" w:eastAsia="zh-CN"/>
              </w:rPr>
              <w:t>，</w:t>
            </w:r>
            <w:r>
              <w:rPr>
                <w:rFonts w:hint="eastAsia" w:ascii="Times New Roman" w:hAnsi="Times New Roman" w:cs="Times New Roman"/>
                <w:snapToGrid w:val="0"/>
                <w:color w:val="auto"/>
                <w:sz w:val="21"/>
                <w:szCs w:val="21"/>
                <w:highlight w:val="none"/>
                <w:lang w:val="en-US" w:eastAsia="zh-CN"/>
              </w:rPr>
              <w:t>生产过程中产生的危险废物均采用专用包装桶储存，</w:t>
            </w:r>
            <w:r>
              <w:rPr>
                <w:rFonts w:hint="default" w:ascii="Times New Roman" w:hAnsi="Times New Roman" w:cs="Times New Roman"/>
                <w:snapToGrid w:val="0"/>
                <w:color w:val="auto"/>
                <w:sz w:val="21"/>
                <w:szCs w:val="21"/>
                <w:highlight w:val="none"/>
                <w:lang w:val="en-US" w:eastAsia="zh-CN"/>
              </w:rPr>
              <w:t>不露天堆放</w:t>
            </w:r>
          </w:p>
        </w:tc>
        <w:tc>
          <w:tcPr>
            <w:tcW w:w="586" w:type="dxa"/>
            <w:vAlign w:val="center"/>
          </w:tcPr>
          <w:p w14:paraId="47E0E38D">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33F64D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5762CA16">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473CFA3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贮存设施应根据危险废物的类别、数量、形态、物理化学性质和污染防治等要求设置必要的贮存分区，避免不相容的危险废物接触、混合</w:t>
            </w:r>
          </w:p>
        </w:tc>
        <w:tc>
          <w:tcPr>
            <w:tcW w:w="3265" w:type="dxa"/>
            <w:vAlign w:val="center"/>
          </w:tcPr>
          <w:p w14:paraId="61CD6147">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w:t>
            </w:r>
            <w:r>
              <w:rPr>
                <w:rFonts w:hint="eastAsia" w:ascii="Times New Roman" w:hAnsi="Times New Roman" w:cs="Times New Roman"/>
                <w:snapToGrid w:val="0"/>
                <w:color w:val="auto"/>
                <w:sz w:val="21"/>
                <w:szCs w:val="21"/>
                <w:highlight w:val="none"/>
                <w:lang w:val="en-US" w:eastAsia="zh-CN"/>
              </w:rPr>
              <w:t>含油金属屑</w:t>
            </w:r>
            <w:r>
              <w:rPr>
                <w:rFonts w:hint="default" w:ascii="Times New Roman" w:hAnsi="Times New Roman" w:cs="Times New Roman"/>
                <w:snapToGrid w:val="0"/>
                <w:color w:val="auto"/>
                <w:sz w:val="21"/>
                <w:szCs w:val="21"/>
                <w:highlight w:val="none"/>
                <w:lang w:val="en-US" w:eastAsia="zh-CN"/>
              </w:rPr>
              <w:t>和</w:t>
            </w:r>
            <w:r>
              <w:rPr>
                <w:rFonts w:hint="eastAsia" w:ascii="Times New Roman" w:hAnsi="Times New Roman" w:cs="Times New Roman"/>
                <w:snapToGrid w:val="0"/>
                <w:color w:val="auto"/>
                <w:sz w:val="21"/>
                <w:szCs w:val="21"/>
                <w:highlight w:val="none"/>
                <w:lang w:val="en-US" w:eastAsia="zh-CN"/>
              </w:rPr>
              <w:t>生产产生的废液、废活性炭、废过滤材料、废电解液和电池</w:t>
            </w:r>
            <w:r>
              <w:rPr>
                <w:rFonts w:hint="default" w:ascii="Times New Roman" w:hAnsi="Times New Roman" w:cs="Times New Roman"/>
                <w:snapToGrid w:val="0"/>
                <w:color w:val="auto"/>
                <w:sz w:val="21"/>
                <w:szCs w:val="21"/>
                <w:highlight w:val="none"/>
                <w:lang w:val="en-US" w:eastAsia="zh-CN"/>
              </w:rPr>
              <w:t>分开储存，不进行接触</w:t>
            </w:r>
          </w:p>
        </w:tc>
        <w:tc>
          <w:tcPr>
            <w:tcW w:w="586" w:type="dxa"/>
            <w:vAlign w:val="center"/>
          </w:tcPr>
          <w:p w14:paraId="238677FC">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3F9B12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564201D2">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38E65AF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贮存设施或贮存分区内地面、墙面裙脚、堵截泄漏的围堰、接触危险废物的隔板和墙体等应采用坚固的材料建造，表面无裂缝</w:t>
            </w:r>
          </w:p>
        </w:tc>
        <w:tc>
          <w:tcPr>
            <w:tcW w:w="3265" w:type="dxa"/>
            <w:vAlign w:val="center"/>
          </w:tcPr>
          <w:p w14:paraId="47F113F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w:t>
            </w:r>
            <w:r>
              <w:rPr>
                <w:rFonts w:hint="eastAsia" w:ascii="Times New Roman" w:hAnsi="Times New Roman" w:cs="Times New Roman"/>
                <w:snapToGrid w:val="0"/>
                <w:color w:val="auto"/>
                <w:sz w:val="21"/>
                <w:szCs w:val="21"/>
                <w:highlight w:val="none"/>
                <w:lang w:val="en-US" w:eastAsia="zh-CN"/>
              </w:rPr>
              <w:t>原料贮存池、危险废物贮存库</w:t>
            </w:r>
            <w:r>
              <w:rPr>
                <w:rFonts w:hint="default" w:ascii="Times New Roman" w:hAnsi="Times New Roman" w:cs="Times New Roman"/>
                <w:snapToGrid w:val="0"/>
                <w:color w:val="auto"/>
                <w:sz w:val="21"/>
                <w:szCs w:val="21"/>
                <w:highlight w:val="none"/>
                <w:lang w:val="en-US" w:eastAsia="zh-CN"/>
              </w:rPr>
              <w:t>围堰采用坚固材料，且表面无裂缝</w:t>
            </w:r>
          </w:p>
        </w:tc>
        <w:tc>
          <w:tcPr>
            <w:tcW w:w="586" w:type="dxa"/>
            <w:vAlign w:val="center"/>
          </w:tcPr>
          <w:p w14:paraId="76D541EE">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57658A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0ED72144">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1E02C75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snapToGrid w:val="0"/>
                <w:color w:val="auto"/>
                <w:sz w:val="21"/>
                <w:szCs w:val="21"/>
                <w:highlight w:val="none"/>
                <w:vertAlign w:val="superscript"/>
                <w:lang w:val="en-US" w:eastAsia="zh-CN"/>
              </w:rPr>
              <w:t>-7</w:t>
            </w:r>
            <w:r>
              <w:rPr>
                <w:rFonts w:hint="default" w:ascii="Times New Roman" w:hAnsi="Times New Roman" w:cs="Times New Roman"/>
                <w:snapToGrid w:val="0"/>
                <w:color w:val="auto"/>
                <w:sz w:val="21"/>
                <w:szCs w:val="21"/>
                <w:highlight w:val="none"/>
                <w:lang w:val="en-US" w:eastAsia="zh-CN"/>
              </w:rPr>
              <w:t>cm/s），或至少2mm厚高密度聚乙烯膜等人工防渗材料（渗透系数不大于10</w:t>
            </w:r>
            <w:r>
              <w:rPr>
                <w:rFonts w:hint="default" w:ascii="Times New Roman" w:hAnsi="Times New Roman" w:cs="Times New Roman"/>
                <w:snapToGrid w:val="0"/>
                <w:color w:val="auto"/>
                <w:sz w:val="21"/>
                <w:szCs w:val="21"/>
                <w:highlight w:val="none"/>
                <w:vertAlign w:val="superscript"/>
                <w:lang w:val="en-US" w:eastAsia="zh-CN"/>
              </w:rPr>
              <w:t>-10</w:t>
            </w:r>
            <w:r>
              <w:rPr>
                <w:rFonts w:hint="default" w:ascii="Times New Roman" w:hAnsi="Times New Roman" w:cs="Times New Roman"/>
                <w:snapToGrid w:val="0"/>
                <w:color w:val="auto"/>
                <w:sz w:val="21"/>
                <w:szCs w:val="21"/>
                <w:highlight w:val="none"/>
                <w:lang w:val="en-US" w:eastAsia="zh-CN"/>
              </w:rPr>
              <w:t>cm/s），或其他防渗性能等效的材料</w:t>
            </w:r>
          </w:p>
        </w:tc>
        <w:tc>
          <w:tcPr>
            <w:tcW w:w="3265" w:type="dxa"/>
            <w:vAlign w:val="center"/>
          </w:tcPr>
          <w:p w14:paraId="0A9B34A6">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本项目生产车间及危险废物贮存库整体采取防渗措施，防渗层采取人工材料防渗层+防渗混凝土层，渗透系数＜1.0×10</w:t>
            </w:r>
            <w:r>
              <w:rPr>
                <w:rFonts w:hint="eastAsia" w:ascii="Times New Roman" w:hAnsi="Times New Roman" w:cs="Times New Roman"/>
                <w:snapToGrid w:val="0"/>
                <w:color w:val="auto"/>
                <w:sz w:val="21"/>
                <w:szCs w:val="21"/>
                <w:highlight w:val="none"/>
                <w:vertAlign w:val="superscript"/>
                <w:lang w:val="en-US" w:eastAsia="zh-CN"/>
              </w:rPr>
              <w:t>-10</w:t>
            </w:r>
            <w:r>
              <w:rPr>
                <w:rFonts w:hint="eastAsia" w:ascii="Times New Roman" w:hAnsi="Times New Roman" w:cs="Times New Roman"/>
                <w:snapToGrid w:val="0"/>
                <w:color w:val="auto"/>
                <w:sz w:val="21"/>
                <w:szCs w:val="21"/>
                <w:highlight w:val="none"/>
                <w:lang w:val="en-US" w:eastAsia="zh-CN"/>
              </w:rPr>
              <w:t>cm/s</w:t>
            </w:r>
          </w:p>
        </w:tc>
        <w:tc>
          <w:tcPr>
            <w:tcW w:w="586" w:type="dxa"/>
            <w:vAlign w:val="center"/>
          </w:tcPr>
          <w:p w14:paraId="68A3CE1D">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7A8421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7B841CBB">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1F18EBF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3265" w:type="dxa"/>
            <w:vAlign w:val="center"/>
          </w:tcPr>
          <w:p w14:paraId="2D640BF6">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本项目生产车间整体防渗，危险废物贮存库整体防渗，采用相同材料及工艺</w:t>
            </w:r>
          </w:p>
        </w:tc>
        <w:tc>
          <w:tcPr>
            <w:tcW w:w="586" w:type="dxa"/>
            <w:vAlign w:val="center"/>
          </w:tcPr>
          <w:p w14:paraId="1FD81EFF">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07527C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399D17F7">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06884FE7">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贮存设施应采取技术和管理措施防止无关人员进入</w:t>
            </w:r>
          </w:p>
        </w:tc>
        <w:tc>
          <w:tcPr>
            <w:tcW w:w="3265" w:type="dxa"/>
            <w:vAlign w:val="center"/>
          </w:tcPr>
          <w:p w14:paraId="30B0B9D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本项目在厂内设置标识，</w:t>
            </w:r>
            <w:r>
              <w:rPr>
                <w:rFonts w:hint="eastAsia" w:ascii="Times New Roman" w:hAnsi="Times New Roman" w:cs="Times New Roman"/>
                <w:snapToGrid w:val="0"/>
                <w:color w:val="auto"/>
                <w:sz w:val="21"/>
                <w:szCs w:val="21"/>
                <w:highlight w:val="none"/>
                <w:lang w:val="en-US" w:eastAsia="zh-CN"/>
              </w:rPr>
              <w:t>储存区</w:t>
            </w:r>
            <w:r>
              <w:rPr>
                <w:rFonts w:hint="default" w:ascii="Times New Roman" w:hAnsi="Times New Roman" w:cs="Times New Roman"/>
                <w:snapToGrid w:val="0"/>
                <w:color w:val="auto"/>
                <w:sz w:val="21"/>
                <w:szCs w:val="21"/>
                <w:highlight w:val="none"/>
                <w:lang w:val="en-US" w:eastAsia="zh-CN"/>
              </w:rPr>
              <w:t>附近无关人员不得</w:t>
            </w:r>
            <w:r>
              <w:rPr>
                <w:rFonts w:hint="eastAsia" w:ascii="Times New Roman" w:hAnsi="Times New Roman" w:cs="Times New Roman"/>
                <w:snapToGrid w:val="0"/>
                <w:color w:val="auto"/>
                <w:sz w:val="21"/>
                <w:szCs w:val="21"/>
                <w:highlight w:val="none"/>
                <w:lang w:val="en-US" w:eastAsia="zh-CN"/>
              </w:rPr>
              <w:t>进入</w:t>
            </w:r>
          </w:p>
        </w:tc>
        <w:tc>
          <w:tcPr>
            <w:tcW w:w="586" w:type="dxa"/>
            <w:vAlign w:val="center"/>
          </w:tcPr>
          <w:p w14:paraId="61B88AC3">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6F9B9D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15E0BDE7">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4E47FA4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液态危险废物应装入容器内贮存，或直接采用贮存池、贮存罐区贮存</w:t>
            </w:r>
          </w:p>
        </w:tc>
        <w:tc>
          <w:tcPr>
            <w:tcW w:w="3265" w:type="dxa"/>
            <w:vAlign w:val="center"/>
          </w:tcPr>
          <w:p w14:paraId="20090F4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本项目生产过程中产生的液态危险废物采用专用包装桶储存</w:t>
            </w:r>
          </w:p>
        </w:tc>
        <w:tc>
          <w:tcPr>
            <w:tcW w:w="586" w:type="dxa"/>
            <w:vAlign w:val="center"/>
          </w:tcPr>
          <w:p w14:paraId="79D7B843">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2E6DA6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27729296">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156564D4">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危险废物存入贮存设施前应对危险废物类别和特性进行核验，不一致的或类别、特性不明的不应存入</w:t>
            </w:r>
          </w:p>
        </w:tc>
        <w:tc>
          <w:tcPr>
            <w:tcW w:w="3265" w:type="dxa"/>
            <w:vAlign w:val="center"/>
          </w:tcPr>
          <w:p w14:paraId="007B2B7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本项目按照上述规定严格对</w:t>
            </w:r>
            <w:r>
              <w:rPr>
                <w:rFonts w:hint="eastAsia" w:ascii="Times New Roman" w:hAnsi="Times New Roman" w:cs="Times New Roman"/>
                <w:snapToGrid w:val="0"/>
                <w:color w:val="auto"/>
                <w:sz w:val="21"/>
                <w:szCs w:val="21"/>
                <w:highlight w:val="none"/>
                <w:lang w:val="en-US" w:eastAsia="zh-CN"/>
              </w:rPr>
              <w:t>生产过程中产生危险废物</w:t>
            </w:r>
            <w:r>
              <w:rPr>
                <w:rFonts w:hint="default" w:ascii="Times New Roman" w:hAnsi="Times New Roman" w:cs="Times New Roman"/>
                <w:snapToGrid w:val="0"/>
                <w:color w:val="auto"/>
                <w:sz w:val="21"/>
                <w:szCs w:val="21"/>
                <w:highlight w:val="none"/>
                <w:lang w:val="en-US" w:eastAsia="zh-CN"/>
              </w:rPr>
              <w:t>进行管理</w:t>
            </w:r>
          </w:p>
        </w:tc>
        <w:tc>
          <w:tcPr>
            <w:tcW w:w="586" w:type="dxa"/>
            <w:vAlign w:val="center"/>
          </w:tcPr>
          <w:p w14:paraId="5891738E">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181B4F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766104EA">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29C28264">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应定期检查危险废物的贮存状况，及时清理贮存设施地面，更换破损泄漏的危险废物贮存容器和包装物，保证堆存危险废物的防雨、防风、防扬尘等设施功能完好</w:t>
            </w:r>
          </w:p>
        </w:tc>
        <w:tc>
          <w:tcPr>
            <w:tcW w:w="3265" w:type="dxa"/>
            <w:vMerge w:val="restart"/>
            <w:vAlign w:val="center"/>
          </w:tcPr>
          <w:p w14:paraId="3231443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本项目按照上述规定严格对进场的</w:t>
            </w:r>
            <w:r>
              <w:rPr>
                <w:rFonts w:hint="eastAsia" w:ascii="Times New Roman" w:hAnsi="Times New Roman" w:cs="Times New Roman"/>
                <w:snapToGrid w:val="0"/>
                <w:color w:val="auto"/>
                <w:sz w:val="21"/>
                <w:szCs w:val="21"/>
                <w:highlight w:val="none"/>
                <w:lang w:val="en-US" w:eastAsia="zh-CN"/>
              </w:rPr>
              <w:t>生产过程中产生危险废物</w:t>
            </w:r>
            <w:r>
              <w:rPr>
                <w:rFonts w:hint="default" w:ascii="Times New Roman" w:hAnsi="Times New Roman" w:cs="Times New Roman"/>
                <w:snapToGrid w:val="0"/>
                <w:color w:val="auto"/>
                <w:sz w:val="21"/>
                <w:szCs w:val="21"/>
                <w:highlight w:val="none"/>
                <w:lang w:val="en-US" w:eastAsia="zh-CN"/>
              </w:rPr>
              <w:t>进行管理</w:t>
            </w:r>
          </w:p>
        </w:tc>
        <w:tc>
          <w:tcPr>
            <w:tcW w:w="586" w:type="dxa"/>
            <w:vAlign w:val="center"/>
          </w:tcPr>
          <w:p w14:paraId="10F0EFED">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0111B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6CC223A8">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278205E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作业设备及车辆等结束作业离开贮存设施时，应对其残留的危险废物进行清理，清理的废物或清洗废水应收集处理</w:t>
            </w:r>
          </w:p>
        </w:tc>
        <w:tc>
          <w:tcPr>
            <w:tcW w:w="3265" w:type="dxa"/>
            <w:vMerge w:val="continue"/>
            <w:vAlign w:val="center"/>
          </w:tcPr>
          <w:p w14:paraId="6EB674F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p>
        </w:tc>
        <w:tc>
          <w:tcPr>
            <w:tcW w:w="586" w:type="dxa"/>
            <w:vAlign w:val="center"/>
          </w:tcPr>
          <w:p w14:paraId="0F619E28">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034152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5DE3A828">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073EF56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贮存设施运行期间，应按国家有关标准和规定建立危险废物管理台账并保存</w:t>
            </w:r>
          </w:p>
        </w:tc>
        <w:tc>
          <w:tcPr>
            <w:tcW w:w="3265" w:type="dxa"/>
            <w:vMerge w:val="continue"/>
            <w:vAlign w:val="center"/>
          </w:tcPr>
          <w:p w14:paraId="254E7F5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p>
        </w:tc>
        <w:tc>
          <w:tcPr>
            <w:tcW w:w="586" w:type="dxa"/>
            <w:vAlign w:val="center"/>
          </w:tcPr>
          <w:p w14:paraId="6B542E51">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bl>
    <w:p w14:paraId="155C023A">
      <w:pPr>
        <w:pStyle w:val="8"/>
        <w:bidi w:val="0"/>
        <w:rPr>
          <w:rFonts w:hint="eastAsia"/>
          <w:highlight w:val="none"/>
          <w:lang w:val="en-US" w:eastAsia="zh-CN"/>
        </w:rPr>
      </w:pPr>
    </w:p>
    <w:p w14:paraId="67892125">
      <w:pPr>
        <w:rPr>
          <w:rFonts w:hint="eastAsia"/>
          <w:lang w:val="en-US" w:eastAsia="zh-CN"/>
        </w:rPr>
      </w:pPr>
    </w:p>
    <w:p w14:paraId="642D7661">
      <w:pPr>
        <w:pStyle w:val="7"/>
        <w:bidi w:val="0"/>
        <w:rPr>
          <w:highlight w:val="none"/>
        </w:rPr>
      </w:pPr>
      <w:r>
        <w:rPr>
          <w:rFonts w:hint="eastAsia"/>
          <w:highlight w:val="none"/>
          <w:lang w:val="en-US" w:eastAsia="zh-CN"/>
        </w:rPr>
        <w:t>续</w:t>
      </w:r>
      <w:r>
        <w:rPr>
          <w:highlight w:val="none"/>
        </w:rPr>
        <w:t>表1-4-</w:t>
      </w:r>
      <w:r>
        <w:rPr>
          <w:rFonts w:hint="eastAsia"/>
          <w:highlight w:val="none"/>
          <w:lang w:val="en-US" w:eastAsia="zh-CN"/>
        </w:rPr>
        <w:t>2</w:t>
      </w:r>
      <w:r>
        <w:rPr>
          <w:highlight w:val="none"/>
        </w:rPr>
        <w:t>与《危险废物贮存污染控制标准》符合性一览表</w:t>
      </w:r>
    </w:p>
    <w:tbl>
      <w:tblPr>
        <w:tblStyle w:val="44"/>
        <w:tblpPr w:leftFromText="180" w:rightFromText="180" w:vertAnchor="text" w:tblpXSpec="left" w:tblpY="1"/>
        <w:tblOverlap w:val="never"/>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4112"/>
        <w:gridCol w:w="3265"/>
        <w:gridCol w:w="586"/>
      </w:tblGrid>
      <w:tr w14:paraId="7CA2B4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78E8CCB4">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19A0C048">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贮存设施所有者或运营者应建立贮存设施环境管理制度、管理人员岗位职责制度、设施运行操作制度、人员岗位培训制度等</w:t>
            </w:r>
          </w:p>
        </w:tc>
        <w:tc>
          <w:tcPr>
            <w:tcW w:w="3265" w:type="dxa"/>
            <w:vAlign w:val="center"/>
          </w:tcPr>
          <w:p w14:paraId="3120937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本项目按照上述规定严格对进场的</w:t>
            </w:r>
            <w:r>
              <w:rPr>
                <w:rFonts w:hint="eastAsia" w:ascii="Times New Roman" w:hAnsi="Times New Roman" w:cs="Times New Roman"/>
                <w:snapToGrid w:val="0"/>
                <w:color w:val="auto"/>
                <w:sz w:val="21"/>
                <w:szCs w:val="21"/>
                <w:highlight w:val="none"/>
                <w:lang w:val="en-US" w:eastAsia="zh-CN"/>
              </w:rPr>
              <w:t>生产过程中产生危险废物</w:t>
            </w:r>
            <w:r>
              <w:rPr>
                <w:rFonts w:hint="default" w:ascii="Times New Roman" w:hAnsi="Times New Roman" w:cs="Times New Roman"/>
                <w:snapToGrid w:val="0"/>
                <w:color w:val="auto"/>
                <w:sz w:val="21"/>
                <w:szCs w:val="21"/>
                <w:highlight w:val="none"/>
                <w:lang w:val="en-US" w:eastAsia="zh-CN"/>
              </w:rPr>
              <w:t>进行管理</w:t>
            </w:r>
          </w:p>
        </w:tc>
        <w:tc>
          <w:tcPr>
            <w:tcW w:w="586" w:type="dxa"/>
            <w:vAlign w:val="center"/>
          </w:tcPr>
          <w:p w14:paraId="5EF0D8D5">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5AF718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0878B0CE">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4B63B59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贮存设施所有者或运营者应依据国家土壤和地下水污染防治的有关规定，结合贮存设施特点建立土壤和地下水污染隐患排查制度，并定期开展隐患排查；发现隐患应及时采取措施消除隐患，并建立档案</w:t>
            </w:r>
          </w:p>
        </w:tc>
        <w:tc>
          <w:tcPr>
            <w:tcW w:w="3265" w:type="dxa"/>
            <w:vAlign w:val="center"/>
          </w:tcPr>
          <w:p w14:paraId="3C80F8A7">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本项目制定了地下水</w:t>
            </w:r>
            <w:r>
              <w:rPr>
                <w:rFonts w:hint="eastAsia" w:ascii="Times New Roman" w:hAnsi="Times New Roman" w:cs="Times New Roman"/>
                <w:snapToGrid w:val="0"/>
                <w:color w:val="auto"/>
                <w:sz w:val="21"/>
                <w:szCs w:val="21"/>
                <w:highlight w:val="none"/>
                <w:lang w:val="en-US" w:eastAsia="zh-CN"/>
              </w:rPr>
              <w:t>及土壤</w:t>
            </w:r>
            <w:r>
              <w:rPr>
                <w:rFonts w:hint="default" w:ascii="Times New Roman" w:hAnsi="Times New Roman" w:cs="Times New Roman"/>
                <w:snapToGrid w:val="0"/>
                <w:color w:val="auto"/>
                <w:sz w:val="21"/>
                <w:szCs w:val="21"/>
                <w:highlight w:val="none"/>
                <w:lang w:val="en-US" w:eastAsia="zh-CN"/>
              </w:rPr>
              <w:t>监测方案</w:t>
            </w:r>
          </w:p>
        </w:tc>
        <w:tc>
          <w:tcPr>
            <w:tcW w:w="586" w:type="dxa"/>
            <w:vAlign w:val="center"/>
          </w:tcPr>
          <w:p w14:paraId="4A4CCF47">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391014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388B0ED4">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58B6A038">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贮存设施所有者或运营者应建立贮存设施全部档案，包括设计、施工、验收、运行、监测和环境应急等，应按国家有关档案管理的法律法规进行整理和归档</w:t>
            </w:r>
          </w:p>
        </w:tc>
        <w:tc>
          <w:tcPr>
            <w:tcW w:w="3265" w:type="dxa"/>
            <w:vAlign w:val="center"/>
          </w:tcPr>
          <w:p w14:paraId="47B8FB8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本评价要求建设单位对上述资料全部进行归档管理</w:t>
            </w:r>
          </w:p>
        </w:tc>
        <w:tc>
          <w:tcPr>
            <w:tcW w:w="586" w:type="dxa"/>
            <w:vAlign w:val="center"/>
          </w:tcPr>
          <w:p w14:paraId="790C2F92">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395E9C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5FD4D8A1">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2C4BFA64">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贮存设施产生的废水（包括贮存设施、作业设备、车辆等清洗废水，贮存罐区积存雨水，贮存事故废水等）应进行收集处理，废水排放应符合GB8978规定的要求</w:t>
            </w:r>
          </w:p>
        </w:tc>
        <w:tc>
          <w:tcPr>
            <w:tcW w:w="3265" w:type="dxa"/>
            <w:vAlign w:val="center"/>
          </w:tcPr>
          <w:p w14:paraId="006C30D6">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w:t>
            </w:r>
            <w:r>
              <w:rPr>
                <w:rFonts w:hint="eastAsia" w:ascii="Times New Roman" w:hAnsi="Times New Roman" w:cs="Times New Roman"/>
                <w:snapToGrid w:val="0"/>
                <w:color w:val="auto"/>
                <w:sz w:val="21"/>
                <w:szCs w:val="21"/>
                <w:highlight w:val="none"/>
                <w:lang w:val="en-US" w:eastAsia="zh-CN"/>
              </w:rPr>
              <w:t>项目位于封闭生产车间内，原料贮存池产生的废液泵至密封桶内，储存于危险废物贮存库，定期交由有资质单位处置</w:t>
            </w:r>
          </w:p>
        </w:tc>
        <w:tc>
          <w:tcPr>
            <w:tcW w:w="586" w:type="dxa"/>
            <w:vAlign w:val="center"/>
          </w:tcPr>
          <w:p w14:paraId="22C2C7EE">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0EAACB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0CF5D1F8">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2A0D4A0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贮存设施产生的废气（含无组织废气）的排放应符合GB16297和GB37822规定的要求</w:t>
            </w:r>
          </w:p>
        </w:tc>
        <w:tc>
          <w:tcPr>
            <w:tcW w:w="3265" w:type="dxa"/>
            <w:vAlign w:val="center"/>
          </w:tcPr>
          <w:p w14:paraId="5B94A0F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本项目产生的有组织和无组织废气污染物排放满足GB16297-1996</w:t>
            </w:r>
            <w:r>
              <w:rPr>
                <w:rFonts w:hint="eastAsia" w:ascii="Times New Roman" w:hAnsi="Times New Roman" w:cs="Times New Roman"/>
                <w:snapToGrid w:val="0"/>
                <w:color w:val="auto"/>
                <w:sz w:val="21"/>
                <w:szCs w:val="21"/>
                <w:highlight w:val="none"/>
                <w:lang w:val="en-US" w:eastAsia="zh-CN"/>
              </w:rPr>
              <w:t>及</w:t>
            </w:r>
            <w:r>
              <w:rPr>
                <w:rFonts w:hint="default" w:ascii="Times New Roman" w:hAnsi="Times New Roman" w:cs="Times New Roman"/>
                <w:snapToGrid w:val="0"/>
                <w:color w:val="auto"/>
                <w:sz w:val="21"/>
                <w:szCs w:val="21"/>
                <w:highlight w:val="none"/>
                <w:lang w:val="en-US" w:eastAsia="zh-CN"/>
              </w:rPr>
              <w:t>GB37822中相关限值要求</w:t>
            </w:r>
          </w:p>
        </w:tc>
        <w:tc>
          <w:tcPr>
            <w:tcW w:w="586" w:type="dxa"/>
            <w:vAlign w:val="center"/>
          </w:tcPr>
          <w:p w14:paraId="5A1EFD1E">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490D74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114F3626">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7EB8562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贮存设施产生的恶臭气体的排放应符合GB14554规定的要求</w:t>
            </w:r>
          </w:p>
        </w:tc>
        <w:tc>
          <w:tcPr>
            <w:tcW w:w="3265" w:type="dxa"/>
            <w:vAlign w:val="center"/>
          </w:tcPr>
          <w:p w14:paraId="495DE31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w:t>
            </w:r>
            <w:r>
              <w:rPr>
                <w:rFonts w:hint="default" w:ascii="Times New Roman" w:hAnsi="Times New Roman" w:cs="Times New Roman"/>
                <w:snapToGrid w:val="0"/>
                <w:color w:val="auto"/>
                <w:sz w:val="21"/>
                <w:szCs w:val="21"/>
                <w:highlight w:val="none"/>
                <w:lang w:val="en-US" w:eastAsia="zh-CN"/>
              </w:rPr>
              <w:t>恶臭气体</w:t>
            </w:r>
            <w:r>
              <w:rPr>
                <w:rFonts w:hint="eastAsia" w:ascii="Times New Roman" w:hAnsi="Times New Roman" w:cs="Times New Roman"/>
                <w:snapToGrid w:val="0"/>
                <w:color w:val="auto"/>
                <w:sz w:val="21"/>
                <w:szCs w:val="21"/>
                <w:highlight w:val="none"/>
                <w:lang w:val="en-US" w:eastAsia="zh-CN"/>
              </w:rPr>
              <w:t>排放</w:t>
            </w:r>
            <w:r>
              <w:rPr>
                <w:rFonts w:hint="default" w:ascii="Times New Roman" w:hAnsi="Times New Roman" w:cs="Times New Roman"/>
                <w:snapToGrid w:val="0"/>
                <w:color w:val="auto"/>
                <w:sz w:val="21"/>
                <w:szCs w:val="21"/>
                <w:highlight w:val="none"/>
                <w:lang w:val="en-US" w:eastAsia="zh-CN"/>
              </w:rPr>
              <w:t>符合GB14554</w:t>
            </w:r>
            <w:r>
              <w:rPr>
                <w:rFonts w:hint="eastAsia" w:ascii="Times New Roman" w:hAnsi="Times New Roman" w:cs="Times New Roman"/>
                <w:snapToGrid w:val="0"/>
                <w:color w:val="auto"/>
                <w:sz w:val="21"/>
                <w:szCs w:val="21"/>
                <w:highlight w:val="none"/>
                <w:lang w:val="en-US" w:eastAsia="zh-CN"/>
              </w:rPr>
              <w:t>中厂界</w:t>
            </w:r>
            <w:r>
              <w:rPr>
                <w:rFonts w:hint="default" w:ascii="Times New Roman" w:hAnsi="Times New Roman" w:cs="Times New Roman"/>
                <w:snapToGrid w:val="0"/>
                <w:color w:val="auto"/>
                <w:sz w:val="21"/>
                <w:szCs w:val="21"/>
                <w:highlight w:val="none"/>
                <w:lang w:val="en-US" w:eastAsia="zh-CN"/>
              </w:rPr>
              <w:t>要求</w:t>
            </w:r>
          </w:p>
        </w:tc>
        <w:tc>
          <w:tcPr>
            <w:tcW w:w="586" w:type="dxa"/>
            <w:vAlign w:val="center"/>
          </w:tcPr>
          <w:p w14:paraId="29C0B51C">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4B5D78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7AEA8A6D">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1C882AE1">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贮存设施内产生以及清理的固体废物应按固体废物分类管理要求妥善处理</w:t>
            </w:r>
          </w:p>
        </w:tc>
        <w:tc>
          <w:tcPr>
            <w:tcW w:w="3265" w:type="dxa"/>
            <w:vAlign w:val="center"/>
          </w:tcPr>
          <w:p w14:paraId="70C7D85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本项目生产过程产生废液交由有资质单位处置</w:t>
            </w:r>
          </w:p>
        </w:tc>
        <w:tc>
          <w:tcPr>
            <w:tcW w:w="586" w:type="dxa"/>
            <w:vAlign w:val="center"/>
          </w:tcPr>
          <w:p w14:paraId="26FF782D">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3D2024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083F62E7">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291A9DF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贮存设施排放的环境噪声应符合GB12348规定的要求</w:t>
            </w:r>
          </w:p>
        </w:tc>
        <w:tc>
          <w:tcPr>
            <w:tcW w:w="3265" w:type="dxa"/>
            <w:vAlign w:val="center"/>
          </w:tcPr>
          <w:p w14:paraId="64DEC6A8">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本项目生产噪声排放符合</w:t>
            </w:r>
            <w:r>
              <w:rPr>
                <w:rFonts w:hint="default" w:ascii="Times New Roman" w:hAnsi="Times New Roman" w:cs="Times New Roman"/>
                <w:snapToGrid w:val="0"/>
                <w:color w:val="auto"/>
                <w:sz w:val="21"/>
                <w:szCs w:val="21"/>
                <w:highlight w:val="none"/>
                <w:lang w:val="en-US" w:eastAsia="zh-CN"/>
              </w:rPr>
              <w:t>GB12348-2008中</w:t>
            </w:r>
            <w:r>
              <w:rPr>
                <w:rFonts w:hint="eastAsia" w:ascii="Times New Roman" w:hAnsi="Times New Roman" w:cs="Times New Roman"/>
                <w:snapToGrid w:val="0"/>
                <w:color w:val="auto"/>
                <w:sz w:val="21"/>
                <w:szCs w:val="21"/>
                <w:highlight w:val="none"/>
                <w:lang w:val="en-US" w:eastAsia="zh-CN"/>
              </w:rPr>
              <w:t>3</w:t>
            </w:r>
            <w:r>
              <w:rPr>
                <w:rFonts w:hint="default" w:ascii="Times New Roman" w:hAnsi="Times New Roman" w:cs="Times New Roman"/>
                <w:snapToGrid w:val="0"/>
                <w:color w:val="auto"/>
                <w:sz w:val="21"/>
                <w:szCs w:val="21"/>
                <w:highlight w:val="none"/>
                <w:lang w:val="en-US" w:eastAsia="zh-CN"/>
              </w:rPr>
              <w:t>类标准</w:t>
            </w:r>
          </w:p>
        </w:tc>
        <w:tc>
          <w:tcPr>
            <w:tcW w:w="586" w:type="dxa"/>
            <w:vAlign w:val="center"/>
          </w:tcPr>
          <w:p w14:paraId="56241553">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2EA28E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3B8A7AA5">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49DB0BF1">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贮存设施的环境监测应纳入主体设施的环境监测计划</w:t>
            </w:r>
          </w:p>
        </w:tc>
        <w:tc>
          <w:tcPr>
            <w:tcW w:w="3265" w:type="dxa"/>
            <w:vAlign w:val="center"/>
          </w:tcPr>
          <w:p w14:paraId="18820DD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本项目制定了污染源监测计划及周围地下水质量</w:t>
            </w:r>
            <w:r>
              <w:rPr>
                <w:rFonts w:hint="eastAsia" w:ascii="Times New Roman" w:hAnsi="Times New Roman" w:cs="Times New Roman"/>
                <w:snapToGrid w:val="0"/>
                <w:color w:val="auto"/>
                <w:sz w:val="21"/>
                <w:szCs w:val="21"/>
                <w:highlight w:val="none"/>
                <w:lang w:val="en-US" w:eastAsia="zh-CN"/>
              </w:rPr>
              <w:t>、土壤质量</w:t>
            </w:r>
            <w:r>
              <w:rPr>
                <w:rFonts w:hint="default" w:ascii="Times New Roman" w:hAnsi="Times New Roman" w:cs="Times New Roman"/>
                <w:snapToGrid w:val="0"/>
                <w:color w:val="auto"/>
                <w:sz w:val="21"/>
                <w:szCs w:val="21"/>
                <w:highlight w:val="none"/>
                <w:lang w:val="en-US" w:eastAsia="zh-CN"/>
              </w:rPr>
              <w:t>现状监测计划</w:t>
            </w:r>
          </w:p>
        </w:tc>
        <w:tc>
          <w:tcPr>
            <w:tcW w:w="586" w:type="dxa"/>
            <w:vAlign w:val="center"/>
          </w:tcPr>
          <w:p w14:paraId="5A0D9D63">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53973D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6A85DD1B">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4644C46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所有者或运营者应依据《大气污染防治法》《水污染防治法》《土壤污染防治法》等有关法律、《排污许可管理条例》等行政法规和HJ819、HJ1250等规定制订监测方案，对贮存设施污染物排放状况开展自行监测，保存原始监测记录，并公布监测结果</w:t>
            </w:r>
          </w:p>
        </w:tc>
        <w:tc>
          <w:tcPr>
            <w:tcW w:w="3265" w:type="dxa"/>
            <w:vAlign w:val="center"/>
          </w:tcPr>
          <w:p w14:paraId="6E55C313">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建设单位应将本项目制定</w:t>
            </w:r>
            <w:r>
              <w:rPr>
                <w:rFonts w:hint="eastAsia" w:ascii="Times New Roman" w:hAnsi="Times New Roman" w:cs="Times New Roman"/>
                <w:snapToGrid w:val="0"/>
                <w:color w:val="auto"/>
                <w:sz w:val="21"/>
                <w:szCs w:val="21"/>
                <w:highlight w:val="none"/>
                <w:lang w:val="en-US" w:eastAsia="zh-CN"/>
              </w:rPr>
              <w:t>的</w:t>
            </w:r>
            <w:r>
              <w:rPr>
                <w:rFonts w:hint="default" w:ascii="Times New Roman" w:hAnsi="Times New Roman" w:cs="Times New Roman"/>
                <w:snapToGrid w:val="0"/>
                <w:color w:val="auto"/>
                <w:sz w:val="21"/>
                <w:szCs w:val="21"/>
                <w:highlight w:val="none"/>
                <w:lang w:val="en-US" w:eastAsia="zh-CN"/>
              </w:rPr>
              <w:t>污染源监测计划及周围地下水质量现状</w:t>
            </w:r>
            <w:r>
              <w:rPr>
                <w:rFonts w:hint="eastAsia" w:ascii="Times New Roman" w:hAnsi="Times New Roman" w:cs="Times New Roman"/>
                <w:snapToGrid w:val="0"/>
                <w:color w:val="auto"/>
                <w:sz w:val="21"/>
                <w:szCs w:val="21"/>
                <w:highlight w:val="none"/>
                <w:lang w:val="en-US" w:eastAsia="zh-CN"/>
              </w:rPr>
              <w:t>及土壤</w:t>
            </w:r>
            <w:r>
              <w:rPr>
                <w:rFonts w:hint="default" w:ascii="Times New Roman" w:hAnsi="Times New Roman" w:cs="Times New Roman"/>
                <w:snapToGrid w:val="0"/>
                <w:color w:val="auto"/>
                <w:sz w:val="21"/>
                <w:szCs w:val="21"/>
                <w:highlight w:val="none"/>
                <w:lang w:val="en-US" w:eastAsia="zh-CN"/>
              </w:rPr>
              <w:t>监测结果定</w:t>
            </w:r>
            <w:r>
              <w:rPr>
                <w:rFonts w:hint="eastAsia" w:ascii="Times New Roman" w:hAnsi="Times New Roman" w:cs="Times New Roman"/>
                <w:snapToGrid w:val="0"/>
                <w:color w:val="auto"/>
                <w:sz w:val="21"/>
                <w:szCs w:val="21"/>
                <w:highlight w:val="none"/>
                <w:lang w:val="en-US" w:eastAsia="zh-CN"/>
              </w:rPr>
              <w:t>期</w:t>
            </w:r>
            <w:r>
              <w:rPr>
                <w:rFonts w:hint="default" w:ascii="Times New Roman" w:hAnsi="Times New Roman" w:cs="Times New Roman"/>
                <w:snapToGrid w:val="0"/>
                <w:color w:val="auto"/>
                <w:sz w:val="21"/>
                <w:szCs w:val="21"/>
                <w:highlight w:val="none"/>
                <w:lang w:val="en-US" w:eastAsia="zh-CN"/>
              </w:rPr>
              <w:t>存档，并在</w:t>
            </w:r>
            <w:r>
              <w:rPr>
                <w:rFonts w:hint="eastAsia" w:ascii="Times New Roman" w:hAnsi="Times New Roman" w:cs="Times New Roman"/>
                <w:snapToGrid w:val="0"/>
                <w:color w:val="auto"/>
                <w:sz w:val="21"/>
                <w:szCs w:val="21"/>
                <w:highlight w:val="none"/>
                <w:lang w:val="en-US" w:eastAsia="zh-CN"/>
              </w:rPr>
              <w:t>全国监测</w:t>
            </w:r>
            <w:r>
              <w:rPr>
                <w:rFonts w:hint="default" w:ascii="Times New Roman" w:hAnsi="Times New Roman" w:cs="Times New Roman"/>
                <w:snapToGrid w:val="0"/>
                <w:color w:val="auto"/>
                <w:sz w:val="21"/>
                <w:szCs w:val="21"/>
                <w:highlight w:val="none"/>
                <w:lang w:val="en-US" w:eastAsia="zh-CN"/>
              </w:rPr>
              <w:t>网站上公示结果</w:t>
            </w:r>
          </w:p>
        </w:tc>
        <w:tc>
          <w:tcPr>
            <w:tcW w:w="586" w:type="dxa"/>
            <w:vAlign w:val="center"/>
          </w:tcPr>
          <w:p w14:paraId="73190C4E">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1F59CC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21A36FDC">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5066EB2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贮存设施废水污染物排放的监测方法和监测指标应符合国家相关标准要求</w:t>
            </w:r>
          </w:p>
        </w:tc>
        <w:tc>
          <w:tcPr>
            <w:tcW w:w="3265" w:type="dxa"/>
            <w:vAlign w:val="center"/>
          </w:tcPr>
          <w:p w14:paraId="4D68342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本项目贮存设施不产生生产废水</w:t>
            </w:r>
          </w:p>
        </w:tc>
        <w:tc>
          <w:tcPr>
            <w:tcW w:w="586" w:type="dxa"/>
            <w:vAlign w:val="center"/>
          </w:tcPr>
          <w:p w14:paraId="25E1710B">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4A7386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405199BF">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7FA642C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HJ1259规定的危险废物环境重点监管单位贮存设施地下水环境监测点布设应符合HJ164要求，监测因子应根据贮存废物的特性选择具有代表性且能表征危险废物特性的指标，地下水监测因子分析方法按照GB/T14848执行</w:t>
            </w:r>
          </w:p>
        </w:tc>
        <w:tc>
          <w:tcPr>
            <w:tcW w:w="3265" w:type="dxa"/>
            <w:vAlign w:val="center"/>
          </w:tcPr>
          <w:p w14:paraId="426CA888">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w:t>
            </w:r>
            <w:bookmarkStart w:id="490" w:name="_GoBack"/>
            <w:r>
              <w:rPr>
                <w:rFonts w:hint="default" w:ascii="Times New Roman" w:hAnsi="Times New Roman" w:cs="Times New Roman"/>
                <w:snapToGrid w:val="0"/>
                <w:color w:val="auto"/>
                <w:sz w:val="21"/>
                <w:szCs w:val="21"/>
                <w:highlight w:val="none"/>
                <w:lang w:val="en-US" w:eastAsia="zh-CN"/>
              </w:rPr>
              <w:t>目选取的</w:t>
            </w:r>
            <w:r>
              <w:rPr>
                <w:rFonts w:hint="eastAsia" w:ascii="Times New Roman" w:hAnsi="Times New Roman" w:cs="Times New Roman"/>
                <w:snapToGrid w:val="0"/>
                <w:color w:val="auto"/>
                <w:sz w:val="21"/>
                <w:szCs w:val="21"/>
                <w:highlight w:val="none"/>
                <w:lang w:val="en-US" w:eastAsia="zh-CN"/>
              </w:rPr>
              <w:t>3</w:t>
            </w:r>
            <w:r>
              <w:rPr>
                <w:rFonts w:hint="default" w:ascii="Times New Roman" w:hAnsi="Times New Roman" w:cs="Times New Roman"/>
                <w:snapToGrid w:val="0"/>
                <w:color w:val="auto"/>
                <w:sz w:val="21"/>
                <w:szCs w:val="21"/>
                <w:highlight w:val="none"/>
                <w:lang w:val="en-US" w:eastAsia="zh-CN"/>
              </w:rPr>
              <w:t>个地下</w:t>
            </w:r>
            <w:r>
              <w:rPr>
                <w:rFonts w:hint="default" w:ascii="Times New Roman" w:hAnsi="Times New Roman" w:cs="Times New Roman"/>
                <w:snapToGrid w:val="0"/>
                <w:color w:val="auto"/>
                <w:sz w:val="21"/>
                <w:szCs w:val="21"/>
                <w:highlight w:val="none"/>
                <w:lang w:val="en-US" w:eastAsia="zh-CN"/>
              </w:rPr>
              <w:t>水位于</w:t>
            </w:r>
            <w:r>
              <w:rPr>
                <w:rFonts w:hint="eastAsia" w:ascii="Times New Roman" w:hAnsi="Times New Roman" w:cs="Times New Roman"/>
                <w:snapToGrid w:val="0"/>
                <w:color w:val="auto"/>
                <w:sz w:val="21"/>
                <w:szCs w:val="21"/>
                <w:highlight w:val="none"/>
                <w:lang w:val="en-US" w:eastAsia="zh-CN"/>
              </w:rPr>
              <w:t>项目</w:t>
            </w:r>
            <w:r>
              <w:rPr>
                <w:rFonts w:hint="default" w:ascii="Times New Roman" w:hAnsi="Times New Roman" w:cs="Times New Roman"/>
                <w:snapToGrid w:val="0"/>
                <w:color w:val="auto"/>
                <w:sz w:val="21"/>
                <w:szCs w:val="21"/>
                <w:highlight w:val="none"/>
                <w:lang w:val="en-US" w:eastAsia="zh-CN"/>
              </w:rPr>
              <w:t>下游</w:t>
            </w:r>
            <w:r>
              <w:rPr>
                <w:rFonts w:hint="eastAsia" w:ascii="Times New Roman" w:hAnsi="Times New Roman" w:cs="Times New Roman"/>
                <w:snapToGrid w:val="0"/>
                <w:color w:val="auto"/>
                <w:sz w:val="21"/>
                <w:szCs w:val="21"/>
                <w:highlight w:val="none"/>
                <w:lang w:val="en-US" w:eastAsia="zh-CN"/>
              </w:rPr>
              <w:t>及重点生产单元</w:t>
            </w:r>
            <w:r>
              <w:rPr>
                <w:rFonts w:hint="default" w:ascii="Times New Roman" w:hAnsi="Times New Roman" w:cs="Times New Roman"/>
                <w:snapToGrid w:val="0"/>
                <w:color w:val="auto"/>
                <w:sz w:val="21"/>
                <w:szCs w:val="21"/>
                <w:highlight w:val="none"/>
                <w:lang w:val="en-US" w:eastAsia="zh-CN"/>
              </w:rPr>
              <w:t>，具</w:t>
            </w:r>
            <w:bookmarkEnd w:id="490"/>
            <w:r>
              <w:rPr>
                <w:rFonts w:hint="default" w:ascii="Times New Roman" w:hAnsi="Times New Roman" w:cs="Times New Roman"/>
                <w:snapToGrid w:val="0"/>
                <w:color w:val="auto"/>
                <w:sz w:val="21"/>
                <w:szCs w:val="21"/>
                <w:highlight w:val="none"/>
                <w:lang w:val="en-US" w:eastAsia="zh-CN"/>
              </w:rPr>
              <w:t>有代表性，且特征监测因子选择为石油类</w:t>
            </w:r>
          </w:p>
        </w:tc>
        <w:tc>
          <w:tcPr>
            <w:tcW w:w="586" w:type="dxa"/>
            <w:vAlign w:val="center"/>
          </w:tcPr>
          <w:p w14:paraId="738AB537">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r w14:paraId="53667D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1F0166B0">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2EFA353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配有收集净化系统的贮存设施大气污染物排放的监测采样应按GB/T16157、HJ/T397、HJ732的规定执行</w:t>
            </w:r>
          </w:p>
        </w:tc>
        <w:tc>
          <w:tcPr>
            <w:tcW w:w="3265" w:type="dxa"/>
            <w:vAlign w:val="center"/>
          </w:tcPr>
          <w:p w14:paraId="65FCF9E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建设单位应</w:t>
            </w:r>
            <w:r>
              <w:rPr>
                <w:rFonts w:hint="eastAsia" w:ascii="Times New Roman" w:hAnsi="Times New Roman" w:cs="Times New Roman"/>
                <w:snapToGrid w:val="0"/>
                <w:color w:val="auto"/>
                <w:sz w:val="21"/>
                <w:szCs w:val="21"/>
                <w:highlight w:val="none"/>
                <w:lang w:val="en-US" w:eastAsia="zh-CN"/>
              </w:rPr>
              <w:t>对大气污染源进行定期监测</w:t>
            </w:r>
          </w:p>
        </w:tc>
        <w:tc>
          <w:tcPr>
            <w:tcW w:w="586" w:type="dxa"/>
            <w:vAlign w:val="center"/>
          </w:tcPr>
          <w:p w14:paraId="013F08B0">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bl>
    <w:p w14:paraId="17561CDE">
      <w:pPr>
        <w:pStyle w:val="8"/>
        <w:bidi w:val="0"/>
        <w:rPr>
          <w:rFonts w:hint="eastAsia"/>
          <w:highlight w:val="none"/>
          <w:lang w:val="en-US" w:eastAsia="zh-CN"/>
        </w:rPr>
      </w:pPr>
    </w:p>
    <w:p w14:paraId="0B30E5E6">
      <w:pPr>
        <w:pStyle w:val="8"/>
        <w:bidi w:val="0"/>
        <w:rPr>
          <w:rFonts w:hint="eastAsia"/>
          <w:highlight w:val="none"/>
          <w:lang w:val="en-US" w:eastAsia="zh-CN"/>
        </w:rPr>
      </w:pPr>
    </w:p>
    <w:p w14:paraId="5F6C5CBE">
      <w:pPr>
        <w:pStyle w:val="7"/>
        <w:bidi w:val="0"/>
        <w:rPr>
          <w:highlight w:val="none"/>
        </w:rPr>
      </w:pPr>
      <w:r>
        <w:rPr>
          <w:rFonts w:hint="eastAsia"/>
          <w:highlight w:val="none"/>
          <w:lang w:val="en-US" w:eastAsia="zh-CN"/>
        </w:rPr>
        <w:t>续</w:t>
      </w:r>
      <w:r>
        <w:rPr>
          <w:highlight w:val="none"/>
        </w:rPr>
        <w:t>表1-4-</w:t>
      </w:r>
      <w:r>
        <w:rPr>
          <w:rFonts w:hint="eastAsia"/>
          <w:highlight w:val="none"/>
          <w:lang w:val="en-US" w:eastAsia="zh-CN"/>
        </w:rPr>
        <w:t>2</w:t>
      </w:r>
      <w:r>
        <w:rPr>
          <w:highlight w:val="none"/>
        </w:rPr>
        <w:t>与《危险废物贮存污染控制标准》符合性一览表</w:t>
      </w:r>
    </w:p>
    <w:tbl>
      <w:tblPr>
        <w:tblStyle w:val="44"/>
        <w:tblpPr w:leftFromText="180" w:rightFromText="180" w:vertAnchor="text" w:tblpXSpec="left" w:tblpY="1"/>
        <w:tblOverlap w:val="never"/>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4112"/>
        <w:gridCol w:w="3265"/>
        <w:gridCol w:w="586"/>
      </w:tblGrid>
      <w:tr w14:paraId="1D89A2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559" w:type="dxa"/>
            <w:vAlign w:val="center"/>
          </w:tcPr>
          <w:p w14:paraId="35809D90">
            <w:pPr>
              <w:pStyle w:val="8"/>
              <w:numPr>
                <w:ilvl w:val="0"/>
                <w:numId w:val="6"/>
              </w:numPr>
              <w:suppressLineNumbers w:val="0"/>
              <w:bidi w:val="0"/>
              <w:spacing w:before="0" w:beforeAutospacing="0" w:after="0" w:afterAutospacing="0"/>
              <w:ind w:left="454" w:leftChars="0" w:right="0" w:hanging="387" w:firstLineChars="0"/>
              <w:jc w:val="center"/>
              <w:rPr>
                <w:rFonts w:hint="default"/>
                <w:highlight w:val="none"/>
              </w:rPr>
            </w:pPr>
          </w:p>
        </w:tc>
        <w:tc>
          <w:tcPr>
            <w:tcW w:w="4112" w:type="dxa"/>
            <w:shd w:val="clear" w:color="auto" w:fill="auto"/>
            <w:vAlign w:val="center"/>
          </w:tcPr>
          <w:p w14:paraId="724B65B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贮存设施无组织气体排放监测因子应根据贮存废物的特性选择具有代表性且能表征危险废物特性的指标；采样点布设、采样及监测方法可按HJ/T55的规定执行，VOCs的无组织排放监测还应符合GB37822的规定</w:t>
            </w:r>
          </w:p>
        </w:tc>
        <w:tc>
          <w:tcPr>
            <w:tcW w:w="3265" w:type="dxa"/>
            <w:vAlign w:val="center"/>
          </w:tcPr>
          <w:p w14:paraId="05844D31">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本项目NMHC按照GB37822的规定要求设置了厂区内监测点，以连续1小时采样获取平均值</w:t>
            </w:r>
          </w:p>
        </w:tc>
        <w:tc>
          <w:tcPr>
            <w:tcW w:w="586" w:type="dxa"/>
            <w:vAlign w:val="center"/>
          </w:tcPr>
          <w:p w14:paraId="00EB64E3">
            <w:pPr>
              <w:pStyle w:val="8"/>
              <w:suppressLineNumbers w:val="0"/>
              <w:bidi w:val="0"/>
              <w:spacing w:before="0" w:beforeAutospacing="0" w:after="0" w:afterAutospacing="0"/>
              <w:ind w:left="0" w:right="0"/>
              <w:jc w:val="center"/>
              <w:rPr>
                <w:rFonts w:hint="default"/>
                <w:highlight w:val="none"/>
              </w:rPr>
            </w:pPr>
            <w:r>
              <w:rPr>
                <w:rFonts w:hint="default"/>
                <w:highlight w:val="none"/>
              </w:rPr>
              <w:t>符合</w:t>
            </w:r>
          </w:p>
        </w:tc>
      </w:tr>
    </w:tbl>
    <w:p w14:paraId="1131C413">
      <w:pPr>
        <w:pStyle w:val="5"/>
        <w:bidi w:val="0"/>
      </w:pPr>
      <w:bookmarkStart w:id="56" w:name="_Toc11758453"/>
      <w:bookmarkStart w:id="57" w:name="_Toc20476"/>
      <w:bookmarkStart w:id="58" w:name="_Toc17253"/>
      <w:bookmarkStart w:id="59" w:name="_Toc2978"/>
      <w:bookmarkStart w:id="60" w:name="_Toc24806"/>
      <w:r>
        <w:t>1.4.</w:t>
      </w:r>
      <w:bookmarkEnd w:id="56"/>
      <w:r>
        <w:rPr>
          <w:rFonts w:hint="eastAsia"/>
          <w:lang w:val="en-US" w:eastAsia="zh-CN"/>
        </w:rPr>
        <w:t>4</w:t>
      </w:r>
      <w:r>
        <w:t>与</w:t>
      </w:r>
      <w:r>
        <w:rPr>
          <w:rFonts w:hint="eastAsia"/>
        </w:rPr>
        <w:t>《危险废物经营许可证管理办法》</w:t>
      </w:r>
      <w:r>
        <w:t>符合性分析</w:t>
      </w:r>
      <w:bookmarkEnd w:id="57"/>
      <w:bookmarkEnd w:id="58"/>
    </w:p>
    <w:p w14:paraId="2CC9EA11">
      <w:pPr>
        <w:bidi w:val="0"/>
        <w:rPr>
          <w:rFonts w:hint="eastAsia"/>
          <w:highlight w:val="none"/>
        </w:rPr>
      </w:pPr>
      <w:r>
        <w:rPr>
          <w:rFonts w:hint="eastAsia" w:ascii="宋体" w:hAnsi="宋体" w:eastAsia="宋体" w:cs="宋体"/>
          <w:highlight w:val="none"/>
        </w:rPr>
        <w:t>根据《危险废物经营</w:t>
      </w:r>
      <w:r>
        <w:rPr>
          <w:rFonts w:hint="eastAsia"/>
          <w:highlight w:val="none"/>
        </w:rPr>
        <w:t>许可证管理办法》（中华人民共和国国务院令第408号及其修订内容）：“危险废物经营许可证按照经营方式，分为危险废物收集、贮存、处置综合经营许可证和危险废物收集经营许可证”。“领取危险废物综合经营许可证的单位，能从事危险废物收集、贮存、处置综合经营活动；领取危险废物收集经营许可证只能从事机动车维修活动中产生的废矿物油和居民日常生活中产生的废镉镍电池的危险废物收集经营活动”。</w:t>
      </w:r>
    </w:p>
    <w:p w14:paraId="114C0F7B">
      <w:pPr>
        <w:bidi w:val="0"/>
        <w:rPr>
          <w:rFonts w:hAnsiTheme="minorEastAsia" w:eastAsiaTheme="minorEastAsia"/>
          <w:kern w:val="0"/>
          <w:sz w:val="24"/>
          <w:szCs w:val="21"/>
          <w:highlight w:val="none"/>
        </w:rPr>
      </w:pPr>
      <w:r>
        <w:rPr>
          <w:rFonts w:hint="eastAsia"/>
          <w:highlight w:val="none"/>
        </w:rPr>
        <w:t>本项目为</w:t>
      </w:r>
      <w:r>
        <w:rPr>
          <w:rFonts w:hint="eastAsia"/>
          <w:highlight w:val="none"/>
          <w:lang w:val="en-US" w:eastAsia="zh-CN"/>
        </w:rPr>
        <w:t>危险废物</w:t>
      </w:r>
      <w:r>
        <w:rPr>
          <w:rFonts w:hint="eastAsia"/>
          <w:highlight w:val="none"/>
        </w:rPr>
        <w:t>利用项目，主要进行周边生产企业产生的</w:t>
      </w:r>
      <w:r>
        <w:rPr>
          <w:rFonts w:hint="eastAsia"/>
          <w:highlight w:val="none"/>
          <w:lang w:val="en-US" w:eastAsia="zh-CN"/>
        </w:rPr>
        <w:t>含油金属屑、锂电池</w:t>
      </w:r>
      <w:r>
        <w:rPr>
          <w:rFonts w:hint="eastAsia"/>
          <w:highlight w:val="none"/>
        </w:rPr>
        <w:t>进行收集、暂时存储、综合利用以及转运，因此本项目正式投产前须按照《危险废物经营许可证管理办法》的规定获得危险废物综合经营许可证方可经营。</w:t>
      </w:r>
      <w:r>
        <w:rPr>
          <w:rFonts w:hint="eastAsia" w:ascii="宋体" w:hAnsi="宋体" w:eastAsia="宋体" w:cs="宋体"/>
          <w:highlight w:val="none"/>
        </w:rPr>
        <w:t>综上所述，本项目与《危险废物经营许可证管理办法》相符</w:t>
      </w:r>
      <w:r>
        <w:rPr>
          <w:rFonts w:hAnsiTheme="minorEastAsia" w:eastAsiaTheme="minorEastAsia"/>
          <w:kern w:val="0"/>
          <w:sz w:val="24"/>
          <w:szCs w:val="21"/>
          <w:highlight w:val="none"/>
        </w:rPr>
        <w:t>。</w:t>
      </w:r>
    </w:p>
    <w:bookmarkEnd w:id="59"/>
    <w:bookmarkEnd w:id="60"/>
    <w:p w14:paraId="6F5CD204">
      <w:pPr>
        <w:pStyle w:val="5"/>
        <w:bidi w:val="0"/>
        <w:rPr>
          <w:highlight w:val="none"/>
        </w:rPr>
      </w:pPr>
      <w:bookmarkStart w:id="61" w:name="_Toc14515"/>
      <w:bookmarkStart w:id="62" w:name="_Toc25737"/>
      <w:r>
        <w:rPr>
          <w:highlight w:val="none"/>
        </w:rPr>
        <w:t>1.4.</w:t>
      </w:r>
      <w:r>
        <w:rPr>
          <w:rFonts w:hint="eastAsia"/>
          <w:highlight w:val="none"/>
          <w:lang w:val="en-US" w:eastAsia="zh-CN"/>
        </w:rPr>
        <w:t>5</w:t>
      </w:r>
      <w:r>
        <w:rPr>
          <w:highlight w:val="none"/>
        </w:rPr>
        <w:t>与</w:t>
      </w:r>
      <w:r>
        <w:rPr>
          <w:rFonts w:hint="eastAsia"/>
          <w:highlight w:val="none"/>
        </w:rPr>
        <w:t>《水污染防治行动计划》</w:t>
      </w:r>
      <w:r>
        <w:rPr>
          <w:highlight w:val="none"/>
        </w:rPr>
        <w:t>符合性分析</w:t>
      </w:r>
      <w:bookmarkEnd w:id="61"/>
      <w:bookmarkEnd w:id="62"/>
    </w:p>
    <w:p w14:paraId="4101588C">
      <w:pPr>
        <w:bidi w:val="0"/>
        <w:rPr>
          <w:rFonts w:hint="eastAsia"/>
          <w:highlight w:val="none"/>
        </w:rPr>
      </w:pPr>
      <w:r>
        <w:rPr>
          <w:rFonts w:hint="eastAsia" w:ascii="宋体" w:hAnsi="宋体" w:eastAsia="宋体" w:cs="宋体"/>
          <w:color w:val="000000"/>
          <w:kern w:val="0"/>
          <w:szCs w:val="24"/>
          <w:highlight w:val="none"/>
          <w:lang w:bidi="ar"/>
        </w:rPr>
        <w:t>狠抓工业污染防治中，提出集中治理工业集聚区水污染。强化经济技术开发区、高新技术产业开发区、出口加工区</w:t>
      </w:r>
      <w:r>
        <w:rPr>
          <w:rFonts w:hint="eastAsia"/>
          <w:highlight w:val="none"/>
        </w:rPr>
        <w:t>等工业集聚区污染治理。集聚区内工业废水必须经预处理达到集中处理要求，方可进入污水集中处理设施。新建、升级工业集聚区应同步规划、建设污水、垃圾集中处理等污染治理设施。</w:t>
      </w:r>
    </w:p>
    <w:p w14:paraId="465488DE">
      <w:pPr>
        <w:bidi w:val="0"/>
        <w:rPr>
          <w:rFonts w:hAnsiTheme="minorEastAsia" w:eastAsiaTheme="minorEastAsia"/>
          <w:kern w:val="0"/>
          <w:szCs w:val="21"/>
          <w:highlight w:val="none"/>
        </w:rPr>
      </w:pPr>
      <w:r>
        <w:rPr>
          <w:rFonts w:hint="eastAsia"/>
          <w:highlight w:val="none"/>
        </w:rPr>
        <w:t>本项目为</w:t>
      </w:r>
      <w:r>
        <w:rPr>
          <w:rFonts w:hint="eastAsia"/>
          <w:highlight w:val="none"/>
          <w:lang w:val="en-US" w:eastAsia="zh-CN"/>
        </w:rPr>
        <w:t>含油金属屑处理及锂电池回收储存</w:t>
      </w:r>
      <w:r>
        <w:rPr>
          <w:rFonts w:hint="eastAsia"/>
          <w:highlight w:val="none"/>
        </w:rPr>
        <w:t>项目，</w:t>
      </w:r>
      <w:r>
        <w:rPr>
          <w:rFonts w:hint="eastAsia"/>
          <w:highlight w:val="none"/>
          <w:lang w:val="en-US" w:eastAsia="zh-CN"/>
        </w:rPr>
        <w:t>生产过程中不产生生产废水；本项目</w:t>
      </w:r>
      <w:r>
        <w:rPr>
          <w:rFonts w:hint="eastAsia"/>
          <w:highlight w:val="none"/>
        </w:rPr>
        <w:t>生产均在厂房内进行操作，</w:t>
      </w:r>
      <w:r>
        <w:rPr>
          <w:rFonts w:hint="eastAsia"/>
          <w:highlight w:val="none"/>
          <w:lang w:val="en-US" w:eastAsia="zh-CN"/>
        </w:rPr>
        <w:t>产生的</w:t>
      </w:r>
      <w:r>
        <w:rPr>
          <w:rFonts w:hint="eastAsia"/>
          <w:highlight w:val="none"/>
        </w:rPr>
        <w:t>废液、废活性炭、废过滤材料、废电解液和电池</w:t>
      </w:r>
      <w:r>
        <w:rPr>
          <w:rFonts w:hint="eastAsia"/>
          <w:highlight w:val="none"/>
          <w:lang w:val="en-US" w:eastAsia="zh-CN"/>
        </w:rPr>
        <w:t>分开</w:t>
      </w:r>
      <w:r>
        <w:rPr>
          <w:rFonts w:hint="eastAsia"/>
          <w:highlight w:val="none"/>
        </w:rPr>
        <w:t>储存，</w:t>
      </w:r>
      <w:r>
        <w:rPr>
          <w:rFonts w:hint="eastAsia" w:ascii="宋体" w:hAnsi="宋体" w:eastAsia="宋体" w:cs="宋体"/>
          <w:highlight w:val="none"/>
        </w:rPr>
        <w:t>不混装</w:t>
      </w:r>
      <w:r>
        <w:rPr>
          <w:rFonts w:hint="eastAsia" w:ascii="宋体" w:hAnsi="宋体" w:cs="宋体"/>
          <w:highlight w:val="none"/>
          <w:lang w:eastAsia="zh-CN"/>
        </w:rPr>
        <w:t>，</w:t>
      </w:r>
      <w:r>
        <w:rPr>
          <w:rFonts w:hint="eastAsia"/>
          <w:highlight w:val="none"/>
          <w:lang w:val="en-US" w:eastAsia="zh-CN"/>
        </w:rPr>
        <w:t>收集的锂电池在专用区域储存，交由有资质单位回收利用</w:t>
      </w:r>
      <w:r>
        <w:rPr>
          <w:rFonts w:hint="eastAsia" w:ascii="宋体" w:hAnsi="宋体" w:eastAsia="宋体" w:cs="宋体"/>
          <w:highlight w:val="none"/>
        </w:rPr>
        <w:t>。地面采取严格的防渗、防腐措施，防止重金属污染土壤环境，符合《</w:t>
      </w:r>
      <w:r>
        <w:rPr>
          <w:rFonts w:hint="eastAsia" w:ascii="宋体" w:hAnsi="宋体" w:eastAsia="宋体" w:cs="宋体"/>
          <w:highlight w:val="none"/>
          <w:lang w:val="en-US" w:eastAsia="zh-CN"/>
        </w:rPr>
        <w:t>水</w:t>
      </w:r>
      <w:r>
        <w:rPr>
          <w:rFonts w:hint="eastAsia" w:ascii="宋体" w:hAnsi="宋体" w:eastAsia="宋体" w:cs="宋体"/>
          <w:highlight w:val="none"/>
        </w:rPr>
        <w:t>污染防治行动计划》中的要求</w:t>
      </w:r>
      <w:r>
        <w:rPr>
          <w:rFonts w:hint="eastAsia"/>
          <w:kern w:val="0"/>
          <w:szCs w:val="21"/>
          <w:highlight w:val="none"/>
        </w:rPr>
        <w:t>。</w:t>
      </w:r>
    </w:p>
    <w:p w14:paraId="089AB561">
      <w:pPr>
        <w:pStyle w:val="5"/>
        <w:bidi w:val="0"/>
        <w:rPr>
          <w:highlight w:val="none"/>
        </w:rPr>
      </w:pPr>
      <w:bookmarkStart w:id="63" w:name="_Toc20028"/>
      <w:bookmarkStart w:id="64" w:name="_Toc17381"/>
      <w:r>
        <w:rPr>
          <w:highlight w:val="none"/>
        </w:rPr>
        <w:t>1.4.</w:t>
      </w:r>
      <w:r>
        <w:rPr>
          <w:rFonts w:hint="eastAsia"/>
          <w:highlight w:val="none"/>
          <w:lang w:val="en-US" w:eastAsia="zh-CN"/>
        </w:rPr>
        <w:t>6</w:t>
      </w:r>
      <w:r>
        <w:rPr>
          <w:rFonts w:hint="eastAsia"/>
          <w:highlight w:val="none"/>
        </w:rPr>
        <w:t>与《土壤污染防治行动计划》符合性分析</w:t>
      </w:r>
      <w:bookmarkEnd w:id="63"/>
      <w:bookmarkEnd w:id="64"/>
    </w:p>
    <w:p w14:paraId="10D43526">
      <w:pPr>
        <w:bidi w:val="0"/>
        <w:rPr>
          <w:rFonts w:hint="eastAsia"/>
          <w:highlight w:val="none"/>
        </w:rPr>
      </w:pPr>
      <w:r>
        <w:rPr>
          <w:rFonts w:hint="eastAsia"/>
          <w:highlight w:val="none"/>
        </w:rPr>
        <w:t>《土壤污染防治行动计划》中要求“切实加大保护力度。各地要将符合条件的优先保护类耕地划为永久基本农田，实行严格保护，确保其面积不减少、土壤环境质量不下降，除法律规定的重点建设项目选址确实无法避让外，其他任何建设不得占用。防控企业污染。严格控制在优先保护类耕地集中区域新建有色金属冶炼、石油加工、化工、焦化、电镀、制革等行业企业，现有相关行业企业要采用新技术、新工艺，加快提标升级改造步伐。”</w:t>
      </w:r>
    </w:p>
    <w:p w14:paraId="0684D42C">
      <w:pPr>
        <w:bidi w:val="0"/>
        <w:rPr>
          <w:rFonts w:hint="eastAsia"/>
          <w:highlight w:val="none"/>
          <w:lang w:eastAsia="zh-CN"/>
        </w:rPr>
      </w:pPr>
      <w:r>
        <w:rPr>
          <w:rFonts w:hint="eastAsia"/>
          <w:highlight w:val="none"/>
          <w:lang w:eastAsia="zh-CN"/>
        </w:rPr>
        <w:t>本项目位于</w:t>
      </w:r>
      <w:r>
        <w:rPr>
          <w:rFonts w:hint="eastAsia" w:ascii="Times New Roman" w:hAnsi="Times New Roman" w:cs="Times New Roman" w:eastAsiaTheme="minorEastAsia"/>
          <w:sz w:val="24"/>
          <w:szCs w:val="24"/>
          <w:highlight w:val="none"/>
          <w:lang w:val="en-US" w:eastAsia="zh-CN"/>
        </w:rPr>
        <w:t>黑龙江省哈尔滨市香坊区黎明乡幸福村哈阿公路零公里处哈尔滨透平设备总厂院内，用地性质为工业用地</w:t>
      </w:r>
      <w:r>
        <w:rPr>
          <w:rFonts w:hint="eastAsia"/>
          <w:highlight w:val="none"/>
        </w:rPr>
        <w:t>，不在有限保护类耕地集中区域；本项目为</w:t>
      </w:r>
      <w:r>
        <w:rPr>
          <w:rFonts w:hint="eastAsia"/>
          <w:highlight w:val="none"/>
          <w:lang w:val="en-US" w:eastAsia="zh-CN"/>
        </w:rPr>
        <w:t>含油金属屑处理及锂电池回收储存</w:t>
      </w:r>
      <w:r>
        <w:rPr>
          <w:rFonts w:hint="eastAsia"/>
          <w:highlight w:val="none"/>
        </w:rPr>
        <w:t>项目，生产均在厂房内进行操作，</w:t>
      </w:r>
      <w:r>
        <w:rPr>
          <w:rFonts w:hint="eastAsia"/>
          <w:highlight w:val="none"/>
          <w:lang w:val="en-US" w:eastAsia="zh-CN"/>
        </w:rPr>
        <w:t>产生的</w:t>
      </w:r>
      <w:r>
        <w:rPr>
          <w:rFonts w:hint="eastAsia"/>
          <w:highlight w:val="none"/>
        </w:rPr>
        <w:t>废液、废活性炭、废过滤材料、废电解液和电池</w:t>
      </w:r>
      <w:r>
        <w:rPr>
          <w:rFonts w:hint="eastAsia"/>
          <w:highlight w:val="none"/>
          <w:lang w:val="en-US" w:eastAsia="zh-CN"/>
        </w:rPr>
        <w:t>分开</w:t>
      </w:r>
      <w:r>
        <w:rPr>
          <w:rFonts w:hint="eastAsia"/>
          <w:highlight w:val="none"/>
        </w:rPr>
        <w:t>储存，</w:t>
      </w:r>
      <w:r>
        <w:rPr>
          <w:rFonts w:hint="eastAsia" w:ascii="宋体" w:hAnsi="宋体" w:eastAsia="宋体" w:cs="宋体"/>
          <w:highlight w:val="none"/>
        </w:rPr>
        <w:t>不混装</w:t>
      </w:r>
      <w:r>
        <w:rPr>
          <w:rFonts w:hint="eastAsia" w:ascii="宋体" w:hAnsi="宋体" w:cs="宋体"/>
          <w:highlight w:val="none"/>
          <w:lang w:eastAsia="zh-CN"/>
        </w:rPr>
        <w:t>，</w:t>
      </w:r>
      <w:r>
        <w:rPr>
          <w:rFonts w:hint="eastAsia"/>
          <w:highlight w:val="none"/>
          <w:lang w:val="en-US" w:eastAsia="zh-CN"/>
        </w:rPr>
        <w:t>收集的锂电池在专用区域储存，交由有资质单位回收利用</w:t>
      </w:r>
      <w:r>
        <w:rPr>
          <w:rFonts w:hint="eastAsia"/>
          <w:highlight w:val="none"/>
        </w:rPr>
        <w:t>。地面采取严格的防渗、防腐措施，防止重金属污染土壤环境，符合《土壤污染防治行动计划》中的要求</w:t>
      </w:r>
      <w:r>
        <w:rPr>
          <w:rFonts w:hint="eastAsia"/>
          <w:highlight w:val="none"/>
          <w:lang w:eastAsia="zh-CN"/>
        </w:rPr>
        <w:t>。</w:t>
      </w:r>
    </w:p>
    <w:p w14:paraId="231B3883">
      <w:pPr>
        <w:pStyle w:val="5"/>
        <w:bidi w:val="0"/>
        <w:rPr>
          <w:highlight w:val="none"/>
        </w:rPr>
      </w:pPr>
      <w:bookmarkStart w:id="65" w:name="_Toc30364"/>
      <w:bookmarkStart w:id="66" w:name="_Toc23676"/>
      <w:r>
        <w:rPr>
          <w:rFonts w:hint="eastAsia"/>
          <w:highlight w:val="none"/>
          <w:lang w:val="en-US" w:eastAsia="zh-CN"/>
        </w:rPr>
        <w:t>1.4.7</w:t>
      </w:r>
      <w:r>
        <w:rPr>
          <w:highlight w:val="none"/>
        </w:rPr>
        <w:t>与《固体废物再生利用污染防治技术导则》（HJ1091-2020）符合性分析</w:t>
      </w:r>
      <w:bookmarkEnd w:id="65"/>
      <w:bookmarkEnd w:id="66"/>
    </w:p>
    <w:p w14:paraId="0FA35DA9">
      <w:pPr>
        <w:bidi w:val="0"/>
        <w:rPr>
          <w:highlight w:val="none"/>
        </w:rPr>
      </w:pPr>
      <w:r>
        <w:rPr>
          <w:highlight w:val="none"/>
        </w:rPr>
        <w:t>本项目与</w:t>
      </w:r>
      <w:r>
        <w:rPr>
          <w:color w:val="auto"/>
          <w:highlight w:val="none"/>
        </w:rPr>
        <w:t>《固体废物再生利用污染防治技术导则》（HJ1091-2020）</w:t>
      </w:r>
      <w:r>
        <w:rPr>
          <w:highlight w:val="none"/>
        </w:rPr>
        <w:t>符合性分析见下表。</w:t>
      </w:r>
    </w:p>
    <w:p w14:paraId="21C89CE1">
      <w:pPr>
        <w:pStyle w:val="7"/>
        <w:bidi w:val="0"/>
        <w:rPr>
          <w:highlight w:val="none"/>
        </w:rPr>
      </w:pPr>
      <w:bookmarkStart w:id="67" w:name="_Toc13363_WPSOffice_Level1"/>
      <w:r>
        <w:rPr>
          <w:highlight w:val="none"/>
        </w:rPr>
        <w:t>表1-4-</w:t>
      </w:r>
      <w:r>
        <w:rPr>
          <w:rFonts w:hint="eastAsia"/>
          <w:highlight w:val="none"/>
          <w:lang w:val="en-US" w:eastAsia="zh-CN"/>
        </w:rPr>
        <w:t xml:space="preserve">3  </w:t>
      </w:r>
      <w:r>
        <w:rPr>
          <w:highlight w:val="none"/>
        </w:rPr>
        <w:t>《固体废物再生利用污染防治技术导则》相符性分析</w:t>
      </w:r>
    </w:p>
    <w:bookmarkEnd w:id="67"/>
    <w:tbl>
      <w:tblPr>
        <w:tblStyle w:val="44"/>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08"/>
        <w:gridCol w:w="3636"/>
        <w:gridCol w:w="3896"/>
        <w:gridCol w:w="482"/>
      </w:tblGrid>
      <w:tr w14:paraId="6526F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0114B2A9">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序号</w:t>
            </w:r>
          </w:p>
        </w:tc>
        <w:tc>
          <w:tcPr>
            <w:tcW w:w="3636" w:type="dxa"/>
            <w:tcBorders>
              <w:tl2br w:val="nil"/>
              <w:tr2bl w:val="nil"/>
            </w:tcBorders>
            <w:noWrap w:val="0"/>
            <w:vAlign w:val="center"/>
          </w:tcPr>
          <w:p w14:paraId="55E514D7">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《固体废物再生利用污染防治技术导则》（HJ1091-2020）</w:t>
            </w:r>
          </w:p>
        </w:tc>
        <w:tc>
          <w:tcPr>
            <w:tcW w:w="3896" w:type="dxa"/>
            <w:tcBorders>
              <w:tl2br w:val="nil"/>
              <w:tr2bl w:val="nil"/>
            </w:tcBorders>
            <w:noWrap w:val="0"/>
            <w:vAlign w:val="center"/>
          </w:tcPr>
          <w:p w14:paraId="4E886946">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本项目情况</w:t>
            </w:r>
          </w:p>
        </w:tc>
        <w:tc>
          <w:tcPr>
            <w:tcW w:w="482" w:type="dxa"/>
            <w:tcBorders>
              <w:tl2br w:val="nil"/>
              <w:tr2bl w:val="nil"/>
            </w:tcBorders>
            <w:noWrap w:val="0"/>
            <w:vAlign w:val="center"/>
          </w:tcPr>
          <w:p w14:paraId="49DB0A3D">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相符性</w:t>
            </w:r>
          </w:p>
        </w:tc>
      </w:tr>
      <w:tr w14:paraId="41BC63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7B4AB8E9">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4.7</w:t>
            </w:r>
          </w:p>
        </w:tc>
        <w:tc>
          <w:tcPr>
            <w:tcW w:w="3636" w:type="dxa"/>
            <w:tcBorders>
              <w:tl2br w:val="nil"/>
              <w:tr2bl w:val="nil"/>
            </w:tcBorders>
            <w:noWrap w:val="0"/>
            <w:vAlign w:val="center"/>
          </w:tcPr>
          <w:p w14:paraId="44356F4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固体废物再生利用产物作为产品的，应符合GB34330中要求的国家、地方制定或行业通行的产品质量标准</w:t>
            </w:r>
          </w:p>
        </w:tc>
        <w:tc>
          <w:tcPr>
            <w:tcW w:w="3896" w:type="dxa"/>
            <w:tcBorders>
              <w:tl2br w:val="nil"/>
              <w:tr2bl w:val="nil"/>
            </w:tcBorders>
            <w:noWrap w:val="0"/>
            <w:vAlign w:val="center"/>
          </w:tcPr>
          <w:p w14:paraId="2DAF5CC3">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rPr>
              <w:t>本项目再生利用产物可定向用于特定用途按产品管理</w:t>
            </w:r>
          </w:p>
        </w:tc>
        <w:tc>
          <w:tcPr>
            <w:tcW w:w="482" w:type="dxa"/>
            <w:tcBorders>
              <w:tl2br w:val="nil"/>
              <w:tr2bl w:val="nil"/>
            </w:tcBorders>
            <w:noWrap w:val="0"/>
            <w:vAlign w:val="center"/>
          </w:tcPr>
          <w:p w14:paraId="392FD964">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符合</w:t>
            </w:r>
          </w:p>
        </w:tc>
      </w:tr>
      <w:tr w14:paraId="37FF0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68C57662">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5.1.3</w:t>
            </w:r>
          </w:p>
        </w:tc>
        <w:tc>
          <w:tcPr>
            <w:tcW w:w="3636" w:type="dxa"/>
            <w:tcBorders>
              <w:tl2br w:val="nil"/>
              <w:tr2bl w:val="nil"/>
            </w:tcBorders>
            <w:noWrap w:val="0"/>
            <w:vAlign w:val="center"/>
          </w:tcPr>
          <w:p w14:paraId="536011D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应根据固体废物的特性设置必要的防扬撒、防渗漏、防腐蚀设施，配备废气处理、废水处理、噪声控制等污染防治设施</w:t>
            </w:r>
          </w:p>
        </w:tc>
        <w:tc>
          <w:tcPr>
            <w:tcW w:w="3896" w:type="dxa"/>
            <w:tcBorders>
              <w:tl2br w:val="nil"/>
              <w:tr2bl w:val="nil"/>
            </w:tcBorders>
            <w:noWrap w:val="0"/>
            <w:vAlign w:val="center"/>
          </w:tcPr>
          <w:p w14:paraId="384F5761">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本项目</w:t>
            </w:r>
            <w:r>
              <w:rPr>
                <w:rFonts w:hint="eastAsia" w:ascii="Times New Roman" w:hAnsi="Times New Roman" w:cs="Times New Roman"/>
                <w:snapToGrid w:val="0"/>
                <w:color w:val="auto"/>
                <w:sz w:val="21"/>
                <w:szCs w:val="21"/>
                <w:highlight w:val="none"/>
                <w:lang w:val="en-US" w:eastAsia="zh-CN"/>
              </w:rPr>
              <w:t>危险废物贮存库及生产车间按照</w:t>
            </w:r>
            <w:r>
              <w:rPr>
                <w:rFonts w:hint="default" w:ascii="Times New Roman" w:hAnsi="Times New Roman" w:cs="Times New Roman"/>
                <w:snapToGrid w:val="0"/>
                <w:color w:val="auto"/>
                <w:sz w:val="21"/>
                <w:szCs w:val="21"/>
                <w:highlight w:val="none"/>
              </w:rPr>
              <w:t>《危险废物贮存污染控制标准》（GB18597-2023）进行地</w:t>
            </w:r>
            <w:r>
              <w:rPr>
                <w:rFonts w:hint="eastAsia" w:ascii="Times New Roman" w:hAnsi="Times New Roman" w:cs="Times New Roman"/>
                <w:snapToGrid w:val="0"/>
                <w:color w:val="auto"/>
                <w:sz w:val="21"/>
                <w:szCs w:val="21"/>
                <w:highlight w:val="none"/>
                <w:lang w:val="en-US" w:eastAsia="zh-CN"/>
              </w:rPr>
              <w:t>面</w:t>
            </w:r>
            <w:r>
              <w:rPr>
                <w:rFonts w:hint="default" w:ascii="Times New Roman" w:hAnsi="Times New Roman" w:cs="Times New Roman"/>
                <w:snapToGrid w:val="0"/>
                <w:color w:val="auto"/>
                <w:sz w:val="21"/>
                <w:szCs w:val="21"/>
                <w:highlight w:val="none"/>
              </w:rPr>
              <w:t>防渗处理；</w:t>
            </w:r>
            <w:r>
              <w:rPr>
                <w:rFonts w:hint="eastAsia" w:ascii="Times New Roman" w:hAnsi="Times New Roman" w:cs="Times New Roman"/>
                <w:snapToGrid w:val="0"/>
                <w:color w:val="auto"/>
                <w:sz w:val="21"/>
                <w:szCs w:val="21"/>
                <w:highlight w:val="none"/>
                <w:lang w:val="en-US" w:eastAsia="zh-CN"/>
              </w:rPr>
              <w:t>生产产生的油雾、挥发性有机物（以非甲烷总烃计）、颗粒物及臭气浓度通过油雾净化装置+活性炭吸附装置处理后由1根新建15m排气筒排放</w:t>
            </w:r>
            <w:r>
              <w:rPr>
                <w:rFonts w:hint="default" w:ascii="Times New Roman" w:hAnsi="Times New Roman" w:cs="Times New Roman"/>
                <w:snapToGrid w:val="0"/>
                <w:color w:val="auto"/>
                <w:sz w:val="21"/>
                <w:szCs w:val="21"/>
                <w:highlight w:val="none"/>
              </w:rPr>
              <w:t>；</w:t>
            </w:r>
            <w:r>
              <w:rPr>
                <w:rFonts w:hint="eastAsia" w:ascii="Times New Roman" w:hAnsi="Times New Roman" w:cs="Times New Roman"/>
                <w:snapToGrid w:val="0"/>
                <w:color w:val="auto"/>
                <w:sz w:val="21"/>
                <w:szCs w:val="21"/>
                <w:highlight w:val="none"/>
                <w:lang w:eastAsia="zh-CN"/>
              </w:rPr>
              <w:t>贮存</w:t>
            </w:r>
            <w:r>
              <w:rPr>
                <w:rFonts w:hint="eastAsia" w:ascii="Times New Roman" w:hAnsi="Times New Roman" w:cs="Times New Roman"/>
                <w:snapToGrid w:val="0"/>
                <w:color w:val="auto"/>
                <w:sz w:val="21"/>
                <w:szCs w:val="21"/>
                <w:highlight w:val="none"/>
                <w:lang w:val="en-US" w:eastAsia="zh-CN"/>
              </w:rPr>
              <w:t>产生的挥发性有机物（以非甲烷总烃计）通活性炭吸附装置处理后由1根新建15m排气筒排放</w:t>
            </w:r>
            <w:r>
              <w:rPr>
                <w:rFonts w:hint="default" w:ascii="Times New Roman" w:hAnsi="Times New Roman" w:cs="Times New Roman"/>
                <w:snapToGrid w:val="0"/>
                <w:color w:val="auto"/>
                <w:sz w:val="21"/>
                <w:szCs w:val="21"/>
                <w:highlight w:val="none"/>
              </w:rPr>
              <w:t>；</w:t>
            </w:r>
            <w:r>
              <w:rPr>
                <w:rFonts w:hint="eastAsia" w:ascii="Times New Roman" w:hAnsi="Times New Roman" w:cs="Times New Roman"/>
                <w:snapToGrid w:val="0"/>
                <w:color w:val="auto"/>
                <w:sz w:val="21"/>
                <w:szCs w:val="21"/>
                <w:highlight w:val="none"/>
                <w:lang w:val="en-US" w:eastAsia="zh-CN"/>
              </w:rPr>
              <w:t>本项目不产生生产废水</w:t>
            </w:r>
            <w:r>
              <w:rPr>
                <w:rFonts w:hint="eastAsia" w:ascii="Times New Roman" w:hAnsi="Times New Roman"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通过隔声减振措施，将噪声影响降至最低</w:t>
            </w:r>
          </w:p>
        </w:tc>
        <w:tc>
          <w:tcPr>
            <w:tcW w:w="482" w:type="dxa"/>
            <w:tcBorders>
              <w:tl2br w:val="nil"/>
              <w:tr2bl w:val="nil"/>
            </w:tcBorders>
            <w:noWrap w:val="0"/>
            <w:vAlign w:val="center"/>
          </w:tcPr>
          <w:p w14:paraId="0D48CDA1">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符合</w:t>
            </w:r>
          </w:p>
        </w:tc>
      </w:tr>
      <w:tr w14:paraId="410797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5CC0A668">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5.1.5</w:t>
            </w:r>
          </w:p>
        </w:tc>
        <w:tc>
          <w:tcPr>
            <w:tcW w:w="3636" w:type="dxa"/>
            <w:tcBorders>
              <w:tl2br w:val="nil"/>
              <w:tr2bl w:val="nil"/>
            </w:tcBorders>
            <w:noWrap w:val="0"/>
            <w:vAlign w:val="center"/>
          </w:tcPr>
          <w:p w14:paraId="181765A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应采取大气污染控制措施，大气污染物排放应满足特定行业排放（控制）标准的要求。没有特定行业污</w:t>
            </w:r>
            <w:r>
              <w:rPr>
                <w:rFonts w:hint="eastAsia" w:ascii="Times New Roman" w:hAnsi="Times New Roman" w:cs="Times New Roman"/>
                <w:snapToGrid w:val="0"/>
                <w:color w:val="auto"/>
                <w:sz w:val="21"/>
                <w:szCs w:val="21"/>
                <w:highlight w:val="none"/>
                <w:lang w:eastAsia="zh-CN"/>
              </w:rPr>
              <w:t>染物</w:t>
            </w:r>
            <w:r>
              <w:rPr>
                <w:rFonts w:hint="default" w:ascii="Times New Roman" w:hAnsi="Times New Roman" w:cs="Times New Roman"/>
                <w:snapToGrid w:val="0"/>
                <w:color w:val="auto"/>
                <w:sz w:val="21"/>
                <w:szCs w:val="21"/>
                <w:highlight w:val="none"/>
              </w:rPr>
              <w:t>排放（控制）标准的，应满足GB16297的要求，特征污染物排放（控制）应满足环境影响评价要求</w:t>
            </w:r>
          </w:p>
        </w:tc>
        <w:tc>
          <w:tcPr>
            <w:tcW w:w="3896" w:type="dxa"/>
            <w:tcBorders>
              <w:tl2br w:val="nil"/>
              <w:tr2bl w:val="nil"/>
            </w:tcBorders>
            <w:noWrap w:val="0"/>
            <w:vAlign w:val="center"/>
          </w:tcPr>
          <w:p w14:paraId="0EE7297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wordWrap w:val="0"/>
              <w:overflowPunct/>
              <w:topLinePunct/>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本项目</w:t>
            </w:r>
            <w:r>
              <w:rPr>
                <w:rFonts w:hint="eastAsia" w:ascii="Times New Roman" w:hAnsi="Times New Roman" w:cs="Times New Roman"/>
                <w:snapToGrid w:val="0"/>
                <w:color w:val="auto"/>
                <w:sz w:val="21"/>
                <w:szCs w:val="21"/>
                <w:highlight w:val="none"/>
                <w:lang w:val="en-US" w:eastAsia="zh-CN"/>
              </w:rPr>
              <w:t>有组织</w:t>
            </w:r>
            <w:r>
              <w:rPr>
                <w:rFonts w:hint="default" w:ascii="Times New Roman" w:hAnsi="Times New Roman" w:cs="Times New Roman"/>
                <w:snapToGrid w:val="0"/>
                <w:color w:val="auto"/>
                <w:sz w:val="21"/>
                <w:szCs w:val="21"/>
                <w:highlight w:val="none"/>
              </w:rPr>
              <w:t>废气执行GB16297-1996中相应标准限值</w:t>
            </w:r>
            <w:r>
              <w:rPr>
                <w:rFonts w:hint="eastAsia" w:ascii="Times New Roman" w:hAnsi="Times New Roman"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厂界</w:t>
            </w:r>
            <w:r>
              <w:rPr>
                <w:rFonts w:hint="eastAsia" w:ascii="Times New Roman" w:hAnsi="Times New Roman" w:cs="Times New Roman"/>
                <w:snapToGrid w:val="0"/>
                <w:color w:val="auto"/>
                <w:sz w:val="21"/>
                <w:szCs w:val="21"/>
                <w:highlight w:val="none"/>
                <w:lang w:val="en-US" w:eastAsia="zh-CN"/>
              </w:rPr>
              <w:t>无组织废气</w:t>
            </w:r>
            <w:r>
              <w:rPr>
                <w:rFonts w:hint="default" w:ascii="Times New Roman" w:hAnsi="Times New Roman" w:cs="Times New Roman"/>
                <w:snapToGrid w:val="0"/>
                <w:color w:val="auto"/>
                <w:sz w:val="21"/>
                <w:szCs w:val="21"/>
                <w:highlight w:val="none"/>
              </w:rPr>
              <w:t>执行GB16297-1996表2中无组织排放监控浓度限值要求；</w:t>
            </w:r>
            <w:r>
              <w:rPr>
                <w:rFonts w:hint="eastAsia" w:ascii="Times New Roman" w:hAnsi="Times New Roman" w:cs="Times New Roman"/>
                <w:snapToGrid w:val="0"/>
                <w:color w:val="auto"/>
                <w:sz w:val="21"/>
                <w:szCs w:val="21"/>
                <w:highlight w:val="none"/>
                <w:lang w:val="en-US" w:eastAsia="zh-CN"/>
              </w:rPr>
              <w:t>厂区内</w:t>
            </w:r>
            <w:r>
              <w:rPr>
                <w:rFonts w:hint="default" w:ascii="Times New Roman" w:hAnsi="Times New Roman" w:cs="Times New Roman"/>
                <w:snapToGrid w:val="0"/>
                <w:color w:val="auto"/>
                <w:sz w:val="21"/>
                <w:szCs w:val="21"/>
                <w:highlight w:val="none"/>
              </w:rPr>
              <w:t>非甲烷总烃执行GB37822-2019中限值要求</w:t>
            </w:r>
            <w:r>
              <w:rPr>
                <w:rFonts w:hint="eastAsia" w:ascii="Times New Roman" w:hAnsi="Times New Roman" w:cs="Times New Roman"/>
                <w:snapToGrid w:val="0"/>
                <w:color w:val="auto"/>
                <w:sz w:val="21"/>
                <w:szCs w:val="21"/>
                <w:highlight w:val="none"/>
                <w:lang w:eastAsia="zh-CN"/>
              </w:rPr>
              <w:t>；</w:t>
            </w:r>
            <w:r>
              <w:rPr>
                <w:rFonts w:hint="eastAsia" w:ascii="Times New Roman" w:hAnsi="Times New Roman" w:cs="Times New Roman"/>
                <w:snapToGrid w:val="0"/>
                <w:color w:val="auto"/>
                <w:sz w:val="21"/>
                <w:szCs w:val="21"/>
                <w:highlight w:val="none"/>
                <w:lang w:val="en-US" w:eastAsia="zh-CN"/>
              </w:rPr>
              <w:t>臭气浓度执行GB14554-1993中要求</w:t>
            </w:r>
          </w:p>
        </w:tc>
        <w:tc>
          <w:tcPr>
            <w:tcW w:w="482" w:type="dxa"/>
            <w:tcBorders>
              <w:tl2br w:val="nil"/>
              <w:tr2bl w:val="nil"/>
            </w:tcBorders>
            <w:noWrap w:val="0"/>
            <w:vAlign w:val="center"/>
          </w:tcPr>
          <w:p w14:paraId="3378C00B">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符合</w:t>
            </w:r>
          </w:p>
        </w:tc>
      </w:tr>
      <w:tr w14:paraId="654E47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5D56437C">
            <w:pPr>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highlight w:val="none"/>
              </w:rPr>
            </w:pPr>
            <w:r>
              <w:rPr>
                <w:rFonts w:hint="default"/>
                <w:color w:val="auto"/>
                <w:kern w:val="0"/>
                <w:sz w:val="21"/>
                <w:szCs w:val="21"/>
                <w:highlight w:val="none"/>
              </w:rPr>
              <w:t>5.1.7</w:t>
            </w:r>
          </w:p>
        </w:tc>
        <w:tc>
          <w:tcPr>
            <w:tcW w:w="3636" w:type="dxa"/>
            <w:tcBorders>
              <w:tl2br w:val="nil"/>
              <w:tr2bl w:val="nil"/>
            </w:tcBorders>
            <w:noWrap w:val="0"/>
            <w:vAlign w:val="center"/>
          </w:tcPr>
          <w:p w14:paraId="6FC70CE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产生的冷凝液、浓缩液、渗滤液等废液应进行有效收集后集中处理。处理后产生的废水应优先考虑循环利用；排放时应满足特定行业排放（控制）标准的要求；没有特定行业污染排放（控制）标准的，应满足GB8978的要求，特征污染物排放（控制）应满足环境影响评价要求</w:t>
            </w:r>
          </w:p>
        </w:tc>
        <w:tc>
          <w:tcPr>
            <w:tcW w:w="3896" w:type="dxa"/>
            <w:tcBorders>
              <w:tl2br w:val="nil"/>
              <w:tr2bl w:val="nil"/>
            </w:tcBorders>
            <w:noWrap w:val="0"/>
            <w:vAlign w:val="center"/>
          </w:tcPr>
          <w:p w14:paraId="1B50B31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本项目不产生生产废水，原料贮存池产生的废液泵至密封桶内，储存于危险废物贮存库，定期交由有资质单位处置</w:t>
            </w:r>
          </w:p>
        </w:tc>
        <w:tc>
          <w:tcPr>
            <w:tcW w:w="482" w:type="dxa"/>
            <w:tcBorders>
              <w:tl2br w:val="nil"/>
              <w:tr2bl w:val="nil"/>
            </w:tcBorders>
            <w:noWrap w:val="0"/>
            <w:vAlign w:val="center"/>
          </w:tcPr>
          <w:p w14:paraId="57C3F87D">
            <w:pPr>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highlight w:val="none"/>
              </w:rPr>
            </w:pPr>
            <w:r>
              <w:rPr>
                <w:rFonts w:hint="default"/>
                <w:color w:val="auto"/>
                <w:kern w:val="0"/>
                <w:sz w:val="21"/>
                <w:szCs w:val="21"/>
                <w:highlight w:val="none"/>
              </w:rPr>
              <w:t>符合</w:t>
            </w:r>
          </w:p>
        </w:tc>
      </w:tr>
      <w:tr w14:paraId="12586A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1D69C034">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5.1.8</w:t>
            </w:r>
          </w:p>
        </w:tc>
        <w:tc>
          <w:tcPr>
            <w:tcW w:w="3636" w:type="dxa"/>
            <w:tcBorders>
              <w:tl2br w:val="nil"/>
              <w:tr2bl w:val="nil"/>
            </w:tcBorders>
            <w:noWrap w:val="0"/>
            <w:vAlign w:val="center"/>
          </w:tcPr>
          <w:p w14:paraId="690C983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应防止噪声污染。设备运转时厂界噪声应符合GB12348的要求</w:t>
            </w:r>
          </w:p>
        </w:tc>
        <w:tc>
          <w:tcPr>
            <w:tcW w:w="3896" w:type="dxa"/>
            <w:tcBorders>
              <w:tl2br w:val="nil"/>
              <w:tr2bl w:val="nil"/>
            </w:tcBorders>
            <w:noWrap w:val="0"/>
            <w:vAlign w:val="center"/>
          </w:tcPr>
          <w:p w14:paraId="52CF8FD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通过隔声减振措施，厂界噪声满足GB12348-2008限值要求</w:t>
            </w:r>
          </w:p>
        </w:tc>
        <w:tc>
          <w:tcPr>
            <w:tcW w:w="482" w:type="dxa"/>
            <w:tcBorders>
              <w:tl2br w:val="nil"/>
              <w:tr2bl w:val="nil"/>
            </w:tcBorders>
            <w:noWrap w:val="0"/>
            <w:vAlign w:val="center"/>
          </w:tcPr>
          <w:p w14:paraId="376BBE41">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符合</w:t>
            </w:r>
          </w:p>
        </w:tc>
      </w:tr>
      <w:tr w14:paraId="7C5D14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shd w:val="clear" w:color="auto" w:fill="auto"/>
            <w:noWrap w:val="0"/>
            <w:vAlign w:val="center"/>
          </w:tcPr>
          <w:p w14:paraId="2934DF13">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5.1.9</w:t>
            </w:r>
          </w:p>
        </w:tc>
        <w:tc>
          <w:tcPr>
            <w:tcW w:w="3636" w:type="dxa"/>
            <w:tcBorders>
              <w:tl2br w:val="nil"/>
              <w:tr2bl w:val="nil"/>
            </w:tcBorders>
            <w:shd w:val="clear" w:color="auto" w:fill="auto"/>
            <w:noWrap w:val="0"/>
            <w:vAlign w:val="center"/>
          </w:tcPr>
          <w:p w14:paraId="5A41558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产生的污泥、底渣、废油类等固体废物应按照其管理属性分别处置。不能自行综合利用或处置的，应交给有相应资质和处理能力的企业进行综合利用或处置</w:t>
            </w:r>
          </w:p>
        </w:tc>
        <w:tc>
          <w:tcPr>
            <w:tcW w:w="3896" w:type="dxa"/>
            <w:tcBorders>
              <w:tl2br w:val="nil"/>
              <w:tr2bl w:val="nil"/>
            </w:tcBorders>
            <w:shd w:val="clear" w:color="auto" w:fill="auto"/>
            <w:noWrap w:val="0"/>
            <w:vAlign w:val="center"/>
          </w:tcPr>
          <w:p w14:paraId="5028C82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本项目产生的</w:t>
            </w:r>
            <w:r>
              <w:rPr>
                <w:rFonts w:hint="eastAsia" w:ascii="Times New Roman" w:hAnsi="Times New Roman" w:cs="Times New Roman"/>
                <w:snapToGrid w:val="0"/>
                <w:color w:val="auto"/>
                <w:sz w:val="21"/>
                <w:szCs w:val="21"/>
                <w:highlight w:val="none"/>
                <w:lang w:eastAsia="zh-CN"/>
              </w:rPr>
              <w:t>脱油</w:t>
            </w:r>
            <w:r>
              <w:rPr>
                <w:rFonts w:hint="eastAsia" w:ascii="Times New Roman" w:hAnsi="Times New Roman" w:cs="Times New Roman"/>
                <w:snapToGrid w:val="0"/>
                <w:color w:val="auto"/>
                <w:sz w:val="21"/>
                <w:szCs w:val="21"/>
                <w:highlight w:val="none"/>
                <w:lang w:val="en-US" w:eastAsia="zh-CN"/>
              </w:rPr>
              <w:t>金属屑作为金属行业原料</w:t>
            </w:r>
            <w:r>
              <w:rPr>
                <w:rFonts w:hint="default" w:ascii="Times New Roman" w:hAnsi="Times New Roman" w:cs="Times New Roman"/>
                <w:snapToGrid w:val="0"/>
                <w:color w:val="auto"/>
                <w:sz w:val="21"/>
                <w:szCs w:val="21"/>
                <w:highlight w:val="none"/>
              </w:rPr>
              <w:t>，</w:t>
            </w:r>
            <w:r>
              <w:rPr>
                <w:rFonts w:hint="eastAsia" w:ascii="Times New Roman" w:hAnsi="Times New Roman" w:cs="Times New Roman"/>
                <w:snapToGrid w:val="0"/>
                <w:color w:val="auto"/>
                <w:sz w:val="21"/>
                <w:szCs w:val="21"/>
                <w:highlight w:val="none"/>
                <w:lang w:eastAsia="zh-CN"/>
              </w:rPr>
              <w:t>收集的锂电池交由有资质单位处置，</w:t>
            </w:r>
            <w:r>
              <w:rPr>
                <w:rFonts w:hint="eastAsia" w:ascii="Times New Roman" w:hAnsi="Times New Roman" w:cs="Times New Roman"/>
                <w:snapToGrid w:val="0"/>
                <w:color w:val="auto"/>
                <w:sz w:val="21"/>
                <w:szCs w:val="21"/>
                <w:highlight w:val="none"/>
                <w:lang w:val="en-US" w:eastAsia="zh-CN"/>
              </w:rPr>
              <w:t>产生废液、废活性炭、废过滤材料、废电解液和电池等危险废物，均委托有资质单位处置。</w:t>
            </w:r>
          </w:p>
        </w:tc>
        <w:tc>
          <w:tcPr>
            <w:tcW w:w="482" w:type="dxa"/>
            <w:tcBorders>
              <w:tl2br w:val="nil"/>
              <w:tr2bl w:val="nil"/>
            </w:tcBorders>
            <w:shd w:val="clear" w:color="auto" w:fill="auto"/>
            <w:noWrap w:val="0"/>
            <w:vAlign w:val="center"/>
          </w:tcPr>
          <w:p w14:paraId="645390B7">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符合</w:t>
            </w:r>
          </w:p>
        </w:tc>
      </w:tr>
    </w:tbl>
    <w:p w14:paraId="06E1B286">
      <w:pPr>
        <w:pStyle w:val="5"/>
        <w:bidi w:val="0"/>
        <w:rPr>
          <w:rFonts w:hint="default"/>
          <w:highlight w:val="none"/>
        </w:rPr>
      </w:pPr>
      <w:bookmarkStart w:id="68" w:name="_Toc8196"/>
      <w:bookmarkStart w:id="69" w:name="_Toc483"/>
      <w:r>
        <w:rPr>
          <w:rFonts w:hint="eastAsia"/>
          <w:highlight w:val="none"/>
          <w:lang w:val="en-US" w:eastAsia="zh-CN"/>
        </w:rPr>
        <w:t>1.4.8</w:t>
      </w:r>
      <w:r>
        <w:rPr>
          <w:rFonts w:hint="default"/>
          <w:highlight w:val="none"/>
        </w:rPr>
        <w:t>与《重点行业挥发性有机物综合治理方案》（环大气</w:t>
      </w:r>
      <w:r>
        <w:rPr>
          <w:rFonts w:hint="eastAsia"/>
          <w:highlight w:val="none"/>
          <w:lang w:eastAsia="zh-CN"/>
        </w:rPr>
        <w:t>〔2019〕53号</w:t>
      </w:r>
      <w:r>
        <w:rPr>
          <w:rFonts w:hint="default"/>
          <w:highlight w:val="none"/>
        </w:rPr>
        <w:t>）符合性分析</w:t>
      </w:r>
      <w:bookmarkEnd w:id="68"/>
      <w:bookmarkEnd w:id="69"/>
    </w:p>
    <w:p w14:paraId="54A2DA3C">
      <w:pPr>
        <w:pStyle w:val="7"/>
        <w:bidi w:val="0"/>
        <w:rPr>
          <w:rFonts w:hint="default"/>
          <w:highlight w:val="none"/>
        </w:rPr>
      </w:pPr>
      <w:r>
        <w:rPr>
          <w:rFonts w:hint="default"/>
          <w:highlight w:val="none"/>
        </w:rPr>
        <w:t>表1-4-</w:t>
      </w:r>
      <w:r>
        <w:rPr>
          <w:rFonts w:hint="eastAsia"/>
          <w:highlight w:val="none"/>
          <w:lang w:val="en-US" w:eastAsia="zh-CN"/>
        </w:rPr>
        <w:t>4</w:t>
      </w:r>
      <w:r>
        <w:rPr>
          <w:rFonts w:hint="default"/>
          <w:highlight w:val="none"/>
        </w:rPr>
        <w:t>与《重点行业挥发性有机物综合治理方案》（环大气</w:t>
      </w:r>
      <w:r>
        <w:rPr>
          <w:rFonts w:hint="eastAsia"/>
          <w:highlight w:val="none"/>
          <w:lang w:eastAsia="zh-CN"/>
        </w:rPr>
        <w:t>〔2019〕53号</w:t>
      </w:r>
      <w:r>
        <w:rPr>
          <w:rFonts w:hint="default"/>
          <w:highlight w:val="none"/>
        </w:rPr>
        <w:t>）符合性一览表</w:t>
      </w:r>
    </w:p>
    <w:tbl>
      <w:tblPr>
        <w:tblStyle w:val="44"/>
        <w:tblW w:w="487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44"/>
        <w:gridCol w:w="4541"/>
        <w:gridCol w:w="2536"/>
        <w:gridCol w:w="690"/>
      </w:tblGrid>
      <w:tr w14:paraId="279513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327" w:type="pct"/>
            <w:vAlign w:val="center"/>
          </w:tcPr>
          <w:p w14:paraId="7A577A0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kern w:val="21"/>
                <w:sz w:val="21"/>
                <w:szCs w:val="21"/>
                <w:highlight w:val="none"/>
              </w:rPr>
            </w:pPr>
            <w:r>
              <w:rPr>
                <w:rFonts w:hint="default" w:ascii="Times New Roman" w:hAnsi="Times New Roman"/>
                <w:bCs/>
                <w:kern w:val="21"/>
                <w:sz w:val="21"/>
                <w:szCs w:val="21"/>
                <w:highlight w:val="none"/>
              </w:rPr>
              <w:t>序号</w:t>
            </w:r>
          </w:p>
        </w:tc>
        <w:tc>
          <w:tcPr>
            <w:tcW w:w="2731" w:type="pct"/>
            <w:vAlign w:val="center"/>
          </w:tcPr>
          <w:p w14:paraId="6F2350F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kern w:val="21"/>
                <w:sz w:val="21"/>
                <w:szCs w:val="21"/>
                <w:highlight w:val="none"/>
              </w:rPr>
            </w:pPr>
            <w:r>
              <w:rPr>
                <w:rFonts w:hint="default" w:ascii="Times New Roman" w:hAnsi="Times New Roman"/>
                <w:bCs/>
                <w:kern w:val="21"/>
                <w:sz w:val="21"/>
                <w:szCs w:val="21"/>
                <w:highlight w:val="none"/>
              </w:rPr>
              <w:t>《重点行业挥发性有机物综合治理方案》</w:t>
            </w:r>
          </w:p>
        </w:tc>
        <w:tc>
          <w:tcPr>
            <w:tcW w:w="1525" w:type="pct"/>
            <w:vAlign w:val="center"/>
          </w:tcPr>
          <w:p w14:paraId="4FB743D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kern w:val="21"/>
                <w:sz w:val="21"/>
                <w:szCs w:val="21"/>
                <w:highlight w:val="none"/>
              </w:rPr>
            </w:pPr>
            <w:r>
              <w:rPr>
                <w:rFonts w:hint="eastAsia" w:ascii="Times New Roman" w:hAnsi="Times New Roman"/>
                <w:bCs/>
                <w:kern w:val="21"/>
                <w:sz w:val="21"/>
                <w:szCs w:val="21"/>
                <w:highlight w:val="none"/>
              </w:rPr>
              <w:t>本</w:t>
            </w:r>
            <w:r>
              <w:rPr>
                <w:rFonts w:hint="default" w:ascii="Times New Roman" w:hAnsi="Times New Roman"/>
                <w:bCs/>
                <w:kern w:val="21"/>
                <w:sz w:val="21"/>
                <w:szCs w:val="21"/>
                <w:highlight w:val="none"/>
              </w:rPr>
              <w:t>项目</w:t>
            </w:r>
          </w:p>
        </w:tc>
        <w:tc>
          <w:tcPr>
            <w:tcW w:w="415" w:type="pct"/>
            <w:vAlign w:val="center"/>
          </w:tcPr>
          <w:p w14:paraId="2695503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kern w:val="21"/>
                <w:sz w:val="21"/>
                <w:szCs w:val="21"/>
                <w:highlight w:val="none"/>
              </w:rPr>
            </w:pPr>
            <w:r>
              <w:rPr>
                <w:rFonts w:hint="default" w:ascii="Times New Roman" w:hAnsi="Times New Roman"/>
                <w:bCs/>
                <w:kern w:val="21"/>
                <w:sz w:val="21"/>
                <w:szCs w:val="21"/>
                <w:highlight w:val="none"/>
              </w:rPr>
              <w:t>符合</w:t>
            </w:r>
            <w:r>
              <w:rPr>
                <w:rFonts w:hint="eastAsia" w:ascii="Times New Roman" w:hAnsi="Times New Roman"/>
                <w:bCs/>
                <w:kern w:val="21"/>
                <w:sz w:val="21"/>
                <w:szCs w:val="21"/>
                <w:highlight w:val="none"/>
              </w:rPr>
              <w:t>性</w:t>
            </w:r>
          </w:p>
        </w:tc>
      </w:tr>
      <w:tr w14:paraId="347381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5" w:hRule="atLeast"/>
        </w:trPr>
        <w:tc>
          <w:tcPr>
            <w:tcW w:w="327" w:type="pct"/>
            <w:vAlign w:val="center"/>
          </w:tcPr>
          <w:p w14:paraId="73DD683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kern w:val="21"/>
                <w:sz w:val="21"/>
                <w:szCs w:val="21"/>
                <w:highlight w:val="none"/>
              </w:rPr>
            </w:pPr>
            <w:r>
              <w:rPr>
                <w:rFonts w:hint="default" w:ascii="Times New Roman" w:hAnsi="Times New Roman"/>
                <w:bCs/>
                <w:kern w:val="21"/>
                <w:sz w:val="21"/>
                <w:szCs w:val="21"/>
                <w:highlight w:val="none"/>
              </w:rPr>
              <w:t>1</w:t>
            </w:r>
          </w:p>
        </w:tc>
        <w:tc>
          <w:tcPr>
            <w:tcW w:w="2731" w:type="pct"/>
            <w:shd w:val="clear" w:color="auto" w:fill="auto"/>
            <w:vAlign w:val="center"/>
          </w:tcPr>
          <w:p w14:paraId="3933711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加强设备与场所密闭管理。含VOCs物料应储存于密闭容器、包装袋，高效密封储罐，封闭式储库、料仓等。含VOCs物料转移和输送，应采用密闭管道或密闭容器、罐车等。含VOCs物料生产和使用过程，应采取有效收集措施或在密闭空间中操作。推进使用先进生产工艺。通过采用全密闭、连续化、自动化等生产技术，以及高效工艺与设备等，减少工艺过程无组织排放。挥发性有机液体装载优先采用底部装载方式。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525" w:type="pct"/>
            <w:vMerge w:val="restart"/>
            <w:vAlign w:val="center"/>
          </w:tcPr>
          <w:p w14:paraId="7FE29A3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本项目</w:t>
            </w:r>
            <w:r>
              <w:rPr>
                <w:rFonts w:hint="eastAsia" w:ascii="Times New Roman" w:hAnsi="Times New Roman" w:cs="Times New Roman"/>
                <w:snapToGrid w:val="0"/>
                <w:color w:val="auto"/>
                <w:sz w:val="21"/>
                <w:szCs w:val="21"/>
                <w:highlight w:val="none"/>
                <w:lang w:val="en-US" w:eastAsia="zh-CN"/>
              </w:rPr>
              <w:t>生产产生的油雾、挥发性有机物（以非甲烷总烃计）、颗粒物及臭气浓度通过油雾净化装置+活性炭吸附装置处理后由1根新建15m排气筒排放</w:t>
            </w:r>
            <w:r>
              <w:rPr>
                <w:rFonts w:hint="default" w:ascii="Times New Roman" w:hAnsi="Times New Roman" w:cs="Times New Roman"/>
                <w:snapToGrid w:val="0"/>
                <w:color w:val="auto"/>
                <w:sz w:val="21"/>
                <w:szCs w:val="21"/>
                <w:highlight w:val="none"/>
              </w:rPr>
              <w:t>；</w:t>
            </w:r>
            <w:r>
              <w:rPr>
                <w:rFonts w:hint="eastAsia" w:ascii="Times New Roman" w:hAnsi="Times New Roman" w:cs="Times New Roman"/>
                <w:snapToGrid w:val="0"/>
                <w:color w:val="auto"/>
                <w:sz w:val="21"/>
                <w:szCs w:val="21"/>
                <w:highlight w:val="none"/>
                <w:lang w:eastAsia="zh-CN"/>
              </w:rPr>
              <w:t>贮存</w:t>
            </w:r>
            <w:r>
              <w:rPr>
                <w:rFonts w:hint="eastAsia" w:ascii="Times New Roman" w:hAnsi="Times New Roman" w:cs="Times New Roman"/>
                <w:snapToGrid w:val="0"/>
                <w:color w:val="auto"/>
                <w:sz w:val="21"/>
                <w:szCs w:val="21"/>
                <w:highlight w:val="none"/>
                <w:lang w:val="en-US" w:eastAsia="zh-CN"/>
              </w:rPr>
              <w:t>产生的挥发性有机物（以非甲烷总烃计）通活性炭吸附装置处理后由1根新建15m排气筒排放。</w:t>
            </w:r>
          </w:p>
        </w:tc>
        <w:tc>
          <w:tcPr>
            <w:tcW w:w="415" w:type="pct"/>
            <w:vAlign w:val="center"/>
          </w:tcPr>
          <w:p w14:paraId="2EAB29E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kern w:val="21"/>
                <w:sz w:val="21"/>
                <w:szCs w:val="21"/>
                <w:highlight w:val="none"/>
              </w:rPr>
            </w:pPr>
            <w:r>
              <w:rPr>
                <w:rFonts w:hint="default" w:ascii="Times New Roman" w:hAnsi="Times New Roman"/>
                <w:bCs/>
                <w:kern w:val="21"/>
                <w:sz w:val="21"/>
                <w:szCs w:val="21"/>
                <w:highlight w:val="none"/>
              </w:rPr>
              <w:t>符合</w:t>
            </w:r>
          </w:p>
        </w:tc>
      </w:tr>
      <w:tr w14:paraId="282F0B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35" w:hRule="atLeast"/>
        </w:trPr>
        <w:tc>
          <w:tcPr>
            <w:tcW w:w="327" w:type="pct"/>
            <w:vAlign w:val="center"/>
          </w:tcPr>
          <w:p w14:paraId="75102D2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kern w:val="21"/>
                <w:sz w:val="21"/>
                <w:szCs w:val="21"/>
                <w:highlight w:val="none"/>
              </w:rPr>
            </w:pPr>
            <w:r>
              <w:rPr>
                <w:rFonts w:hint="eastAsia" w:ascii="Times New Roman" w:hAnsi="Times New Roman"/>
                <w:bCs/>
                <w:kern w:val="21"/>
                <w:sz w:val="21"/>
                <w:szCs w:val="21"/>
                <w:highlight w:val="none"/>
              </w:rPr>
              <w:t>2</w:t>
            </w:r>
          </w:p>
        </w:tc>
        <w:tc>
          <w:tcPr>
            <w:tcW w:w="2731" w:type="pct"/>
            <w:shd w:val="clear" w:color="auto" w:fill="auto"/>
            <w:vAlign w:val="center"/>
          </w:tcPr>
          <w:p w14:paraId="3A648E6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规范工程设计。采用吸附处理工艺的，应满足《吸附法工业有机废气治理工程技术规范》要求。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25" w:type="pct"/>
            <w:vMerge w:val="continue"/>
            <w:vAlign w:val="center"/>
          </w:tcPr>
          <w:p w14:paraId="395C74F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rPr>
            </w:pPr>
          </w:p>
        </w:tc>
        <w:tc>
          <w:tcPr>
            <w:tcW w:w="415" w:type="pct"/>
            <w:vAlign w:val="center"/>
          </w:tcPr>
          <w:p w14:paraId="77A2845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kern w:val="21"/>
                <w:sz w:val="21"/>
                <w:szCs w:val="21"/>
                <w:highlight w:val="none"/>
              </w:rPr>
            </w:pPr>
            <w:r>
              <w:rPr>
                <w:rFonts w:hint="default" w:ascii="Times New Roman" w:hAnsi="Times New Roman"/>
                <w:bCs/>
                <w:kern w:val="21"/>
                <w:sz w:val="21"/>
                <w:szCs w:val="21"/>
                <w:highlight w:val="none"/>
              </w:rPr>
              <w:t>符合</w:t>
            </w:r>
          </w:p>
        </w:tc>
      </w:tr>
    </w:tbl>
    <w:p w14:paraId="763919D4">
      <w:pPr>
        <w:autoSpaceDE w:val="0"/>
        <w:autoSpaceDN w:val="0"/>
        <w:spacing w:line="360" w:lineRule="auto"/>
        <w:ind w:firstLine="480" w:firstLineChars="200"/>
        <w:jc w:val="left"/>
        <w:rPr>
          <w:rFonts w:hint="default" w:ascii="Times New Roman" w:hAnsi="Times New Roman" w:cs="Times New Roman" w:eastAsiaTheme="minorEastAsia"/>
          <w:spacing w:val="0"/>
          <w:kern w:val="0"/>
          <w:position w:val="0"/>
          <w:sz w:val="24"/>
          <w:szCs w:val="21"/>
          <w:highlight w:val="none"/>
        </w:rPr>
      </w:pPr>
      <w:r>
        <w:rPr>
          <w:rFonts w:hint="default" w:ascii="Times New Roman" w:hAnsi="Times New Roman" w:cs="Times New Roman" w:eastAsiaTheme="minorEastAsia"/>
          <w:spacing w:val="0"/>
          <w:kern w:val="0"/>
          <w:position w:val="0"/>
          <w:sz w:val="24"/>
          <w:szCs w:val="21"/>
          <w:highlight w:val="none"/>
        </w:rPr>
        <w:t>因此，由以上可知，本项目符合</w:t>
      </w:r>
      <w:r>
        <w:rPr>
          <w:rFonts w:hint="default" w:ascii="Times New Roman" w:hAnsi="Times New Roman" w:cs="Times New Roman" w:eastAsiaTheme="minorEastAsia"/>
          <w:bCs/>
          <w:spacing w:val="0"/>
          <w:kern w:val="0"/>
          <w:position w:val="0"/>
          <w:sz w:val="24"/>
          <w:szCs w:val="21"/>
          <w:highlight w:val="none"/>
        </w:rPr>
        <w:t>《重点行业挥发性有机物综合治理方案》（环大气【2019】53号）的要求</w:t>
      </w:r>
      <w:r>
        <w:rPr>
          <w:rFonts w:hint="default" w:ascii="Times New Roman" w:hAnsi="Times New Roman" w:cs="Times New Roman" w:eastAsiaTheme="minorEastAsia"/>
          <w:spacing w:val="0"/>
          <w:kern w:val="0"/>
          <w:position w:val="0"/>
          <w:sz w:val="24"/>
          <w:szCs w:val="21"/>
          <w:highlight w:val="none"/>
        </w:rPr>
        <w:t>。</w:t>
      </w:r>
    </w:p>
    <w:p w14:paraId="3089A282">
      <w:pPr>
        <w:pStyle w:val="5"/>
        <w:bidi w:val="0"/>
        <w:rPr>
          <w:rFonts w:hint="default"/>
          <w:highlight w:val="none"/>
        </w:rPr>
      </w:pPr>
      <w:bookmarkStart w:id="70" w:name="_Toc28267"/>
      <w:bookmarkStart w:id="71" w:name="_Toc24074"/>
      <w:r>
        <w:rPr>
          <w:rFonts w:hint="default"/>
          <w:highlight w:val="none"/>
        </w:rPr>
        <w:t>1.4.</w:t>
      </w:r>
      <w:r>
        <w:rPr>
          <w:rFonts w:hint="eastAsia"/>
          <w:highlight w:val="none"/>
          <w:lang w:val="en-US" w:eastAsia="zh-CN"/>
        </w:rPr>
        <w:t>9</w:t>
      </w:r>
      <w:r>
        <w:rPr>
          <w:rFonts w:hint="default"/>
          <w:highlight w:val="none"/>
        </w:rPr>
        <w:t>与《</w:t>
      </w:r>
      <w:r>
        <w:rPr>
          <w:rFonts w:hint="eastAsia"/>
          <w:highlight w:val="none"/>
        </w:rPr>
        <w:t>强化危险废物监管和利用处置能力改革实施方案</w:t>
      </w:r>
      <w:r>
        <w:rPr>
          <w:rFonts w:hint="default"/>
          <w:highlight w:val="none"/>
        </w:rPr>
        <w:t>》（</w:t>
      </w:r>
      <w:r>
        <w:rPr>
          <w:rFonts w:hint="eastAsia"/>
          <w:highlight w:val="none"/>
          <w:lang w:val="en-US" w:eastAsia="zh-CN"/>
        </w:rPr>
        <w:t>国办函[2021]47号</w:t>
      </w:r>
      <w:r>
        <w:rPr>
          <w:rFonts w:hint="default"/>
          <w:highlight w:val="none"/>
        </w:rPr>
        <w:t>）符合性分析</w:t>
      </w:r>
      <w:bookmarkEnd w:id="70"/>
    </w:p>
    <w:p w14:paraId="1F265186">
      <w:pPr>
        <w:pStyle w:val="7"/>
        <w:bidi w:val="0"/>
        <w:rPr>
          <w:rFonts w:hint="default"/>
          <w:highlight w:val="none"/>
        </w:rPr>
      </w:pPr>
      <w:r>
        <w:rPr>
          <w:rFonts w:hint="default"/>
          <w:highlight w:val="none"/>
        </w:rPr>
        <w:t>表1-4-</w:t>
      </w:r>
      <w:r>
        <w:rPr>
          <w:rFonts w:hint="eastAsia"/>
          <w:highlight w:val="none"/>
          <w:lang w:val="en-US" w:eastAsia="zh-CN"/>
        </w:rPr>
        <w:t>5与</w:t>
      </w:r>
      <w:r>
        <w:rPr>
          <w:rFonts w:hint="default"/>
          <w:highlight w:val="none"/>
        </w:rPr>
        <w:t>《</w:t>
      </w:r>
      <w:r>
        <w:rPr>
          <w:rFonts w:hint="eastAsia"/>
          <w:highlight w:val="none"/>
        </w:rPr>
        <w:t>强化危险废物监管和利用处置能力改革实施方案</w:t>
      </w:r>
      <w:r>
        <w:rPr>
          <w:rFonts w:hint="default"/>
          <w:highlight w:val="none"/>
        </w:rPr>
        <w:t>》（</w:t>
      </w:r>
      <w:r>
        <w:rPr>
          <w:rFonts w:hint="eastAsia"/>
          <w:highlight w:val="none"/>
          <w:lang w:val="en-US" w:eastAsia="zh-CN"/>
        </w:rPr>
        <w:t>国办函[2021]47号</w:t>
      </w:r>
      <w:r>
        <w:rPr>
          <w:rFonts w:hint="default"/>
          <w:highlight w:val="none"/>
        </w:rPr>
        <w:t>）符合性分析</w:t>
      </w:r>
    </w:p>
    <w:tbl>
      <w:tblPr>
        <w:tblStyle w:val="75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158"/>
        <w:gridCol w:w="3286"/>
        <w:gridCol w:w="1078"/>
      </w:tblGrid>
      <w:tr w14:paraId="663281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39" w:type="pct"/>
            <w:vAlign w:val="center"/>
          </w:tcPr>
          <w:p w14:paraId="7F7E0FB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强化危险废物监管和利用处置能力改革实施方案</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国办函[2021]47号</w:t>
            </w:r>
            <w:r>
              <w:rPr>
                <w:rFonts w:hint="default" w:ascii="Times New Roman" w:hAnsi="Times New Roman" w:eastAsia="宋体" w:cs="Times New Roman"/>
                <w:highlight w:val="none"/>
                <w:lang w:val="en-US" w:eastAsia="zh-CN"/>
              </w:rPr>
              <w:t>）</w:t>
            </w:r>
          </w:p>
        </w:tc>
        <w:tc>
          <w:tcPr>
            <w:tcW w:w="1927" w:type="pct"/>
            <w:vAlign w:val="center"/>
          </w:tcPr>
          <w:p w14:paraId="271BD665">
            <w:pPr>
              <w:pStyle w:val="8"/>
              <w:suppressLineNumbers w:val="0"/>
              <w:bidi w:val="0"/>
              <w:spacing w:before="0" w:beforeAutospacing="0" w:after="0" w:afterAutospacing="0"/>
              <w:ind w:left="0" w:right="0"/>
              <w:rPr>
                <w:rFonts w:hint="default"/>
                <w:highlight w:val="none"/>
              </w:rPr>
            </w:pPr>
            <w:r>
              <w:rPr>
                <w:rFonts w:hint="default"/>
                <w:highlight w:val="none"/>
              </w:rPr>
              <w:t>本项目</w:t>
            </w:r>
          </w:p>
        </w:tc>
        <w:tc>
          <w:tcPr>
            <w:tcW w:w="632" w:type="pct"/>
            <w:vAlign w:val="center"/>
          </w:tcPr>
          <w:p w14:paraId="1946036E">
            <w:pPr>
              <w:pStyle w:val="8"/>
              <w:suppressLineNumbers w:val="0"/>
              <w:bidi w:val="0"/>
              <w:spacing w:before="0" w:beforeAutospacing="0" w:after="0" w:afterAutospacing="0"/>
              <w:ind w:left="0" w:right="0"/>
              <w:rPr>
                <w:rFonts w:hint="default"/>
                <w:highlight w:val="none"/>
              </w:rPr>
            </w:pPr>
            <w:r>
              <w:rPr>
                <w:rFonts w:hint="default"/>
                <w:highlight w:val="none"/>
              </w:rPr>
              <w:t>符合性</w:t>
            </w:r>
          </w:p>
        </w:tc>
      </w:tr>
      <w:tr w14:paraId="22C8C2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39" w:type="pct"/>
            <w:vAlign w:val="center"/>
          </w:tcPr>
          <w:p w14:paraId="7F3FD27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危险废物产生、收集、贮存、运输、利用、处置企业（以下统称危险废物相关企业）的主要负责人（法定代表人、实际控制人）是危险废物污染环境防治和安全生产第一责任人，严格落实危险废物污染环境防治和安全生产法律法规制度。危险废物相关企业依法及时公开危险废物污染环境防治信息，依法依规投保环境污染责任保险。</w:t>
            </w:r>
          </w:p>
        </w:tc>
        <w:tc>
          <w:tcPr>
            <w:tcW w:w="1927" w:type="pct"/>
            <w:vAlign w:val="center"/>
          </w:tcPr>
          <w:p w14:paraId="6F0D8B44">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本项目</w:t>
            </w:r>
            <w:r>
              <w:rPr>
                <w:rFonts w:hint="eastAsia" w:ascii="Times New Roman" w:hAnsi="Times New Roman" w:cs="Times New Roman"/>
                <w:snapToGrid w:val="0"/>
                <w:color w:val="auto"/>
                <w:sz w:val="21"/>
                <w:szCs w:val="21"/>
                <w:highlight w:val="none"/>
                <w:lang w:val="en-US" w:eastAsia="zh-CN"/>
              </w:rPr>
              <w:t>将严格落实危险废物污染环境防治和安全生产法律法规制度；及时公开危险废物污染环境防治信息，依法依规投保环境污染责任保险。</w:t>
            </w:r>
          </w:p>
        </w:tc>
        <w:tc>
          <w:tcPr>
            <w:tcW w:w="632" w:type="pct"/>
            <w:vAlign w:val="center"/>
          </w:tcPr>
          <w:p w14:paraId="040364E6">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359A7D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39" w:type="pct"/>
            <w:vAlign w:val="center"/>
          </w:tcPr>
          <w:p w14:paraId="012D5C5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新改扩建项目要依法开展环境影响评价，严格危险废物污染环境防治设施“三同时”管理。依法落实工业危险废物排污许可制度。推进危险废物规范化环境管理。</w:t>
            </w:r>
          </w:p>
        </w:tc>
        <w:tc>
          <w:tcPr>
            <w:tcW w:w="1927" w:type="pct"/>
            <w:vAlign w:val="center"/>
          </w:tcPr>
          <w:p w14:paraId="18FE0EB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rPr>
            </w:pPr>
            <w:r>
              <w:rPr>
                <w:rFonts w:hint="default" w:ascii="Times New Roman" w:hAnsi="Times New Roman" w:cs="Times New Roman"/>
                <w:snapToGrid w:val="0"/>
                <w:color w:val="auto"/>
                <w:sz w:val="21"/>
                <w:szCs w:val="21"/>
                <w:highlight w:val="none"/>
              </w:rPr>
              <w:t>本项目</w:t>
            </w:r>
            <w:r>
              <w:rPr>
                <w:rFonts w:hint="eastAsia" w:ascii="Times New Roman" w:hAnsi="Times New Roman" w:cs="Times New Roman"/>
                <w:snapToGrid w:val="0"/>
                <w:color w:val="auto"/>
                <w:sz w:val="21"/>
                <w:szCs w:val="21"/>
                <w:highlight w:val="none"/>
                <w:lang w:val="en-US" w:eastAsia="zh-CN"/>
              </w:rPr>
              <w:t>正在依法开展环境影响评价，本次评价已制定“三同时”计划，将严格按其执行；本项目建成后将依法申领排污许可。</w:t>
            </w:r>
          </w:p>
        </w:tc>
        <w:tc>
          <w:tcPr>
            <w:tcW w:w="632" w:type="pct"/>
            <w:vAlign w:val="center"/>
          </w:tcPr>
          <w:p w14:paraId="7380F31C">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381BE6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39" w:type="pct"/>
            <w:vAlign w:val="center"/>
          </w:tcPr>
          <w:p w14:paraId="6D7C10D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支持研发、推广减少工业危险废物产生量和降低工业危险废物危害性的生产工艺和设备，促进从源头上减少危险废物产生量、降低危害性。</w:t>
            </w:r>
          </w:p>
        </w:tc>
        <w:tc>
          <w:tcPr>
            <w:tcW w:w="1927" w:type="pct"/>
            <w:vAlign w:val="center"/>
          </w:tcPr>
          <w:p w14:paraId="65CF47E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本项目</w:t>
            </w:r>
            <w:r>
              <w:rPr>
                <w:rFonts w:hint="eastAsia" w:ascii="Times New Roman" w:hAnsi="Times New Roman" w:cs="Times New Roman"/>
                <w:snapToGrid w:val="0"/>
                <w:color w:val="auto"/>
                <w:sz w:val="21"/>
                <w:szCs w:val="21"/>
                <w:highlight w:val="none"/>
                <w:lang w:val="en-US" w:eastAsia="zh-CN"/>
              </w:rPr>
              <w:t>为危险废物综合利用项目，属于从源头上减少危险废物产生量、降低危害性。</w:t>
            </w:r>
          </w:p>
        </w:tc>
        <w:tc>
          <w:tcPr>
            <w:tcW w:w="632" w:type="pct"/>
            <w:vAlign w:val="center"/>
          </w:tcPr>
          <w:p w14:paraId="252F13DA">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r w14:paraId="6C8E48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39" w:type="pct"/>
            <w:vAlign w:val="center"/>
          </w:tcPr>
          <w:p w14:paraId="06C6E60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建立健全固体废物综合利用标准体系，使用固体废物综合利用产物应当符合国家规定的用途和标准。</w:t>
            </w:r>
          </w:p>
        </w:tc>
        <w:tc>
          <w:tcPr>
            <w:tcW w:w="1927" w:type="pct"/>
            <w:vAlign w:val="center"/>
          </w:tcPr>
          <w:p w14:paraId="6BE089A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满足《国家危险废物名录（2025版）》附录《危险废物豁免管理清单》中</w:t>
            </w:r>
            <w:r>
              <w:rPr>
                <w:rFonts w:hint="eastAsia" w:ascii="Times New Roman" w:hAnsi="Times New Roman" w:cs="Times New Roman"/>
                <w:snapToGrid w:val="0"/>
                <w:color w:val="auto"/>
                <w:sz w:val="21"/>
                <w:szCs w:val="21"/>
                <w:highlight w:val="none"/>
                <w:lang w:val="en-US" w:eastAsia="zh-CN"/>
              </w:rPr>
              <w:t>“</w:t>
            </w:r>
            <w:r>
              <w:rPr>
                <w:rFonts w:hint="default" w:ascii="Times New Roman" w:hAnsi="Times New Roman" w:cs="Times New Roman"/>
                <w:snapToGrid w:val="0"/>
                <w:color w:val="auto"/>
                <w:sz w:val="21"/>
                <w:szCs w:val="21"/>
                <w:highlight w:val="none"/>
                <w:lang w:val="en-US" w:eastAsia="zh-CN"/>
              </w:rPr>
              <w:t>压榨、压滤、过滤除油达到静置无滴漏后打包压块用于金属冶炼。</w:t>
            </w:r>
            <w:r>
              <w:rPr>
                <w:rFonts w:hint="eastAsia" w:ascii="Times New Roman" w:hAnsi="Times New Roman" w:cs="Times New Roman"/>
                <w:snapToGrid w:val="0"/>
                <w:color w:val="auto"/>
                <w:sz w:val="21"/>
                <w:szCs w:val="21"/>
                <w:highlight w:val="none"/>
                <w:lang w:val="en-US" w:eastAsia="zh-CN"/>
              </w:rPr>
              <w:t>”</w:t>
            </w:r>
            <w:r>
              <w:rPr>
                <w:rFonts w:hint="default" w:ascii="Times New Roman" w:hAnsi="Times New Roman" w:cs="Times New Roman"/>
                <w:snapToGrid w:val="0"/>
                <w:color w:val="auto"/>
                <w:sz w:val="21"/>
                <w:szCs w:val="21"/>
                <w:highlight w:val="none"/>
                <w:lang w:val="en-US" w:eastAsia="zh-CN"/>
              </w:rPr>
              <w:t>要求</w:t>
            </w:r>
          </w:p>
        </w:tc>
        <w:tc>
          <w:tcPr>
            <w:tcW w:w="632" w:type="pct"/>
            <w:vAlign w:val="center"/>
          </w:tcPr>
          <w:p w14:paraId="0784C143">
            <w:pPr>
              <w:pStyle w:val="8"/>
              <w:suppressLineNumbers w:val="0"/>
              <w:bidi w:val="0"/>
              <w:spacing w:before="0" w:beforeAutospacing="0" w:after="0" w:afterAutospacing="0"/>
              <w:ind w:left="0" w:right="0"/>
              <w:rPr>
                <w:rFonts w:hint="default"/>
                <w:highlight w:val="none"/>
              </w:rPr>
            </w:pPr>
            <w:r>
              <w:rPr>
                <w:rFonts w:hint="default"/>
                <w:highlight w:val="none"/>
              </w:rPr>
              <w:t>符合</w:t>
            </w:r>
          </w:p>
        </w:tc>
      </w:tr>
    </w:tbl>
    <w:p w14:paraId="2F1210BC">
      <w:pPr>
        <w:pStyle w:val="5"/>
        <w:bidi w:val="0"/>
      </w:pPr>
      <w:bookmarkStart w:id="72" w:name="_Toc1541"/>
      <w:r>
        <w:t>1.4.</w:t>
      </w:r>
      <w:r>
        <w:rPr>
          <w:rFonts w:hint="eastAsia"/>
          <w:lang w:val="en-US" w:eastAsia="zh-CN"/>
        </w:rPr>
        <w:t>10</w:t>
      </w:r>
      <w:r>
        <w:t>与</w:t>
      </w:r>
      <w:r>
        <w:rPr>
          <w:rFonts w:hint="eastAsia"/>
          <w:lang w:val="en-US" w:eastAsia="zh-CN"/>
        </w:rPr>
        <w:t>《废电池污染防治技术政策》（公告</w:t>
      </w:r>
      <w:r>
        <w:rPr>
          <w:rFonts w:hint="default"/>
          <w:lang w:val="en-US" w:eastAsia="zh-CN"/>
        </w:rPr>
        <w:t>2016</w:t>
      </w:r>
      <w:r>
        <w:rPr>
          <w:rFonts w:hint="eastAsia"/>
          <w:lang w:val="en-US" w:eastAsia="zh-CN"/>
        </w:rPr>
        <w:t>年第</w:t>
      </w:r>
      <w:r>
        <w:rPr>
          <w:rFonts w:hint="default"/>
          <w:lang w:val="en-US" w:eastAsia="zh-CN"/>
        </w:rPr>
        <w:t>82</w:t>
      </w:r>
      <w:r>
        <w:rPr>
          <w:rFonts w:hint="eastAsia"/>
          <w:lang w:val="en-US" w:eastAsia="zh-CN"/>
        </w:rPr>
        <w:t>号）</w:t>
      </w:r>
      <w:r>
        <w:t>符合性分析</w:t>
      </w:r>
    </w:p>
    <w:p w14:paraId="76E3FAE1">
      <w:pPr>
        <w:pStyle w:val="7"/>
        <w:bidi w:val="0"/>
      </w:pPr>
      <w:r>
        <w:t>表1-4-</w:t>
      </w:r>
      <w:r>
        <w:rPr>
          <w:rFonts w:hint="eastAsia"/>
          <w:lang w:val="en-US" w:eastAsia="zh-CN"/>
        </w:rPr>
        <w:t xml:space="preserve">6  </w:t>
      </w:r>
      <w:r>
        <w:t>《</w:t>
      </w:r>
      <w:r>
        <w:rPr>
          <w:rFonts w:hint="eastAsia"/>
          <w:lang w:val="en-US" w:eastAsia="zh-CN"/>
        </w:rPr>
        <w:t>废电池污染防治技术政策</w:t>
      </w:r>
      <w:r>
        <w:t>》相符性分析</w:t>
      </w:r>
    </w:p>
    <w:tbl>
      <w:tblPr>
        <w:tblStyle w:val="44"/>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08"/>
        <w:gridCol w:w="3636"/>
        <w:gridCol w:w="3896"/>
        <w:gridCol w:w="482"/>
      </w:tblGrid>
      <w:tr w14:paraId="657FD7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46B172C9">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序号</w:t>
            </w:r>
          </w:p>
        </w:tc>
        <w:tc>
          <w:tcPr>
            <w:tcW w:w="3636" w:type="dxa"/>
            <w:tcBorders>
              <w:tl2br w:val="nil"/>
              <w:tr2bl w:val="nil"/>
            </w:tcBorders>
            <w:noWrap w:val="0"/>
            <w:vAlign w:val="center"/>
          </w:tcPr>
          <w:p w14:paraId="1A814A73">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eastAsia" w:eastAsia="宋体"/>
                <w:highlight w:val="none"/>
                <w:lang w:eastAsia="zh-CN"/>
              </w:rPr>
            </w:pPr>
            <w:r>
              <w:rPr>
                <w:rFonts w:hint="eastAsia"/>
                <w:highlight w:val="none"/>
                <w:lang w:eastAsia="zh-CN"/>
              </w:rPr>
              <w:t>文件要求</w:t>
            </w:r>
          </w:p>
        </w:tc>
        <w:tc>
          <w:tcPr>
            <w:tcW w:w="3896" w:type="dxa"/>
            <w:tcBorders>
              <w:tl2br w:val="nil"/>
              <w:tr2bl w:val="nil"/>
            </w:tcBorders>
            <w:noWrap w:val="0"/>
            <w:vAlign w:val="center"/>
          </w:tcPr>
          <w:p w14:paraId="6B7761B7">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本项目情况</w:t>
            </w:r>
          </w:p>
        </w:tc>
        <w:tc>
          <w:tcPr>
            <w:tcW w:w="482" w:type="dxa"/>
            <w:tcBorders>
              <w:tl2br w:val="nil"/>
              <w:tr2bl w:val="nil"/>
            </w:tcBorders>
            <w:noWrap w:val="0"/>
            <w:vAlign w:val="center"/>
          </w:tcPr>
          <w:p w14:paraId="5D81B9B5">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相符性</w:t>
            </w:r>
          </w:p>
        </w:tc>
      </w:tr>
      <w:tr w14:paraId="51165F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3E3B5FA2">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eastAsia"/>
                <w:highlight w:val="none"/>
                <w:lang w:eastAsia="zh-CN"/>
              </w:rPr>
            </w:pPr>
            <w:r>
              <w:rPr>
                <w:rFonts w:hint="eastAsia"/>
                <w:highlight w:val="none"/>
                <w:lang w:eastAsia="zh-CN"/>
              </w:rPr>
              <w:t>收集</w:t>
            </w:r>
          </w:p>
        </w:tc>
        <w:tc>
          <w:tcPr>
            <w:tcW w:w="3636" w:type="dxa"/>
            <w:tcBorders>
              <w:tl2br w:val="nil"/>
              <w:tr2bl w:val="nil"/>
            </w:tcBorders>
            <w:noWrap w:val="0"/>
            <w:vAlign w:val="center"/>
          </w:tcPr>
          <w:p w14:paraId="0A87B45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val="en-US" w:eastAsia="zh-CN"/>
              </w:rPr>
              <w:t xml:space="preserve">（一）在具备资源化利用条件的地区，鼓励分类收集废原电池。 </w:t>
            </w:r>
          </w:p>
          <w:p w14:paraId="1799DFD6">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val="en-US" w:eastAsia="zh-CN"/>
              </w:rPr>
              <w:t xml:space="preserve">（二）鼓励电池生产企业、废电池收集企业及利用企业等建设 </w:t>
            </w:r>
          </w:p>
          <w:p w14:paraId="5F9FB0D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val="en-US" w:eastAsia="zh-CN"/>
              </w:rPr>
              <w:t xml:space="preserve">废电池收集体系。鼓励电池生产企业履行生产者延伸责任。 </w:t>
            </w:r>
          </w:p>
          <w:p w14:paraId="2CE60B13">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val="en-US" w:eastAsia="zh-CN"/>
              </w:rPr>
              <w:t>（三）鼓励废电池收集企业应用</w:t>
            </w:r>
            <w:r>
              <w:rPr>
                <w:rFonts w:hint="default" w:ascii="Times New Roman" w:hAnsi="Times New Roman" w:cs="Times New Roman"/>
                <w:snapToGrid w:val="0"/>
                <w:color w:val="auto"/>
                <w:sz w:val="21"/>
                <w:szCs w:val="21"/>
                <w:highlight w:val="none"/>
                <w:lang w:val="en-US" w:eastAsia="zh-CN"/>
              </w:rPr>
              <w:t>“</w:t>
            </w:r>
            <w:r>
              <w:rPr>
                <w:rFonts w:hint="eastAsia" w:ascii="Times New Roman" w:hAnsi="Times New Roman" w:cs="Times New Roman"/>
                <w:snapToGrid w:val="0"/>
                <w:color w:val="auto"/>
                <w:sz w:val="21"/>
                <w:szCs w:val="21"/>
                <w:highlight w:val="none"/>
                <w:lang w:val="en-US" w:eastAsia="zh-CN"/>
              </w:rPr>
              <w:t>物联网</w:t>
            </w:r>
            <w:r>
              <w:rPr>
                <w:rFonts w:hint="default" w:ascii="Times New Roman" w:hAnsi="Times New Roman" w:cs="Times New Roman"/>
                <w:snapToGrid w:val="0"/>
                <w:color w:val="auto"/>
                <w:sz w:val="21"/>
                <w:szCs w:val="21"/>
                <w:highlight w:val="none"/>
                <w:lang w:val="en-US" w:eastAsia="zh-CN"/>
              </w:rPr>
              <w:t xml:space="preserve">+” </w:t>
            </w:r>
            <w:r>
              <w:rPr>
                <w:rFonts w:hint="eastAsia" w:ascii="Times New Roman" w:hAnsi="Times New Roman" w:cs="Times New Roman"/>
                <w:snapToGrid w:val="0"/>
                <w:color w:val="auto"/>
                <w:sz w:val="21"/>
                <w:szCs w:val="21"/>
                <w:highlight w:val="none"/>
                <w:lang w:val="en-US" w:eastAsia="zh-CN"/>
              </w:rPr>
              <w:t xml:space="preserve">等信息化技术建立 废电池收集体系，并通过信息公开等手段促进废电池的高效回收。 </w:t>
            </w:r>
          </w:p>
          <w:p w14:paraId="721CE8C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val="en-US" w:eastAsia="zh-CN"/>
              </w:rPr>
              <w:t xml:space="preserve">（四）废电池收集企业应设立具有显著标识的废电池分类收集 </w:t>
            </w:r>
          </w:p>
          <w:p w14:paraId="04E58B4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val="en-US" w:eastAsia="zh-CN"/>
              </w:rPr>
              <w:t xml:space="preserve">设施。鼓励消费者将废电池送到相应的废电池收集网点装置中。 </w:t>
            </w:r>
          </w:p>
          <w:p w14:paraId="1092F153">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val="en-US" w:eastAsia="zh-CN"/>
              </w:rPr>
              <w:t>（五）收集过程中应保持废电池的结构和外形完整，严禁私自破损废电池，已破损的废电池应单独存放。</w:t>
            </w:r>
          </w:p>
        </w:tc>
        <w:tc>
          <w:tcPr>
            <w:tcW w:w="3896" w:type="dxa"/>
            <w:tcBorders>
              <w:tl2br w:val="nil"/>
              <w:tr2bl w:val="nil"/>
            </w:tcBorders>
            <w:noWrap w:val="0"/>
            <w:vAlign w:val="center"/>
          </w:tcPr>
          <w:p w14:paraId="49E4202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 xml:space="preserve">收集、装车：项目主要收集汽车修理厂等产生的新能源汽车的锂电池。收集过程中，先检查废旧锂电池的外观，并在电池上张贴标签，注明来源、规格等信息，将完好的锂电池进行收集，破损的锂电池不进行收集。收集的锂电池委托有资质的运输单位采用专用运输车运输。 </w:t>
            </w:r>
          </w:p>
          <w:p w14:paraId="13EA59F1">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卸货：运输至厂区后，车辆进入装卸区，用叉车卸货，同时人工进行称重、登记，装入专用包装材料内然后由叉车运至储存区暂存。</w:t>
            </w:r>
          </w:p>
        </w:tc>
        <w:tc>
          <w:tcPr>
            <w:tcW w:w="482" w:type="dxa"/>
            <w:tcBorders>
              <w:tl2br w:val="nil"/>
              <w:tr2bl w:val="nil"/>
            </w:tcBorders>
            <w:noWrap w:val="0"/>
            <w:vAlign w:val="center"/>
          </w:tcPr>
          <w:p w14:paraId="0FA4998F">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符合</w:t>
            </w:r>
          </w:p>
        </w:tc>
      </w:tr>
      <w:tr w14:paraId="179971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7E70A898">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eastAsia" w:eastAsia="宋体"/>
                <w:highlight w:val="none"/>
                <w:lang w:eastAsia="zh-CN"/>
              </w:rPr>
            </w:pPr>
            <w:r>
              <w:rPr>
                <w:rFonts w:hint="eastAsia"/>
                <w:highlight w:val="none"/>
                <w:lang w:eastAsia="zh-CN"/>
              </w:rPr>
              <w:t>运输</w:t>
            </w:r>
          </w:p>
        </w:tc>
        <w:tc>
          <w:tcPr>
            <w:tcW w:w="3636" w:type="dxa"/>
            <w:tcBorders>
              <w:tl2br w:val="nil"/>
              <w:tr2bl w:val="nil"/>
            </w:tcBorders>
            <w:noWrap w:val="0"/>
            <w:vAlign w:val="center"/>
          </w:tcPr>
          <w:p w14:paraId="01FA9D21">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 xml:space="preserve">（一）废电池应采取有效的包装措施，防止运输过程中有毒有害物质泄漏造成污染。 </w:t>
            </w:r>
          </w:p>
          <w:p w14:paraId="46E359E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 xml:space="preserve">（二）废锂离子电池运输前应采取预放电、独立包装等措施，防止因撞击或短路发生爆炸等引起的环境 风险。 </w:t>
            </w:r>
          </w:p>
          <w:p w14:paraId="78DE7E0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（三）禁止在运输过程中擅自倾倒和丢弃废电池。</w:t>
            </w:r>
          </w:p>
          <w:p w14:paraId="4681C51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p>
        </w:tc>
        <w:tc>
          <w:tcPr>
            <w:tcW w:w="3896" w:type="dxa"/>
            <w:tcBorders>
              <w:tl2br w:val="nil"/>
              <w:tr2bl w:val="nil"/>
            </w:tcBorders>
            <w:noWrap w:val="0"/>
            <w:vAlign w:val="center"/>
          </w:tcPr>
          <w:p w14:paraId="50D31C9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外运：厂内转移至下游接收单位的运输过程委托具有专业危险品运输营运资质的车辆完成。项目贮存区存量满足运输公司发货车辆额定载重后，立即装车转运，并做好登记工作。装车时用叉车直接连同包装一并装车，降低搬运过程中使电池受损的可能</w:t>
            </w:r>
          </w:p>
          <w:p w14:paraId="5CE21FB4">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p>
          <w:p w14:paraId="3C80C62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p>
        </w:tc>
        <w:tc>
          <w:tcPr>
            <w:tcW w:w="482" w:type="dxa"/>
            <w:tcBorders>
              <w:tl2br w:val="nil"/>
              <w:tr2bl w:val="nil"/>
            </w:tcBorders>
            <w:noWrap w:val="0"/>
            <w:vAlign w:val="center"/>
          </w:tcPr>
          <w:p w14:paraId="461EEBA2">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符合</w:t>
            </w:r>
          </w:p>
        </w:tc>
      </w:tr>
      <w:tr w14:paraId="0EE221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8" w:type="dxa"/>
            <w:tcBorders>
              <w:tl2br w:val="nil"/>
              <w:tr2bl w:val="nil"/>
            </w:tcBorders>
            <w:noWrap w:val="0"/>
            <w:vAlign w:val="center"/>
          </w:tcPr>
          <w:p w14:paraId="41E33C21">
            <w:pPr>
              <w:keepNext w:val="0"/>
              <w:keepLines w:val="0"/>
              <w:widowControl/>
              <w:suppressLineNumbers w:val="0"/>
              <w:spacing w:before="0" w:beforeAutospacing="0" w:after="0" w:afterAutospacing="0"/>
              <w:ind w:left="0" w:right="0"/>
              <w:jc w:val="left"/>
              <w:rPr>
                <w:rFonts w:hint="default"/>
              </w:rPr>
            </w:pPr>
            <w:r>
              <w:rPr>
                <w:rFonts w:hint="eastAsia" w:ascii="宋体" w:hAnsi="宋体" w:eastAsia="宋体" w:cs="宋体"/>
                <w:color w:val="000000"/>
                <w:kern w:val="0"/>
                <w:sz w:val="20"/>
                <w:szCs w:val="20"/>
                <w:lang w:val="en-US" w:eastAsia="zh-CN" w:bidi="ar"/>
              </w:rPr>
              <w:t>贮存</w:t>
            </w:r>
          </w:p>
          <w:p w14:paraId="10F8C885">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3636" w:type="dxa"/>
            <w:tcBorders>
              <w:tl2br w:val="nil"/>
              <w:tr2bl w:val="nil"/>
            </w:tcBorders>
            <w:noWrap w:val="0"/>
            <w:vAlign w:val="center"/>
          </w:tcPr>
          <w:p w14:paraId="4B3E3BF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 xml:space="preserve">（一）废电池应分类贮存，禁止露天堆放。 破损的废电池应单独贮存。贮存场所应定期清理、清运。 </w:t>
            </w:r>
          </w:p>
          <w:p w14:paraId="55E85A4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 xml:space="preserve">（二）废铅蓄电池的贮存场所应防止电解液泄漏。废铅蓄电池的贮存应避免遭受雨淋水浸。 </w:t>
            </w:r>
          </w:p>
          <w:p w14:paraId="4467F28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（三）废锂离子电池贮存前应进行安全性检测，避光贮存，应控制贮存场所的环境温度，避免因高温自燃等引起的环境风险。</w:t>
            </w:r>
          </w:p>
        </w:tc>
        <w:tc>
          <w:tcPr>
            <w:tcW w:w="3896" w:type="dxa"/>
            <w:tcBorders>
              <w:tl2br w:val="nil"/>
              <w:tr2bl w:val="nil"/>
            </w:tcBorders>
            <w:noWrap w:val="0"/>
            <w:vAlign w:val="center"/>
          </w:tcPr>
          <w:p w14:paraId="658BA8D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仅收集贮存完好的锂电池，不收集破损的锂电池。运输或贮存过程中出现破损则会泄漏出电解液，废电解液属于危险废物。破损的废旧电池以及因废旧电池破损而渗漏的电解液需贮存在专用具盖密封耐酸容器中，暂存于危废贮存库，委托有资质单位进行处置</w:t>
            </w:r>
          </w:p>
        </w:tc>
        <w:tc>
          <w:tcPr>
            <w:tcW w:w="482" w:type="dxa"/>
            <w:tcBorders>
              <w:tl2br w:val="nil"/>
              <w:tr2bl w:val="nil"/>
            </w:tcBorders>
            <w:noWrap w:val="0"/>
            <w:vAlign w:val="center"/>
          </w:tcPr>
          <w:p w14:paraId="7E6ADEE2">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符合</w:t>
            </w:r>
          </w:p>
        </w:tc>
      </w:tr>
    </w:tbl>
    <w:p w14:paraId="01E3D6E0">
      <w:pPr>
        <w:pStyle w:val="5"/>
        <w:bidi w:val="0"/>
        <w:rPr>
          <w:highlight w:val="none"/>
        </w:rPr>
      </w:pPr>
      <w:r>
        <w:rPr>
          <w:highlight w:val="none"/>
        </w:rPr>
        <w:t>1.4.</w:t>
      </w:r>
      <w:r>
        <w:rPr>
          <w:rFonts w:hint="eastAsia"/>
          <w:highlight w:val="none"/>
          <w:lang w:val="en-US" w:eastAsia="zh-CN"/>
        </w:rPr>
        <w:t>11</w:t>
      </w:r>
      <w:r>
        <w:rPr>
          <w:highlight w:val="none"/>
        </w:rPr>
        <w:t>与</w:t>
      </w:r>
      <w:r>
        <w:rPr>
          <w:rFonts w:hint="eastAsia"/>
          <w:highlight w:val="none"/>
        </w:rPr>
        <w:t>《黑龙江省主体功能区划》</w:t>
      </w:r>
      <w:r>
        <w:rPr>
          <w:highlight w:val="none"/>
        </w:rPr>
        <w:t>符合性分析</w:t>
      </w:r>
    </w:p>
    <w:p w14:paraId="2ECBDF6C">
      <w:pPr>
        <w:bidi w:val="0"/>
        <w:rPr>
          <w:rFonts w:hint="eastAsia"/>
          <w:highlight w:val="none"/>
        </w:rPr>
      </w:pPr>
      <w:r>
        <w:rPr>
          <w:rFonts w:hint="eastAsia"/>
          <w:highlight w:val="none"/>
        </w:rPr>
        <w:t>重点开发区域是指具有一定经济基础、资源环境承载能力较强、集聚经济和人口条件较好、发展潜力较大的区域，可以成为支撑全省经济社会又好又快、更好更快发展的主要增长极。</w:t>
      </w:r>
    </w:p>
    <w:p w14:paraId="6B042CF1">
      <w:pPr>
        <w:bidi w:val="0"/>
        <w:rPr>
          <w:rFonts w:hint="eastAsia"/>
          <w:highlight w:val="none"/>
        </w:rPr>
      </w:pPr>
      <w:r>
        <w:rPr>
          <w:rFonts w:hint="eastAsia"/>
          <w:highlight w:val="none"/>
        </w:rPr>
        <w:t>黑龙江省区域内主体功能区分为国家级和省级重点开发区域、限制开发区域和禁止开发区域二级三类区域。重点开发区域是全省工业化和城市化的重要支撑区，限制开发区域的农产品主产区是国家粮食安全的重要保障区，限制开发区域的重点生态功能区和禁止开发区域是国家和全省生态安全的重要保障区。</w:t>
      </w:r>
    </w:p>
    <w:p w14:paraId="20DCAC37">
      <w:pPr>
        <w:bidi w:val="0"/>
        <w:rPr>
          <w:rFonts w:hint="eastAsia"/>
          <w:highlight w:val="none"/>
        </w:rPr>
      </w:pPr>
      <w:r>
        <w:rPr>
          <w:rFonts w:hint="eastAsia"/>
          <w:highlight w:val="none"/>
        </w:rPr>
        <w:t>其中，国家级重点开发区域包括哈尔滨市辖区，该辖区包括南岗区、道里区、道外区、香坊区、平房区、松北区、呼兰区和阿城区。</w:t>
      </w:r>
    </w:p>
    <w:p w14:paraId="5E73BB99">
      <w:pPr>
        <w:bidi w:val="0"/>
        <w:rPr>
          <w:rFonts w:hint="eastAsia"/>
          <w:highlight w:val="none"/>
        </w:rPr>
      </w:pPr>
      <w:r>
        <w:rPr>
          <w:rFonts w:hint="eastAsia"/>
          <w:highlight w:val="none"/>
        </w:rPr>
        <w:t>功能定位为：全省政治、经济、文化中心，全国重要的高端装备制造、医药、食品、化工产业基地，东北北部服务业中心和示范基地，东北地区重要的国际物流枢纽，国际冰雪文化名城，对俄经贸科技合作基地。</w:t>
      </w:r>
    </w:p>
    <w:p w14:paraId="2D24C61C">
      <w:pPr>
        <w:bidi w:val="0"/>
        <w:rPr>
          <w:rFonts w:hint="eastAsia"/>
          <w:highlight w:val="none"/>
        </w:rPr>
      </w:pPr>
      <w:r>
        <w:rPr>
          <w:rFonts w:hint="eastAsia"/>
          <w:highlight w:val="none"/>
        </w:rPr>
        <w:t>产业发展方向及布局：大力发展新材料、新能源、节能环保、生物、信息、高端装备制造产业，做大做强电站成套装备、交通运输装备、绿色食品加工、精密复杂量刃具、医药、化工等传统优势产业，大力发展服务外包、特色旅游、商贸、物流、教育、科技研发、金融、文化创意等现代服务业，重点发展生态绿色农业、观光休闲农业、高科技现代农业。按照集约化组团布局，专业化集群发展，建设科技新城和北国水城，打造集科技、文化、生态于一体的松北新区；整合平房工业开发区，建设生态花园式工业新城，重点发展哈南工业新城；加快中心城区提档升级，改造老城区，建设哈西、群力、哈东新区；整合周边县市，加快中等卫星城市和重点小城镇建设，统筹城乡发展，加快推进城乡一体化，打造哈尔滨大都市圈。</w:t>
      </w:r>
    </w:p>
    <w:p w14:paraId="1B742293">
      <w:pPr>
        <w:bidi w:val="0"/>
        <w:rPr>
          <w:highlight w:val="none"/>
        </w:rPr>
      </w:pPr>
      <w:r>
        <w:rPr>
          <w:rFonts w:hint="eastAsia"/>
          <w:highlight w:val="none"/>
        </w:rPr>
        <w:t>本项目位于黑龙江省哈尔滨市香坊区黎明乡幸福村哈阿公路零公里处哈尔滨透平设备总厂院内，为</w:t>
      </w:r>
      <w:r>
        <w:rPr>
          <w:rFonts w:hint="eastAsia"/>
          <w:highlight w:val="none"/>
          <w:lang w:val="en-US" w:eastAsia="zh-CN"/>
        </w:rPr>
        <w:t>含油金属屑处理及锂电池回收储存项目</w:t>
      </w:r>
      <w:r>
        <w:rPr>
          <w:rFonts w:hint="eastAsia"/>
          <w:highlight w:val="none"/>
        </w:rPr>
        <w:t>，有助于</w:t>
      </w:r>
      <w:r>
        <w:rPr>
          <w:rFonts w:hint="eastAsia"/>
          <w:highlight w:val="none"/>
          <w:lang w:val="en-US" w:eastAsia="zh-CN"/>
        </w:rPr>
        <w:t>香坊区产生的</w:t>
      </w:r>
      <w:r>
        <w:rPr>
          <w:rFonts w:hint="eastAsia"/>
          <w:highlight w:val="none"/>
        </w:rPr>
        <w:t>危险废物减量化、无害化、资源化；危险废物收集、运输、综合利用达到文明、科学、先进的水平。</w:t>
      </w:r>
      <w:r>
        <w:rPr>
          <w:rFonts w:hint="eastAsia"/>
          <w:highlight w:val="none"/>
          <w:lang w:val="en-US" w:eastAsia="zh-CN"/>
        </w:rPr>
        <w:t>属于国家级重点开发区辅助项目</w:t>
      </w:r>
      <w:r>
        <w:rPr>
          <w:rFonts w:hint="eastAsia"/>
          <w:highlight w:val="none"/>
        </w:rPr>
        <w:t>，符合《黑龙江主体功能区规划》要求</w:t>
      </w:r>
      <w:r>
        <w:rPr>
          <w:highlight w:val="none"/>
        </w:rPr>
        <w:t>。</w:t>
      </w:r>
    </w:p>
    <w:p w14:paraId="0ECA955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highlight w:val="none"/>
        </w:rPr>
      </w:pPr>
      <w:r>
        <w:rPr>
          <w:rFonts w:hint="eastAsia" w:ascii="宋体" w:hAnsi="宋体" w:eastAsia="宋体" w:cs="宋体"/>
          <w:highlight w:val="none"/>
        </w:rPr>
        <mc:AlternateContent>
          <mc:Choice Requires="wpg">
            <w:drawing>
              <wp:inline distT="0" distB="0" distL="114300" distR="114300">
                <wp:extent cx="5246370" cy="3689350"/>
                <wp:effectExtent l="0" t="0" r="67310" b="62230"/>
                <wp:docPr id="33" name="组合 34"/>
                <wp:cNvGraphicFramePr/>
                <a:graphic xmlns:a="http://schemas.openxmlformats.org/drawingml/2006/main">
                  <a:graphicData uri="http://schemas.microsoft.com/office/word/2010/wordprocessingGroup">
                    <wpg:wgp>
                      <wpg:cNvGrpSpPr/>
                      <wpg:grpSpPr>
                        <a:xfrm>
                          <a:off x="0" y="0"/>
                          <a:ext cx="5246370" cy="3689350"/>
                          <a:chOff x="3624" y="203"/>
                          <a:chExt cx="10070" cy="7622"/>
                        </a:xfrm>
                      </wpg:grpSpPr>
                      <pic:pic xmlns:pic="http://schemas.openxmlformats.org/drawingml/2006/picture">
                        <pic:nvPicPr>
                          <pic:cNvPr id="24" name="图片 407" descr="21主体功能区分布图"/>
                          <pic:cNvPicPr>
                            <a:picLocks noChangeAspect="1"/>
                          </pic:cNvPicPr>
                        </pic:nvPicPr>
                        <pic:blipFill>
                          <a:blip r:embed="rId23"/>
                          <a:stretch>
                            <a:fillRect/>
                          </a:stretch>
                        </pic:blipFill>
                        <pic:spPr>
                          <a:xfrm>
                            <a:off x="3624" y="203"/>
                            <a:ext cx="10070" cy="7622"/>
                          </a:xfrm>
                          <a:prstGeom prst="rect">
                            <a:avLst/>
                          </a:prstGeom>
                          <a:noFill/>
                          <a:ln w="9525" cap="flat" cmpd="sng">
                            <a:solidFill>
                              <a:srgbClr val="000000"/>
                            </a:solidFill>
                            <a:prstDash val="solid"/>
                            <a:miter/>
                            <a:headEnd type="none" w="med" len="med"/>
                            <a:tailEnd type="none" w="med" len="med"/>
                          </a:ln>
                        </pic:spPr>
                      </pic:pic>
                      <wps:wsp>
                        <wps:cNvPr id="41" name="矩形 28"/>
                        <wps:cNvSpPr/>
                        <wps:spPr>
                          <a:xfrm>
                            <a:off x="7968" y="5897"/>
                            <a:ext cx="85" cy="84"/>
                          </a:xfrm>
                          <a:prstGeom prst="rect">
                            <a:avLst/>
                          </a:prstGeom>
                          <a:solidFill>
                            <a:srgbClr val="FF0000"/>
                          </a:solidFill>
                          <a:ln w="9525" cap="flat" cmpd="sng">
                            <a:solidFill>
                              <a:srgbClr val="000000"/>
                            </a:solidFill>
                            <a:prstDash val="solid"/>
                            <a:miter/>
                            <a:headEnd type="none" w="med" len="med"/>
                            <a:tailEnd type="none" w="med" len="med"/>
                          </a:ln>
                        </wps:spPr>
                        <wps:bodyPr upright="1"/>
                      </wps:wsp>
                      <wps:wsp>
                        <wps:cNvPr id="47" name="任意多边形 30"/>
                        <wps:cNvSpPr/>
                        <wps:spPr>
                          <a:xfrm>
                            <a:off x="6179" y="5254"/>
                            <a:ext cx="1758" cy="651"/>
                          </a:xfrm>
                          <a:custGeom>
                            <a:avLst/>
                            <a:gdLst/>
                            <a:ahLst/>
                            <a:cxnLst/>
                            <a:pathLst>
                              <a:path w="1758" h="651">
                                <a:moveTo>
                                  <a:pt x="1245" y="0"/>
                                </a:moveTo>
                                <a:lnTo>
                                  <a:pt x="0" y="0"/>
                                </a:lnTo>
                                <a:lnTo>
                                  <a:pt x="0" y="405"/>
                                </a:lnTo>
                                <a:lnTo>
                                  <a:pt x="726" y="405"/>
                                </a:lnTo>
                                <a:lnTo>
                                  <a:pt x="1758" y="651"/>
                                </a:lnTo>
                                <a:lnTo>
                                  <a:pt x="1038" y="405"/>
                                </a:lnTo>
                                <a:lnTo>
                                  <a:pt x="1245" y="405"/>
                                </a:lnTo>
                                <a:lnTo>
                                  <a:pt x="1245" y="0"/>
                                </a:lnTo>
                                <a:close/>
                              </a:path>
                            </a:pathLst>
                          </a:custGeom>
                          <a:solidFill>
                            <a:srgbClr val="FFFFFF"/>
                          </a:solidFill>
                          <a:ln w="9525" cap="flat" cmpd="sng">
                            <a:solidFill>
                              <a:srgbClr val="000000"/>
                            </a:solidFill>
                            <a:prstDash val="solid"/>
                            <a:headEnd type="none" w="med" len="med"/>
                            <a:tailEnd type="none" w="med" len="med"/>
                          </a:ln>
                        </wps:spPr>
                        <wps:bodyPr upright="1"/>
                      </wps:wsp>
                      <wps:wsp>
                        <wps:cNvPr id="53" name="文本框 33"/>
                        <wps:cNvSpPr txBox="1"/>
                        <wps:spPr>
                          <a:xfrm>
                            <a:off x="6196" y="5277"/>
                            <a:ext cx="1076" cy="341"/>
                          </a:xfrm>
                          <a:prstGeom prst="rect">
                            <a:avLst/>
                          </a:prstGeom>
                          <a:noFill/>
                          <a:ln w="9525" cap="flat" cmpd="sng">
                            <a:noFill/>
                            <a:prstDash val="solid"/>
                            <a:miter/>
                            <a:headEnd type="none" w="med" len="med"/>
                            <a:tailEnd type="none" w="med" len="med"/>
                          </a:ln>
                        </wps:spPr>
                        <wps:txbx>
                          <w:txbxContent>
                            <w:p w14:paraId="16DD8FA3">
                              <w:pPr>
                                <w:spacing w:line="240" w:lineRule="auto"/>
                                <w:ind w:firstLine="0" w:firstLineChars="0"/>
                                <w:rPr>
                                  <w:sz w:val="21"/>
                                </w:rPr>
                              </w:pPr>
                              <w:r>
                                <w:rPr>
                                  <w:sz w:val="21"/>
                                </w:rPr>
                                <w:t>项目位置</w:t>
                              </w:r>
                            </w:p>
                          </w:txbxContent>
                        </wps:txbx>
                        <wps:bodyPr lIns="0" tIns="0" rIns="0" bIns="0" upright="1"/>
                      </wps:wsp>
                    </wpg:wgp>
                  </a:graphicData>
                </a:graphic>
              </wp:inline>
            </w:drawing>
          </mc:Choice>
          <mc:Fallback>
            <w:pict>
              <v:group id="组合 34" o:spid="_x0000_s1026" o:spt="203" style="height:290.5pt;width:413.1pt;" coordorigin="3624,203" coordsize="10070,7622" o:gfxdata="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WbH/XN/u/1ooprcZ//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">
                <o:lock v:ext="edit" aspectratio="f"/>
                <v:shape id="图片 407" o:spid="_x0000_s1026" o:spt="75" alt="21主体功能区分布图" type="#_x0000_t75" style="position:absolute;left:3624;top:203;height:7622;width:10070;" filled="f" o:preferrelative="t" stroked="t" coordsize="21600,21600" o:gfxdata="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o89EugAAANsA&#10;AAAPAAAAAAAAAAEAIAAAACIAAABkcnMvZG93bnJldi54bWxQSwECFAAUAAAACACHTuJAMy8FnjsA&#10;AAA5AAAAEAAAAAAAAAABACAAAAAJAQAAZHJzL3NoYXBleG1sLnhtbFBLBQYAAAAABgAGAFsBAACz&#10;AwAAAAA=&#10;">
                  <v:fill on="f" focussize="0,0"/>
                  <v:stroke color="#000000" joinstyle="miter"/>
                  <v:imagedata r:id="rId23" o:title=""/>
                  <o:lock v:ext="edit" aspectratio="t"/>
                </v:shape>
                <v:rect id="矩形 28" o:spid="_x0000_s1026" o:spt="1" style="position:absolute;left:7968;top:5897;height:84;width:85;" fillcolor="#FF0000" filled="t" stroked="t" coordsize="21600,21600" o:gfxdata="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kC8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任意多边形 30" o:spid="_x0000_s1026" o:spt="100" style="position:absolute;left:6179;top:5254;height:651;width:1758;" fillcolor="#FFFFFF" filled="t" stroked="t" coordsize="1758,651" o:gfxdata="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2xiQvQAA&#10;ANsAAAAPAAAAAAAAAAEAIAAAACIAAABkcnMvZG93bnJldi54bWxQSwECFAAUAAAACACHTuJAMy8F&#10;njsAAAA5AAAAEAAAAAAAAAABACAAAAAMAQAAZHJzL3NoYXBleG1sLnhtbFBLBQYAAAAABgAGAFsB&#10;AAC2AwAAAAA=&#10;" path="m1245,0l0,0,0,405,726,405,1758,651,1038,405,1245,405,1245,0xe">
                  <v:fill on="t" focussize="0,0"/>
                  <v:stroke color="#000000" joinstyle="round"/>
                  <v:imagedata o:title=""/>
                  <o:lock v:ext="edit" aspectratio="f"/>
                </v:shape>
                <v:shape id="文本框 33" o:spid="_x0000_s1026" o:spt="202" type="#_x0000_t202" style="position:absolute;left:6196;top:5277;height:341;width:1076;"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joinstyle="miter"/>
                  <v:imagedata o:title=""/>
                  <o:lock v:ext="edit" aspectratio="f"/>
                  <v:textbox inset="0mm,0mm,0mm,0mm">
                    <w:txbxContent>
                      <w:p w14:paraId="16DD8FA3">
                        <w:pPr>
                          <w:spacing w:line="240" w:lineRule="auto"/>
                          <w:ind w:firstLine="0" w:firstLineChars="0"/>
                          <w:rPr>
                            <w:sz w:val="21"/>
                          </w:rPr>
                        </w:pPr>
                        <w:r>
                          <w:rPr>
                            <w:sz w:val="21"/>
                          </w:rPr>
                          <w:t>项目位置</w:t>
                        </w:r>
                      </w:p>
                    </w:txbxContent>
                  </v:textbox>
                </v:shape>
                <w10:wrap type="none"/>
                <w10:anchorlock/>
              </v:group>
            </w:pict>
          </mc:Fallback>
        </mc:AlternateContent>
      </w:r>
      <w:r>
        <w:rPr>
          <w:sz w:val="24"/>
          <w:highlight w:val="none"/>
        </w:rPr>
        <mc:AlternateContent>
          <mc:Choice Requires="wps">
            <w:drawing>
              <wp:anchor distT="0" distB="0" distL="114300" distR="114300" simplePos="0" relativeHeight="251691008" behindDoc="0" locked="0" layoutInCell="1" allowOverlap="1">
                <wp:simplePos x="0" y="0"/>
                <wp:positionH relativeFrom="column">
                  <wp:posOffset>4789170</wp:posOffset>
                </wp:positionH>
                <wp:positionV relativeFrom="paragraph">
                  <wp:posOffset>217805</wp:posOffset>
                </wp:positionV>
                <wp:extent cx="342900" cy="685165"/>
                <wp:effectExtent l="0" t="0" r="0" b="0"/>
                <wp:wrapNone/>
                <wp:docPr id="26" name="文本框 26"/>
                <wp:cNvGraphicFramePr/>
                <a:graphic xmlns:a="http://schemas.openxmlformats.org/drawingml/2006/main">
                  <a:graphicData uri="http://schemas.microsoft.com/office/word/2010/wordprocessingShape">
                    <wps:wsp>
                      <wps:cNvSpPr txBox="1"/>
                      <wps:spPr>
                        <a:xfrm>
                          <a:off x="5989320" y="1132205"/>
                          <a:ext cx="342900" cy="685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BB76D">
                            <w:pPr>
                              <w:ind w:left="0" w:leftChars="0" w:firstLine="0" w:firstLineChars="0"/>
                              <w:rPr>
                                <w:rFonts w:hint="eastAsia" w:eastAsia="宋体"/>
                                <w:color w:val="FF0000"/>
                                <w:lang w:val="en-US" w:eastAsia="zh-CN"/>
                              </w:rPr>
                            </w:pPr>
                            <w:r>
                              <w:rPr>
                                <w:rFonts w:hint="eastAsia"/>
                                <w:color w:val="FF0000"/>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1pt;margin-top:17.15pt;height:53.95pt;width:27pt;z-index:251691008;mso-width-relative:page;mso-height-relative:page;" filled="f" stroked="f" coordsize="21600,21600" o:gfxdata="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B6hm/aAAAACgEAAA8AAAAAAAAA&#10;AQAgAAAAIgAAAGRycy9kb3ducmV2LnhtbFBLAQIUABQAAAAIAIdO4kDWgq00SAIAAHMEAAAOAAAA&#10;AAAAAAEAIAAAACkBAABkcnMvZTJvRG9jLnhtbFBLBQYAAAAABgAGAFkBAADjBQAAAAA=&#10;">
                <v:fill on="f" focussize="0,0"/>
                <v:stroke on="f" weight="0.5pt"/>
                <v:imagedata o:title=""/>
                <o:lock v:ext="edit" aspectratio="f"/>
                <v:textbox>
                  <w:txbxContent>
                    <w:p w14:paraId="32EBB76D">
                      <w:pPr>
                        <w:ind w:left="0" w:leftChars="0" w:firstLine="0" w:firstLineChars="0"/>
                        <w:rPr>
                          <w:rFonts w:hint="eastAsia" w:eastAsia="宋体"/>
                          <w:color w:val="FF0000"/>
                          <w:lang w:val="en-US" w:eastAsia="zh-CN"/>
                        </w:rPr>
                      </w:pPr>
                      <w:r>
                        <w:rPr>
                          <w:rFonts w:hint="eastAsia"/>
                          <w:color w:val="FF0000"/>
                          <w:lang w:val="en-US" w:eastAsia="zh-CN"/>
                        </w:rPr>
                        <w:t>N</w:t>
                      </w:r>
                    </w:p>
                  </w:txbxContent>
                </v:textbox>
              </v:shape>
            </w:pict>
          </mc:Fallback>
        </mc:AlternateContent>
      </w:r>
      <w:r>
        <w:rPr>
          <w:sz w:val="24"/>
          <w:highlight w:val="none"/>
        </w:rPr>
        <mc:AlternateContent>
          <mc:Choice Requires="wps">
            <w:drawing>
              <wp:anchor distT="0" distB="0" distL="114300" distR="114300" simplePos="0" relativeHeight="251689984" behindDoc="0" locked="0" layoutInCell="1" allowOverlap="1">
                <wp:simplePos x="0" y="0"/>
                <wp:positionH relativeFrom="column">
                  <wp:posOffset>4687570</wp:posOffset>
                </wp:positionH>
                <wp:positionV relativeFrom="paragraph">
                  <wp:posOffset>227330</wp:posOffset>
                </wp:positionV>
                <wp:extent cx="76200" cy="762000"/>
                <wp:effectExtent l="12700" t="12700" r="25400" b="25400"/>
                <wp:wrapNone/>
                <wp:docPr id="25" name="上箭头 25"/>
                <wp:cNvGraphicFramePr/>
                <a:graphic xmlns:a="http://schemas.openxmlformats.org/drawingml/2006/main">
                  <a:graphicData uri="http://schemas.microsoft.com/office/word/2010/wordprocessingShape">
                    <wps:wsp>
                      <wps:cNvSpPr/>
                      <wps:spPr>
                        <a:xfrm>
                          <a:off x="5830570" y="1141730"/>
                          <a:ext cx="76200" cy="762000"/>
                        </a:xfrm>
                        <a:prstGeom prst="up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69.1pt;margin-top:17.9pt;height:60pt;width:6pt;z-index:251689984;v-text-anchor:middle;mso-width-relative:page;mso-height-relative:page;" fillcolor="#FF0000" filled="t" stroked="t" coordsize="21600,21600" o:gfxdata="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H85PWAAAACgEAAA8AAAAAAAAAAQAgAAAAIgAAAGRycy9kb3ducmV2&#10;LnhtbFBLAQIUABQAAAAIAIdO4kAqj630cAIAAO8EAAAOAAAAAAAAAAEAIAAAACUBAABkcnMvZTJv&#10;RG9jLnhtbFBLBQYAAAAABgAGAFkBAAAHBgAAAAA=&#10;" adj="1080,5400">
                <v:fill on="t" focussize="0,0"/>
                <v:stroke weight="2pt" color="#FF0000 [2404]" joinstyle="round"/>
                <v:imagedata o:title=""/>
                <o:lock v:ext="edit" aspectratio="f"/>
              </v:shape>
            </w:pict>
          </mc:Fallback>
        </mc:AlternateContent>
      </w:r>
    </w:p>
    <w:p w14:paraId="10BCE18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highlight w:val="none"/>
        </w:rPr>
      </w:pPr>
    </w:p>
    <w:p w14:paraId="79AC9564">
      <w:pPr>
        <w:pStyle w:val="7"/>
        <w:bidi w:val="0"/>
        <w:rPr>
          <w:rFonts w:hint="default"/>
          <w:highlight w:val="none"/>
          <w:lang w:val="en-US" w:eastAsia="zh-CN"/>
        </w:rPr>
        <w:sectPr>
          <w:headerReference r:id="rId11" w:type="default"/>
          <w:footerReference r:id="rId12"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start="1"/>
          <w:cols w:space="425" w:num="1"/>
          <w:docGrid w:type="lines" w:linePitch="312" w:charSpace="0"/>
        </w:sectPr>
      </w:pPr>
      <w:r>
        <w:rPr>
          <w:rFonts w:hint="eastAsia"/>
          <w:highlight w:val="none"/>
          <w:lang w:val="en-US" w:eastAsia="zh-CN"/>
        </w:rPr>
        <w:t>图1-4-1</w:t>
      </w:r>
      <w:r>
        <w:rPr>
          <w:rFonts w:hint="eastAsia"/>
          <w:highlight w:val="none"/>
        </w:rPr>
        <w:t>黑龙江省主体功能分布图</w:t>
      </w:r>
    </w:p>
    <w:p w14:paraId="3E1C5D02">
      <w:pPr>
        <w:pStyle w:val="5"/>
        <w:bidi w:val="0"/>
        <w:rPr>
          <w:rFonts w:hint="eastAsia"/>
          <w:highlight w:val="none"/>
          <w:lang w:eastAsia="zh-CN"/>
        </w:rPr>
      </w:pPr>
      <w:r>
        <w:rPr>
          <w:highlight w:val="none"/>
        </w:rPr>
        <w:t>1.4.1</w:t>
      </w:r>
      <w:r>
        <w:rPr>
          <w:rFonts w:hint="eastAsia"/>
          <w:highlight w:val="none"/>
          <w:lang w:val="en-US" w:eastAsia="zh-CN"/>
        </w:rPr>
        <w:t>2</w:t>
      </w:r>
      <w:r>
        <w:rPr>
          <w:rFonts w:hint="eastAsia"/>
          <w:highlight w:val="none"/>
        </w:rPr>
        <w:t>与《黑龙江省土壤污染防治行动实施方案》符合性分析</w:t>
      </w:r>
      <w:bookmarkEnd w:id="71"/>
      <w:bookmarkEnd w:id="72"/>
    </w:p>
    <w:p w14:paraId="08E7FD73">
      <w:pPr>
        <w:bidi w:val="0"/>
        <w:rPr>
          <w:rFonts w:hint="eastAsia" w:eastAsia="宋体"/>
          <w:highlight w:val="none"/>
          <w:lang w:eastAsia="zh-CN"/>
        </w:rPr>
      </w:pPr>
      <w:r>
        <w:rPr>
          <w:rFonts w:hint="eastAsia"/>
          <w:highlight w:val="none"/>
        </w:rPr>
        <w:t>在《黑龙江省土壤污染防治实施方案》强化空间布局管控中提出：加强规划区划和建设项目布局论证，严格执行相关行业企业布局选址要求；鼓励工业企业集聚发展，提高土地节约集约利用水平，减少土壤污染；结合区域功能定位和土壤污染防治需要，科学布局生活垃圾处理、危险废物处置、废旧资源再生利用等设施和场所，按集约化、产业化、利于监管原则，推进再生资源产业园区建设，合理确定畜禽养殖布局和规模。</w:t>
      </w:r>
    </w:p>
    <w:p w14:paraId="405628D8">
      <w:pPr>
        <w:bidi w:val="0"/>
        <w:rPr>
          <w:rFonts w:hint="eastAsia"/>
          <w:highlight w:val="none"/>
        </w:rPr>
      </w:pPr>
      <w:r>
        <w:rPr>
          <w:rFonts w:hint="eastAsia"/>
          <w:highlight w:val="none"/>
        </w:rPr>
        <w:t>本项目位于黑龙江省哈尔滨市香坊区黎明乡幸福村哈阿公路零公里处哈尔滨透平设备总厂院内，为</w:t>
      </w:r>
      <w:r>
        <w:rPr>
          <w:rFonts w:hint="eastAsia"/>
          <w:highlight w:val="none"/>
          <w:lang w:val="en-US" w:eastAsia="zh-CN"/>
        </w:rPr>
        <w:t>含油金属屑处理及锂电池回收储存项目</w:t>
      </w:r>
      <w:r>
        <w:rPr>
          <w:highlight w:val="none"/>
        </w:rPr>
        <w:t>，建设地点不涉及优先保护类耕地集中区域</w:t>
      </w:r>
      <w:r>
        <w:rPr>
          <w:rFonts w:hint="eastAsia"/>
          <w:highlight w:val="none"/>
          <w:lang w:val="en-US" w:eastAsia="zh-CN"/>
        </w:rPr>
        <w:t>，</w:t>
      </w:r>
      <w:r>
        <w:rPr>
          <w:highlight w:val="none"/>
        </w:rPr>
        <w:t>不属于行业落后产能企业</w:t>
      </w:r>
      <w:r>
        <w:rPr>
          <w:rFonts w:hint="eastAsia"/>
          <w:highlight w:val="none"/>
          <w:lang w:eastAsia="zh-CN"/>
        </w:rPr>
        <w:t>，</w:t>
      </w:r>
      <w:r>
        <w:rPr>
          <w:rFonts w:hint="eastAsia"/>
          <w:highlight w:val="none"/>
          <w:lang w:val="en-US" w:eastAsia="zh-CN"/>
        </w:rPr>
        <w:t>不使用</w:t>
      </w:r>
      <w:r>
        <w:rPr>
          <w:rFonts w:hint="eastAsia"/>
          <w:highlight w:val="none"/>
        </w:rPr>
        <w:t>限制类产能装备</w:t>
      </w:r>
      <w:r>
        <w:rPr>
          <w:highlight w:val="none"/>
        </w:rPr>
        <w:t>。本项目对</w:t>
      </w:r>
      <w:r>
        <w:rPr>
          <w:rFonts w:hint="eastAsia"/>
          <w:highlight w:val="none"/>
          <w:lang w:eastAsia="zh-CN"/>
        </w:rPr>
        <w:t>土壤环境</w:t>
      </w:r>
      <w:r>
        <w:rPr>
          <w:highlight w:val="none"/>
        </w:rPr>
        <w:t>进行了环境影响分析，并提出防范土壤污染的具体措施。对土壤污染防治设施，实施了与主体工程同时设计、同时施工、同时投产使用。</w:t>
      </w:r>
      <w:r>
        <w:rPr>
          <w:rFonts w:hint="eastAsia"/>
          <w:highlight w:val="none"/>
          <w:lang w:val="en-US" w:eastAsia="zh-CN"/>
        </w:rPr>
        <w:t>符合相关要求</w:t>
      </w:r>
      <w:r>
        <w:rPr>
          <w:rFonts w:hint="eastAsia"/>
          <w:highlight w:val="none"/>
        </w:rPr>
        <w:t>。</w:t>
      </w:r>
    </w:p>
    <w:p w14:paraId="548AC57E">
      <w:pPr>
        <w:pStyle w:val="5"/>
        <w:bidi w:val="0"/>
        <w:rPr>
          <w:rFonts w:hint="eastAsia"/>
          <w:highlight w:val="none"/>
          <w:lang w:eastAsia="zh-CN"/>
        </w:rPr>
      </w:pPr>
      <w:bookmarkStart w:id="73" w:name="_Toc32563"/>
      <w:bookmarkStart w:id="74" w:name="_Toc6011"/>
      <w:r>
        <w:rPr>
          <w:highlight w:val="none"/>
        </w:rPr>
        <w:t>1.4.1</w:t>
      </w:r>
      <w:r>
        <w:rPr>
          <w:rFonts w:hint="eastAsia"/>
          <w:highlight w:val="none"/>
          <w:lang w:val="en-US" w:eastAsia="zh-CN"/>
        </w:rPr>
        <w:t>3</w:t>
      </w:r>
      <w:r>
        <w:rPr>
          <w:rFonts w:hint="eastAsia"/>
          <w:highlight w:val="none"/>
        </w:rPr>
        <w:t>与《黑龙江省水污染防治条例》符合性分析</w:t>
      </w:r>
      <w:bookmarkEnd w:id="73"/>
      <w:bookmarkEnd w:id="74"/>
    </w:p>
    <w:p w14:paraId="5F3B726F">
      <w:pPr>
        <w:bidi w:val="0"/>
        <w:rPr>
          <w:rFonts w:hint="eastAsia"/>
          <w:highlight w:val="none"/>
        </w:rPr>
      </w:pPr>
      <w:r>
        <w:rPr>
          <w:rFonts w:hint="eastAsia"/>
          <w:highlight w:val="none"/>
        </w:rPr>
        <w:t>第十一条新建、改建、扩建直接或者间接向水体排放污染物的建设项目和其他水上设施，应当依法进行环境影响评价，并符合国家、省、市（地）有关生态保护红线、环境质量底线、资源利用上线和生态环境准入清单的要求。</w:t>
      </w:r>
    </w:p>
    <w:p w14:paraId="6994970E">
      <w:pPr>
        <w:bidi w:val="0"/>
        <w:rPr>
          <w:rFonts w:hint="eastAsia"/>
          <w:highlight w:val="none"/>
          <w:lang w:eastAsia="zh-CN"/>
        </w:rPr>
      </w:pPr>
      <w:r>
        <w:rPr>
          <w:rFonts w:hint="eastAsia"/>
          <w:highlight w:val="none"/>
        </w:rPr>
        <w:t>第十三条依照法律规定实行排污许可管理的企业事业单位和其他生产经营者，应当依照《排污许可管理条例》规定申请取得排污许可证，按照排污许可证要求排放污染物；未取得排污许可证的，不得排放污染物</w:t>
      </w:r>
      <w:r>
        <w:rPr>
          <w:rFonts w:hint="eastAsia"/>
          <w:highlight w:val="none"/>
          <w:lang w:eastAsia="zh-CN"/>
        </w:rPr>
        <w:t>。</w:t>
      </w:r>
    </w:p>
    <w:p w14:paraId="1D174919">
      <w:pPr>
        <w:bidi w:val="0"/>
        <w:rPr>
          <w:rFonts w:hint="eastAsia"/>
          <w:highlight w:val="none"/>
        </w:rPr>
      </w:pPr>
      <w:r>
        <w:rPr>
          <w:rFonts w:hint="eastAsia"/>
          <w:highlight w:val="none"/>
        </w:rPr>
        <w:t>第十六条实行排污许可管理的企业事业单位和其他生产经营者应当按照排污许可证要求和有关标准规范，自行监测排放的水污染物，保存原始监测记录，建立环境管理台账。原始监测记录、环境管理台账保存期限不少于五年。</w:t>
      </w:r>
    </w:p>
    <w:p w14:paraId="5664BCA1">
      <w:pPr>
        <w:bidi w:val="0"/>
        <w:rPr>
          <w:rFonts w:hint="eastAsia" w:ascii="宋体" w:hAnsi="宋体" w:eastAsia="宋体" w:cs="宋体"/>
          <w:highlight w:val="none"/>
          <w:lang w:eastAsia="zh-CN"/>
        </w:rPr>
      </w:pPr>
      <w:r>
        <w:rPr>
          <w:rFonts w:hint="eastAsia"/>
          <w:highlight w:val="none"/>
        </w:rPr>
        <w:t>本项目</w:t>
      </w:r>
      <w:r>
        <w:rPr>
          <w:rFonts w:hint="eastAsia"/>
          <w:highlight w:val="none"/>
          <w:lang w:val="en-US" w:eastAsia="zh-CN"/>
        </w:rPr>
        <w:t>为新建项目，正在依法</w:t>
      </w:r>
      <w:r>
        <w:rPr>
          <w:rFonts w:hint="eastAsia"/>
          <w:highlight w:val="none"/>
        </w:rPr>
        <w:t>进行环境影响评价，符合国家、省、市（地）有关生态保护红线、环境质量底线、资源利用上线和生态环境准入清单的要求</w:t>
      </w:r>
      <w:r>
        <w:rPr>
          <w:rFonts w:hint="eastAsia"/>
          <w:highlight w:val="none"/>
          <w:lang w:eastAsia="zh-CN"/>
        </w:rPr>
        <w:t>。</w:t>
      </w:r>
      <w:r>
        <w:rPr>
          <w:rFonts w:hint="eastAsia"/>
          <w:highlight w:val="none"/>
          <w:lang w:val="en-US" w:eastAsia="zh-CN"/>
        </w:rPr>
        <w:t>厂区建成投产前将按照要求办理</w:t>
      </w:r>
      <w:r>
        <w:rPr>
          <w:rFonts w:hint="eastAsia"/>
          <w:highlight w:val="none"/>
        </w:rPr>
        <w:t>排污许可证</w:t>
      </w:r>
      <w:r>
        <w:rPr>
          <w:rFonts w:hint="eastAsia"/>
          <w:highlight w:val="none"/>
          <w:lang w:eastAsia="zh-CN"/>
        </w:rPr>
        <w:t>，</w:t>
      </w:r>
      <w:r>
        <w:rPr>
          <w:rFonts w:hint="eastAsia"/>
          <w:highlight w:val="none"/>
          <w:lang w:val="en-US" w:eastAsia="zh-CN"/>
        </w:rPr>
        <w:t>并进行自行监测</w:t>
      </w:r>
      <w:r>
        <w:rPr>
          <w:rFonts w:hint="eastAsia"/>
          <w:highlight w:val="none"/>
        </w:rPr>
        <w:t>；本项目厂区地面均硬化，</w:t>
      </w:r>
      <w:r>
        <w:rPr>
          <w:rFonts w:hint="eastAsia"/>
          <w:highlight w:val="none"/>
          <w:lang w:val="en-US" w:eastAsia="zh-CN"/>
        </w:rPr>
        <w:t>生产</w:t>
      </w:r>
      <w:r>
        <w:rPr>
          <w:rFonts w:hint="eastAsia"/>
          <w:highlight w:val="none"/>
        </w:rPr>
        <w:t>车间</w:t>
      </w:r>
      <w:r>
        <w:rPr>
          <w:rFonts w:hint="eastAsia"/>
          <w:highlight w:val="none"/>
          <w:lang w:eastAsia="zh-CN"/>
        </w:rPr>
        <w:t>、危险废物贮存库</w:t>
      </w:r>
      <w:r>
        <w:rPr>
          <w:rFonts w:hint="eastAsia"/>
          <w:highlight w:val="none"/>
        </w:rPr>
        <w:t>地面硬化，采取严格的防渗、防腐措施，防止项目的危险废物对地表水及地下水的影响，符合《黑龙江省水污染防治条例》中要</w:t>
      </w:r>
      <w:r>
        <w:rPr>
          <w:rFonts w:hint="eastAsia" w:ascii="宋体" w:hAnsi="宋体" w:eastAsia="宋体" w:cs="宋体"/>
          <w:highlight w:val="none"/>
        </w:rPr>
        <w:t>求</w:t>
      </w:r>
      <w:r>
        <w:rPr>
          <w:rFonts w:hint="eastAsia" w:ascii="宋体" w:hAnsi="宋体" w:eastAsia="宋体" w:cs="宋体"/>
          <w:highlight w:val="none"/>
          <w:lang w:eastAsia="zh-CN"/>
        </w:rPr>
        <w:t>。</w:t>
      </w:r>
    </w:p>
    <w:p w14:paraId="4491F88E">
      <w:pPr>
        <w:pStyle w:val="5"/>
        <w:bidi w:val="0"/>
        <w:rPr>
          <w:rFonts w:hint="eastAsia"/>
          <w:highlight w:val="none"/>
          <w:lang w:eastAsia="zh-CN"/>
        </w:rPr>
      </w:pPr>
      <w:bookmarkStart w:id="75" w:name="_Toc17141"/>
      <w:bookmarkStart w:id="76" w:name="_Toc26022"/>
      <w:r>
        <w:rPr>
          <w:highlight w:val="none"/>
        </w:rPr>
        <w:t>1.4.1</w:t>
      </w:r>
      <w:r>
        <w:rPr>
          <w:rFonts w:hint="eastAsia"/>
          <w:highlight w:val="none"/>
          <w:lang w:val="en-US" w:eastAsia="zh-CN"/>
        </w:rPr>
        <w:t>4</w:t>
      </w:r>
      <w:r>
        <w:rPr>
          <w:rFonts w:hint="eastAsia"/>
          <w:highlight w:val="none"/>
        </w:rPr>
        <w:t>与《黑龙江省城乡固体废物分类治理布局规划（2019-2035年）2021年修订版》符合性分析</w:t>
      </w:r>
      <w:bookmarkEnd w:id="75"/>
      <w:bookmarkEnd w:id="76"/>
    </w:p>
    <w:p w14:paraId="7FB89BDD">
      <w:pPr>
        <w:bidi w:val="0"/>
        <w:rPr>
          <w:rFonts w:hint="eastAsia"/>
          <w:highlight w:val="none"/>
        </w:rPr>
      </w:pPr>
      <w:r>
        <w:rPr>
          <w:rFonts w:hint="eastAsia"/>
          <w:highlight w:val="none"/>
        </w:rPr>
        <w:t>《黑龙江省城乡固体废物分类治理布局规划（2019-2035年）》于2019年3月发布。规划范围为全省13个市（地）所辖行政区范围内的区、县（市）、镇、乡村，以及辖区内农场、林业局等。规划期限为2019-2035年，其中近期规划期限为2019-2020年；中期期限为2021-2025年；远期期限为2026-2035年。</w:t>
      </w:r>
    </w:p>
    <w:p w14:paraId="7141BC17">
      <w:pPr>
        <w:bidi w:val="0"/>
        <w:rPr>
          <w:rFonts w:hint="eastAsia"/>
          <w:highlight w:val="none"/>
        </w:rPr>
      </w:pPr>
      <w:r>
        <w:rPr>
          <w:rFonts w:hint="eastAsia"/>
          <w:highlight w:val="none"/>
        </w:rPr>
        <w:t>《规划》中第28条规划目标：</w:t>
      </w:r>
    </w:p>
    <w:p w14:paraId="4E3B3D0F">
      <w:pPr>
        <w:bidi w:val="0"/>
        <w:rPr>
          <w:rFonts w:hint="eastAsia"/>
          <w:highlight w:val="none"/>
        </w:rPr>
      </w:pPr>
      <w:r>
        <w:rPr>
          <w:rFonts w:hint="eastAsia"/>
          <w:highlight w:val="none"/>
        </w:rPr>
        <w:t>近期：危险废物处置能力新增32.79万吨/年，安全贮存、处置、利用率达到90%；</w:t>
      </w:r>
    </w:p>
    <w:p w14:paraId="712565C4">
      <w:pPr>
        <w:bidi w:val="0"/>
        <w:rPr>
          <w:rFonts w:hint="eastAsia"/>
          <w:highlight w:val="none"/>
        </w:rPr>
      </w:pPr>
      <w:r>
        <w:rPr>
          <w:rFonts w:hint="eastAsia"/>
          <w:highlight w:val="none"/>
        </w:rPr>
        <w:t>中期：危险废物处置能力新增27.26万吨/年，安全贮存、处置、利用率达到92%；</w:t>
      </w:r>
    </w:p>
    <w:p w14:paraId="0012F5A4">
      <w:pPr>
        <w:bidi w:val="0"/>
        <w:rPr>
          <w:rFonts w:hint="eastAsia"/>
          <w:highlight w:val="none"/>
        </w:rPr>
      </w:pPr>
      <w:r>
        <w:rPr>
          <w:rFonts w:hint="eastAsia"/>
          <w:highlight w:val="none"/>
        </w:rPr>
        <w:t>远期：根据我省产业规模及产废情况，新增与之相适应的处置能力，危险废物安全贮存、处置、利用率达到95%。</w:t>
      </w:r>
    </w:p>
    <w:p w14:paraId="758E6E0A">
      <w:pPr>
        <w:bidi w:val="0"/>
        <w:rPr>
          <w:rFonts w:hint="eastAsia"/>
          <w:highlight w:val="none"/>
        </w:rPr>
      </w:pPr>
      <w:r>
        <w:rPr>
          <w:rFonts w:hint="eastAsia"/>
          <w:highlight w:val="none"/>
        </w:rPr>
        <w:t>《规划》中第29条布局规划：</w:t>
      </w:r>
    </w:p>
    <w:p w14:paraId="5C5D4497">
      <w:pPr>
        <w:bidi w:val="0"/>
        <w:rPr>
          <w:rFonts w:hint="eastAsia"/>
          <w:highlight w:val="none"/>
        </w:rPr>
      </w:pPr>
      <w:r>
        <w:rPr>
          <w:rFonts w:hint="eastAsia"/>
          <w:highlight w:val="none"/>
        </w:rPr>
        <w:t>近期在安达市、七台河市、泰来县新建危险废物处置中心，并扩建肇东市云水危险废物焚烧处置设施。新增处置能力32.79万吨/年，投资共13.9亿元。</w:t>
      </w:r>
    </w:p>
    <w:p w14:paraId="19931F3E">
      <w:pPr>
        <w:bidi w:val="0"/>
        <w:rPr>
          <w:rFonts w:hint="eastAsia"/>
          <w:highlight w:val="none"/>
        </w:rPr>
      </w:pPr>
      <w:r>
        <w:rPr>
          <w:rFonts w:hint="eastAsia"/>
          <w:highlight w:val="none"/>
        </w:rPr>
        <w:t>中期建设哈尔滨市玉泉危险废物综合处置中心、富锦市农药化肥包装物处理厂、扩建肇东市云水危险废物填埋处置能力和扩建安达市危险废物综合处置中心（二期）。新增处置能力27.26万吨/年，投资11.3亿元。</w:t>
      </w:r>
    </w:p>
    <w:p w14:paraId="2E09DB6F">
      <w:pPr>
        <w:bidi w:val="0"/>
        <w:rPr>
          <w:rFonts w:hint="eastAsia"/>
          <w:highlight w:val="none"/>
        </w:rPr>
      </w:pPr>
      <w:r>
        <w:rPr>
          <w:rFonts w:hint="eastAsia"/>
          <w:highlight w:val="none"/>
        </w:rPr>
        <w:t>根据黑龙江省城乡固体废物治理和城镇污水处理领导小组办公室《黑龙江省城乡固体废物治理和城镇污水处理领导小组办公室关于请提供&lt;全省城乡固体废物分类治理布局规划（2019-2035年）&gt;修编意见的函》（[2020]11号），省住建厅编制印发了《全省城乡固体废物分类治理布局规划（2019-2035年）》（以下简称《规划》），“对《规划》中的危险废物、医疗废物和一般工业废物处理设施的规划布局情况进行修改、调整，尤其是对列入《规划》近、中期的项目进行确认，确保项目能够在规划期内落地实施。”</w:t>
      </w:r>
    </w:p>
    <w:p w14:paraId="464C5742">
      <w:pPr>
        <w:bidi w:val="0"/>
        <w:rPr>
          <w:rFonts w:hint="eastAsia"/>
          <w:highlight w:val="none"/>
        </w:rPr>
      </w:pPr>
      <w:r>
        <w:rPr>
          <w:rFonts w:hint="eastAsia"/>
          <w:highlight w:val="none"/>
        </w:rPr>
        <w:t>根据黑龙江省生态环境厅《关于反馈&lt;全省城乡固体废物分类治理布局规划（2019-2035年）&gt;修编意见的复函》（[2020]319号）：建议按区域合理布局，统筹建设危险废物集中处置设施、场所；根据各市（地）生态环境局反馈情况和项目建设进度，建议调整现规划项目设置；危险废物中期不设置具体项目，建议按照全省区域布局，调整为东部地区、中西部地区布局。</w:t>
      </w:r>
    </w:p>
    <w:p w14:paraId="5A9FC08C">
      <w:pPr>
        <w:bidi w:val="0"/>
        <w:rPr>
          <w:rFonts w:hint="eastAsia"/>
          <w:highlight w:val="none"/>
          <w:lang w:eastAsia="zh-CN"/>
        </w:rPr>
      </w:pPr>
      <w:r>
        <w:rPr>
          <w:rFonts w:hint="eastAsia"/>
          <w:highlight w:val="none"/>
        </w:rPr>
        <w:t>本项目位于</w:t>
      </w:r>
      <w:r>
        <w:rPr>
          <w:rFonts w:hint="eastAsia" w:ascii="Times New Roman" w:hAnsi="Times New Roman" w:cs="Times New Roman" w:eastAsiaTheme="minorEastAsia"/>
          <w:sz w:val="24"/>
          <w:szCs w:val="24"/>
          <w:highlight w:val="none"/>
          <w:lang w:val="en-US" w:eastAsia="zh-CN"/>
        </w:rPr>
        <w:t>黑龙江省哈尔滨市香坊区黎明乡幸福村哈阿公路零公里处哈尔滨透平设备总厂院内</w:t>
      </w:r>
      <w:r>
        <w:rPr>
          <w:rFonts w:hint="eastAsia"/>
          <w:highlight w:val="none"/>
        </w:rPr>
        <w:t>，属于《黑龙江省城乡固体废物分类治理布局规划（2019-2035年）》的规划范围。本项目建成投产后属于规划</w:t>
      </w:r>
      <w:r>
        <w:rPr>
          <w:rFonts w:hint="eastAsia"/>
          <w:highlight w:val="none"/>
          <w:lang w:val="en-US" w:eastAsia="zh-CN"/>
        </w:rPr>
        <w:t>远</w:t>
      </w:r>
      <w:r>
        <w:rPr>
          <w:rFonts w:hint="eastAsia"/>
          <w:highlight w:val="none"/>
        </w:rPr>
        <w:t>期202</w:t>
      </w:r>
      <w:r>
        <w:rPr>
          <w:rFonts w:hint="eastAsia"/>
          <w:highlight w:val="none"/>
          <w:lang w:val="en-US" w:eastAsia="zh-CN"/>
        </w:rPr>
        <w:t>6</w:t>
      </w:r>
      <w:r>
        <w:rPr>
          <w:rFonts w:hint="eastAsia"/>
          <w:highlight w:val="none"/>
        </w:rPr>
        <w:t>-20</w:t>
      </w:r>
      <w:r>
        <w:rPr>
          <w:rFonts w:hint="eastAsia"/>
          <w:highlight w:val="none"/>
          <w:lang w:val="en-US" w:eastAsia="zh-CN"/>
        </w:rPr>
        <w:t>3</w:t>
      </w:r>
      <w:r>
        <w:rPr>
          <w:rFonts w:hint="eastAsia"/>
          <w:highlight w:val="none"/>
        </w:rPr>
        <w:t>5年。本项目为含油金属屑处理及锂电池回收储存项目，</w:t>
      </w:r>
      <w:r>
        <w:rPr>
          <w:rFonts w:hint="eastAsia"/>
          <w:highlight w:val="none"/>
          <w:lang w:eastAsia="zh-CN"/>
        </w:rPr>
        <w:t>含油金属屑处理</w:t>
      </w:r>
      <w:r>
        <w:rPr>
          <w:rFonts w:hint="eastAsia"/>
          <w:highlight w:val="none"/>
        </w:rPr>
        <w:t>行业类别为危险废物</w:t>
      </w:r>
      <w:r>
        <w:rPr>
          <w:rFonts w:hint="eastAsia"/>
          <w:highlight w:val="none"/>
          <w:lang w:val="en-US" w:eastAsia="zh-CN"/>
        </w:rPr>
        <w:t>综合利用</w:t>
      </w:r>
      <w:r>
        <w:rPr>
          <w:rFonts w:hint="eastAsia"/>
          <w:highlight w:val="none"/>
        </w:rPr>
        <w:t>类工业项目</w:t>
      </w:r>
      <w:r>
        <w:rPr>
          <w:rFonts w:hint="eastAsia"/>
          <w:highlight w:val="none"/>
          <w:lang w:eastAsia="zh-CN"/>
        </w:rPr>
        <w:t>。</w:t>
      </w:r>
      <w:r>
        <w:rPr>
          <w:rFonts w:hint="eastAsia"/>
          <w:highlight w:val="none"/>
        </w:rPr>
        <w:t>回收</w:t>
      </w:r>
      <w:r>
        <w:rPr>
          <w:rFonts w:hint="eastAsia"/>
          <w:highlight w:val="none"/>
          <w:lang w:eastAsia="zh-CN"/>
        </w:rPr>
        <w:t>周边</w:t>
      </w:r>
      <w:r>
        <w:rPr>
          <w:rFonts w:hint="eastAsia"/>
          <w:highlight w:val="none"/>
        </w:rPr>
        <w:t>企业</w:t>
      </w:r>
      <w:r>
        <w:rPr>
          <w:rFonts w:hint="eastAsia"/>
          <w:highlight w:val="none"/>
          <w:lang w:val="en-US" w:eastAsia="zh-CN"/>
        </w:rPr>
        <w:t>产生的</w:t>
      </w:r>
      <w:r>
        <w:rPr>
          <w:rFonts w:hint="eastAsia"/>
          <w:highlight w:val="none"/>
        </w:rPr>
        <w:t>的</w:t>
      </w:r>
      <w:r>
        <w:rPr>
          <w:rFonts w:hint="eastAsia"/>
          <w:highlight w:val="none"/>
          <w:lang w:val="en-US" w:eastAsia="zh-CN"/>
        </w:rPr>
        <w:t>含油金属屑</w:t>
      </w:r>
      <w:r>
        <w:rPr>
          <w:rFonts w:hint="eastAsia"/>
          <w:highlight w:val="none"/>
        </w:rPr>
        <w:t>作为原料，通过</w:t>
      </w:r>
      <w:r>
        <w:rPr>
          <w:rFonts w:hint="eastAsia"/>
          <w:highlight w:val="none"/>
          <w:lang w:val="en-US" w:eastAsia="zh-CN"/>
        </w:rPr>
        <w:t>破碎、甩干</w:t>
      </w:r>
      <w:r>
        <w:rPr>
          <w:rFonts w:hint="eastAsia"/>
          <w:highlight w:val="none"/>
        </w:rPr>
        <w:t>等措施</w:t>
      </w:r>
      <w:r>
        <w:rPr>
          <w:rFonts w:hint="eastAsia"/>
          <w:highlight w:val="none"/>
          <w:lang w:val="en-US" w:eastAsia="zh-CN"/>
        </w:rPr>
        <w:t>将金属屑与油类物质分离，本项目脱油金属屑作为金属原料外售相关单位利用</w:t>
      </w:r>
      <w:r>
        <w:rPr>
          <w:rFonts w:hint="eastAsia"/>
          <w:highlight w:val="none"/>
          <w:lang w:eastAsia="zh-CN"/>
        </w:rPr>
        <w:t>，</w:t>
      </w:r>
      <w:r>
        <w:rPr>
          <w:rFonts w:hint="eastAsia"/>
          <w:highlight w:val="none"/>
          <w:lang w:val="en-US" w:eastAsia="zh-CN"/>
        </w:rPr>
        <w:t>废液交由有资质单位处置，收集的锂电池交由有资质单位回收利用</w:t>
      </w:r>
      <w:r>
        <w:rPr>
          <w:rFonts w:hint="eastAsia"/>
          <w:highlight w:val="none"/>
        </w:rPr>
        <w:t>。</w:t>
      </w:r>
    </w:p>
    <w:p w14:paraId="5B09FF3E">
      <w:pPr>
        <w:bidi w:val="0"/>
        <w:rPr>
          <w:rFonts w:hint="eastAsia"/>
          <w:highlight w:val="none"/>
        </w:rPr>
      </w:pPr>
      <w:r>
        <w:rPr>
          <w:rFonts w:hint="eastAsia"/>
          <w:highlight w:val="none"/>
          <w:lang w:val="en-US" w:eastAsia="zh-CN"/>
        </w:rPr>
        <w:t>本项目的建设能够</w:t>
      </w:r>
      <w:r>
        <w:rPr>
          <w:rFonts w:hint="eastAsia"/>
          <w:highlight w:val="none"/>
          <w:lang w:eastAsia="zh-CN"/>
        </w:rPr>
        <w:t>对废物进行无害化、减量化和资源化处理，</w:t>
      </w:r>
      <w:r>
        <w:rPr>
          <w:rFonts w:hint="eastAsia"/>
          <w:highlight w:val="none"/>
          <w:lang w:val="en-US" w:eastAsia="zh-CN"/>
        </w:rPr>
        <w:t>金属屑</w:t>
      </w:r>
      <w:r>
        <w:rPr>
          <w:rFonts w:hint="eastAsia"/>
          <w:highlight w:val="none"/>
          <w:lang w:eastAsia="zh-CN"/>
        </w:rPr>
        <w:t>资源回收可以有效节约</w:t>
      </w:r>
      <w:r>
        <w:rPr>
          <w:rFonts w:hint="eastAsia"/>
          <w:highlight w:val="none"/>
          <w:lang w:val="en-US" w:eastAsia="zh-CN"/>
        </w:rPr>
        <w:t>铁、铝</w:t>
      </w:r>
      <w:r>
        <w:rPr>
          <w:rFonts w:hint="eastAsia"/>
          <w:highlight w:val="none"/>
          <w:lang w:eastAsia="zh-CN"/>
        </w:rPr>
        <w:t>矿石等原材料的使用，减少对自然资源的开采和消耗；提高一般固体废物综合利用率。</w:t>
      </w:r>
      <w:r>
        <w:rPr>
          <w:rFonts w:hint="eastAsia"/>
          <w:highlight w:val="none"/>
          <w:lang w:val="en-US" w:eastAsia="zh-CN"/>
        </w:rPr>
        <w:t>项目</w:t>
      </w:r>
      <w:r>
        <w:rPr>
          <w:rFonts w:hint="eastAsia"/>
          <w:highlight w:val="none"/>
        </w:rPr>
        <w:t>属于《规划》范围内的危险废物的处理处置及资源化处理，有利于完成规划目标。本项目属于需要纳入《全省城乡固体废物分类治理布局规划（2019-2035年）》的项目范围。因此，本项目的建设，与《黑龙江省城乡固体废物分类治理布局规划（2019-2035年）》、规划环评及其审查意见相符合。</w:t>
      </w:r>
    </w:p>
    <w:p w14:paraId="4329E30D">
      <w:pPr>
        <w:pStyle w:val="5"/>
        <w:bidi w:val="0"/>
        <w:rPr>
          <w:rFonts w:hint="eastAsia"/>
          <w:highlight w:val="none"/>
          <w:lang w:val="en-US" w:eastAsia="zh-CN"/>
        </w:rPr>
      </w:pPr>
      <w:bookmarkStart w:id="77" w:name="_Toc26258"/>
      <w:bookmarkStart w:id="78" w:name="_Toc18054"/>
      <w:r>
        <w:rPr>
          <w:rFonts w:hint="eastAsia"/>
          <w:highlight w:val="none"/>
          <w:lang w:val="en-US" w:eastAsia="zh-CN"/>
        </w:rPr>
        <w:t>1.4.15与《黑龙江省“十四五”生态环境保护规划》符合性分析</w:t>
      </w:r>
      <w:bookmarkEnd w:id="77"/>
      <w:bookmarkEnd w:id="78"/>
    </w:p>
    <w:p w14:paraId="28EB7705">
      <w:pPr>
        <w:bidi w:val="0"/>
        <w:rPr>
          <w:highlight w:val="none"/>
        </w:rPr>
      </w:pPr>
      <w:r>
        <w:rPr>
          <w:rFonts w:hint="eastAsia"/>
          <w:highlight w:val="none"/>
          <w:lang w:val="en-US" w:eastAsia="zh-CN"/>
        </w:rPr>
        <w:t>（1）</w:t>
      </w:r>
      <w:r>
        <w:rPr>
          <w:highlight w:val="none"/>
        </w:rPr>
        <w:t>相关内容</w:t>
      </w:r>
    </w:p>
    <w:p w14:paraId="1CB5A01E">
      <w:pPr>
        <w:bidi w:val="0"/>
        <w:rPr>
          <w:rFonts w:hint="eastAsia"/>
          <w:highlight w:val="none"/>
        </w:rPr>
      </w:pPr>
      <w:bookmarkStart w:id="79" w:name="_Toc20274"/>
      <w:r>
        <w:rPr>
          <w:highlight w:val="none"/>
        </w:rPr>
        <w:fldChar w:fldCharType="begin"/>
      </w:r>
      <w:r>
        <w:rPr>
          <w:highlight w:val="none"/>
        </w:rPr>
        <w:instrText xml:space="preserve"> = 1 \* GB3 </w:instrText>
      </w:r>
      <w:r>
        <w:rPr>
          <w:highlight w:val="none"/>
        </w:rPr>
        <w:fldChar w:fldCharType="separate"/>
      </w:r>
      <w:r>
        <w:rPr>
          <w:highlight w:val="none"/>
        </w:rPr>
        <w:t>①</w:t>
      </w:r>
      <w:r>
        <w:rPr>
          <w:highlight w:val="none"/>
        </w:rPr>
        <w:fldChar w:fldCharType="end"/>
      </w:r>
      <w:bookmarkEnd w:id="79"/>
      <w:r>
        <w:rPr>
          <w:rFonts w:hint="eastAsia"/>
          <w:highlight w:val="none"/>
        </w:rPr>
        <w:t>推进多污染物协同减排。</w:t>
      </w:r>
    </w:p>
    <w:p w14:paraId="0007E70E">
      <w:pPr>
        <w:bidi w:val="0"/>
        <w:rPr>
          <w:rFonts w:hint="eastAsia"/>
          <w:highlight w:val="none"/>
        </w:rPr>
      </w:pPr>
      <w:r>
        <w:rPr>
          <w:rFonts w:hint="eastAsia"/>
          <w:highlight w:val="none"/>
        </w:rPr>
        <w:t>实施重点行业NOx（氮氧化物）等污染物深度治理。推进钢铁、焦化行业超低排放改造，新建钢铁项目要达到超低排放水平，到2025年，现有钢铁、焦化企业基本完成超低排放改造，实现钢铁、焦化企业脱硫脱硝全覆盖。推进水泥、玻璃、铸造、石灰、矿棉等行业污染深度治理。推动平板玻璃、建筑陶瓷等行业企业逐步取消烟气旁路，因安全生产无法取消的，按规定安装在线监管系统。加强生物质锅炉燃料品质及排放管控，禁止掺烧煤炭、垃圾和工业固废，对不能稳定达标排放的生物质锅炉进行整改。</w:t>
      </w:r>
    </w:p>
    <w:p w14:paraId="1CEDC177">
      <w:pPr>
        <w:bidi w:val="0"/>
        <w:rPr>
          <w:rFonts w:hint="eastAsia"/>
          <w:highlight w:val="none"/>
        </w:rPr>
      </w:pPr>
      <w:r>
        <w:rPr>
          <w:rFonts w:hint="eastAsia"/>
          <w:highlight w:val="none"/>
        </w:rPr>
        <w:t>开展VOCs（挥发性有机物）全过程综合整治。持续开展石化、化工、包装印刷、工业涂装等重点行业VOCs全过程综合整治。提高VOCs含量低（无）的绿色原辅材料替代比例，开展原油、成品油、有机化学品等涉VOCs物质储罐排查，按规定逐步取消炼油、石化、煤化工、制药、农药、化工、工业涂装、包装印刷等企业非必要VOCs废气排放系统旁路。鼓励涂装类工业园区和企业集群统筹规划建设集中涂装中心、活性碳集中处理中心、溶剂回收中心。加强汽修、餐饮等行业VOCs综合治理。</w:t>
      </w:r>
    </w:p>
    <w:p w14:paraId="708C51B5">
      <w:pPr>
        <w:bidi w:val="0"/>
        <w:rPr>
          <w:rFonts w:hint="eastAsia"/>
          <w:highlight w:val="none"/>
        </w:rPr>
      </w:pPr>
      <w:r>
        <w:rPr>
          <w:rFonts w:hint="eastAsia"/>
          <w:highlight w:val="none"/>
        </w:rPr>
        <w:t>强化车油联合管控。进一步规范成品油市场，提高清洁油品供应保障能力、油品质量监管水平，严厉打击生产、销售、储存和使用非标油品行为。加强新生产车辆达标排放监管，严格实施国家机动车油耗和排放标准，强化新生产货车监督抽查。通过部门联合执法、提高路检路查和入户监督抽测频次以及加强重污染天气柴油车管理等方式，加大在用车监督执法力度。强化非道路移动机械生产企业监管和排放控制区管控，基本消除未登记和冒黑烟工程机械</w:t>
      </w:r>
    </w:p>
    <w:p w14:paraId="1327BAD9">
      <w:pPr>
        <w:bidi w:val="0"/>
        <w:rPr>
          <w:rFonts w:hint="eastAsia"/>
          <w:highlight w:val="none"/>
        </w:rPr>
      </w:pPr>
      <w:bookmarkStart w:id="80" w:name="_Toc26543"/>
      <w:r>
        <w:rPr>
          <w:highlight w:val="none"/>
        </w:rPr>
        <w:fldChar w:fldCharType="begin"/>
      </w:r>
      <w:r>
        <w:rPr>
          <w:highlight w:val="none"/>
        </w:rPr>
        <w:instrText xml:space="preserve"> = 2 \* GB3 </w:instrText>
      </w:r>
      <w:r>
        <w:rPr>
          <w:highlight w:val="none"/>
        </w:rPr>
        <w:fldChar w:fldCharType="separate"/>
      </w:r>
      <w:r>
        <w:rPr>
          <w:highlight w:val="none"/>
        </w:rPr>
        <w:t>②</w:t>
      </w:r>
      <w:r>
        <w:rPr>
          <w:highlight w:val="none"/>
        </w:rPr>
        <w:fldChar w:fldCharType="end"/>
      </w:r>
      <w:bookmarkEnd w:id="80"/>
      <w:r>
        <w:rPr>
          <w:rFonts w:hint="eastAsia"/>
          <w:highlight w:val="none"/>
        </w:rPr>
        <w:t>强化噪声污染防治。</w:t>
      </w:r>
    </w:p>
    <w:p w14:paraId="3BB367D1">
      <w:pPr>
        <w:bidi w:val="0"/>
        <w:rPr>
          <w:highlight w:val="none"/>
        </w:rPr>
      </w:pPr>
      <w:r>
        <w:rPr>
          <w:rFonts w:hint="eastAsia"/>
          <w:highlight w:val="none"/>
        </w:rPr>
        <w:t>制定实施噪声污染防治行动计划。开展环境功能区评估与调整。地级及以上城市在声环境功能区安装噪声自动监测系统。在制定国土空间规划及交通运输等相关规划时，合理划定防噪声距离，明确规划设计要求。因特殊需要必须连续作业的，必须有县级以上政府或者其有关主管部门的证明，并公告附近居民。鼓励采用低噪声施工设备和工艺。依法将工业企业噪声纳入排污许可管理，严厉查处工业企业噪声排放超标扰民行为。加强对文化娱乐、商业经营中社会生活噪声热点问题日常监管和集中整治。到2025年，地级及以上城市全面实现功能区声环境质量自动监测，声环境功能区夜间达标率达到国家要求</w:t>
      </w:r>
      <w:r>
        <w:rPr>
          <w:rFonts w:hint="eastAsia"/>
          <w:highlight w:val="none"/>
          <w:lang w:eastAsia="zh-CN"/>
        </w:rPr>
        <w:t>。</w:t>
      </w:r>
    </w:p>
    <w:p w14:paraId="6BCDAD60">
      <w:pPr>
        <w:bidi w:val="0"/>
        <w:rPr>
          <w:rFonts w:hint="eastAsia"/>
          <w:highlight w:val="none"/>
        </w:rPr>
      </w:pPr>
      <w:r>
        <w:rPr>
          <w:rFonts w:hint="default"/>
          <w:highlight w:val="none"/>
        </w:rPr>
        <w:t>③</w:t>
      </w:r>
      <w:r>
        <w:rPr>
          <w:rFonts w:hint="eastAsia"/>
          <w:highlight w:val="none"/>
        </w:rPr>
        <w:t>强化土壤污染源系统防控。</w:t>
      </w:r>
    </w:p>
    <w:p w14:paraId="211BEA0A">
      <w:pPr>
        <w:bidi w:val="0"/>
        <w:rPr>
          <w:rFonts w:hint="eastAsia"/>
          <w:highlight w:val="none"/>
        </w:rPr>
      </w:pPr>
      <w:r>
        <w:rPr>
          <w:rFonts w:hint="eastAsia"/>
          <w:highlight w:val="none"/>
        </w:rPr>
        <w:t>加强空间布局管控。将土壤和地下水环境管理纳入国土空间规划，根据土壤污染的环境风险，合理确定土地用途。永久基本农田集中区禁止规划建设可能造成土壤污染的建设项目。对涉及有毒有害物质可能造成土壤污染的建设项目，依法进行环境影响评价，按规划定提出并落实防腐蚀、防渗漏、防遗撒等土壤污染防治具体措施。</w:t>
      </w:r>
    </w:p>
    <w:p w14:paraId="598CB45E">
      <w:pPr>
        <w:bidi w:val="0"/>
        <w:rPr>
          <w:rFonts w:hint="eastAsia"/>
          <w:highlight w:val="none"/>
        </w:rPr>
      </w:pPr>
      <w:r>
        <w:rPr>
          <w:rFonts w:hint="eastAsia"/>
          <w:highlight w:val="none"/>
        </w:rPr>
        <w:t>防范工矿企业新增土壤污染。动态更新土壤污染重点监管单位名录，监督全面落实土壤污染防治义务，依法纳入排污许可管理。鼓励土壤污染重点监管单位实施提标改造。各地定期组织开展土壤污染重点监管单位和地下水重点污染源周边土壤、地下水环境监测，督促企业定期开展土壤和地下水环境自行监测、污染隐患排查治理。防控矿产资源开发污染土壤，加强尾矿库安全管理</w:t>
      </w:r>
      <w:r>
        <w:rPr>
          <w:rFonts w:hint="eastAsia"/>
          <w:highlight w:val="none"/>
          <w:lang w:eastAsia="zh-CN"/>
        </w:rPr>
        <w:t>。</w:t>
      </w:r>
    </w:p>
    <w:p w14:paraId="4B2D427D">
      <w:pPr>
        <w:bidi w:val="0"/>
        <w:rPr>
          <w:rFonts w:hint="eastAsia"/>
          <w:highlight w:val="none"/>
        </w:rPr>
      </w:pPr>
      <w:r>
        <w:rPr>
          <w:rFonts w:hint="eastAsia"/>
          <w:highlight w:val="none"/>
        </w:rPr>
        <w:t>④建立地下水生态环境管理体系。针对国家地下水环境质量考核点位，因地制宜制定地下水环境质量达标方案。推动地下水环境分区管理，推进地级及以上城市开展地下水污染防治重点区划定，建立地下水污染重点监管单位名录，依法纳入排污许可管理，加强防渗、地下水环境监测、执法检查。探索建设地下水污染防治试验区。</w:t>
      </w:r>
    </w:p>
    <w:p w14:paraId="13AD8CAA">
      <w:pPr>
        <w:bidi w:val="0"/>
        <w:rPr>
          <w:rFonts w:hint="eastAsia"/>
          <w:highlight w:val="none"/>
        </w:rPr>
      </w:pPr>
      <w:r>
        <w:rPr>
          <w:rFonts w:hint="eastAsia"/>
          <w:highlight w:val="none"/>
        </w:rPr>
        <w:t>加强污染源头预防与风险管控。持续开展地下水环境状况调查评估。逐步开展地下水污染风险管控。实现“双源”点位水质总体保持稳定。</w:t>
      </w:r>
    </w:p>
    <w:p w14:paraId="59A33D23">
      <w:pPr>
        <w:bidi w:val="0"/>
        <w:rPr>
          <w:highlight w:val="none"/>
        </w:rPr>
      </w:pPr>
      <w:bookmarkStart w:id="81" w:name="_Toc8605"/>
      <w:r>
        <w:rPr>
          <w:rFonts w:hint="eastAsia"/>
          <w:highlight w:val="none"/>
          <w:lang w:val="en-US" w:eastAsia="zh-CN"/>
        </w:rPr>
        <w:t>（2）</w:t>
      </w:r>
      <w:r>
        <w:rPr>
          <w:highlight w:val="none"/>
        </w:rPr>
        <w:t>符合性分析</w:t>
      </w:r>
      <w:bookmarkEnd w:id="81"/>
    </w:p>
    <w:p w14:paraId="2E465A31">
      <w:pPr>
        <w:bidi w:val="0"/>
        <w:rPr>
          <w:rFonts w:hint="eastAsia" w:eastAsia="宋体"/>
          <w:highlight w:val="none"/>
          <w:lang w:val="en-US" w:eastAsia="zh-CN"/>
        </w:rPr>
      </w:pPr>
      <w:r>
        <w:rPr>
          <w:highlight w:val="none"/>
        </w:rPr>
        <w:t>本项目位于</w:t>
      </w:r>
      <w:r>
        <w:rPr>
          <w:rFonts w:hint="eastAsia"/>
          <w:highlight w:val="none"/>
          <w:lang w:val="en-US" w:eastAsia="zh-CN"/>
        </w:rPr>
        <w:t>黑龙江省哈尔滨市香坊区黎明乡幸福村哈阿公路零公里处哈尔滨透平设备总厂院内</w:t>
      </w:r>
      <w:r>
        <w:rPr>
          <w:highlight w:val="none"/>
        </w:rPr>
        <w:t>，</w:t>
      </w:r>
      <w:r>
        <w:rPr>
          <w:rFonts w:hint="eastAsia"/>
          <w:highlight w:val="none"/>
          <w:lang w:val="en-US" w:eastAsia="zh-CN"/>
        </w:rPr>
        <w:t>用地性质为工业用地；生产产生的油雾、挥发性有机物（以非甲烷总烃计）、颗粒物及臭气浓度通过油雾净化装置+活性炭吸附装置处理后由1根新建15m排气筒排放；贮存产生的挥发性有机物（以非甲烷总烃计）通活性炭吸附装置处理后由1根新建15m排气筒排放；本项目不产生生产废水，生活污水经防渗旱厕收集后定期清掏外运堆肥；本项目厂区地面硬化，生产车间及危险废物贮存库整体采取防渗措施，防渗层采取人工材料防渗层+防渗混凝土层，渗透系数</w:t>
      </w:r>
      <w:r>
        <w:rPr>
          <w:rFonts w:hint="default" w:ascii="Times New Roman" w:hAnsi="Times New Roman" w:cs="Times New Roman"/>
          <w:highlight w:val="none"/>
          <w:lang w:val="en-US" w:eastAsia="zh-CN"/>
        </w:rPr>
        <w:t>＜1.0×10</w:t>
      </w:r>
      <w:r>
        <w:rPr>
          <w:rFonts w:hint="default" w:ascii="Times New Roman" w:hAnsi="Times New Roman" w:cs="Times New Roman"/>
          <w:highlight w:val="none"/>
          <w:vertAlign w:val="superscript"/>
          <w:lang w:val="en-US" w:eastAsia="zh-CN"/>
        </w:rPr>
        <w:t>-10</w:t>
      </w:r>
      <w:r>
        <w:rPr>
          <w:rFonts w:hint="default" w:ascii="Times New Roman" w:hAnsi="Times New Roman" w:cs="Times New Roman"/>
          <w:highlight w:val="none"/>
          <w:lang w:val="en-US" w:eastAsia="zh-CN"/>
        </w:rPr>
        <w:t>c</w:t>
      </w:r>
      <w:r>
        <w:rPr>
          <w:rFonts w:hint="eastAsia"/>
          <w:highlight w:val="none"/>
          <w:lang w:val="en-US" w:eastAsia="zh-CN"/>
        </w:rPr>
        <w:t>m/s，避免对土壤、地下水产生污染；本项目热试使用符合国家标准的车用汽油</w:t>
      </w:r>
      <w:r>
        <w:rPr>
          <w:highlight w:val="none"/>
        </w:rPr>
        <w:t>。</w:t>
      </w:r>
      <w:r>
        <w:rPr>
          <w:rFonts w:hint="eastAsia"/>
          <w:highlight w:val="none"/>
          <w:lang w:val="en-US" w:eastAsia="zh-CN"/>
        </w:rPr>
        <w:t>符合相关要求。</w:t>
      </w:r>
    </w:p>
    <w:p w14:paraId="389CAD34">
      <w:pPr>
        <w:pStyle w:val="5"/>
        <w:bidi w:val="0"/>
        <w:rPr>
          <w:highlight w:val="none"/>
        </w:rPr>
      </w:pPr>
      <w:bookmarkStart w:id="82" w:name="_Toc16717"/>
      <w:bookmarkStart w:id="83" w:name="_Toc2217"/>
      <w:r>
        <w:rPr>
          <w:rFonts w:hint="eastAsia"/>
          <w:highlight w:val="none"/>
          <w:lang w:val="en-US" w:eastAsia="zh-CN"/>
        </w:rPr>
        <w:t>1.4.16</w:t>
      </w:r>
      <w:r>
        <w:rPr>
          <w:highlight w:val="none"/>
        </w:rPr>
        <w:t>与</w:t>
      </w:r>
      <w:r>
        <w:rPr>
          <w:rFonts w:hint="eastAsia"/>
          <w:highlight w:val="none"/>
        </w:rPr>
        <w:t>《黑龙江省强化危险废物监管和利用处置能力改革工作方案》</w:t>
      </w:r>
      <w:r>
        <w:rPr>
          <w:highlight w:val="none"/>
        </w:rPr>
        <w:t>符合性分析</w:t>
      </w:r>
      <w:bookmarkEnd w:id="82"/>
      <w:bookmarkEnd w:id="83"/>
    </w:p>
    <w:p w14:paraId="79B3B9DA">
      <w:pPr>
        <w:bidi w:val="0"/>
        <w:rPr>
          <w:rFonts w:hint="eastAsia"/>
          <w:highlight w:val="none"/>
        </w:rPr>
      </w:pPr>
      <w:bookmarkStart w:id="84" w:name="_Toc11793"/>
      <w:r>
        <w:rPr>
          <w:rFonts w:hint="eastAsia"/>
          <w:highlight w:val="none"/>
          <w:lang w:val="en-US" w:eastAsia="zh-CN"/>
        </w:rPr>
        <w:t>（1）</w:t>
      </w:r>
      <w:r>
        <w:rPr>
          <w:rFonts w:hint="eastAsia"/>
          <w:highlight w:val="none"/>
        </w:rPr>
        <w:t>完善危险废物监管体制机制</w:t>
      </w:r>
      <w:bookmarkEnd w:id="84"/>
    </w:p>
    <w:p w14:paraId="4D425CA3">
      <w:pPr>
        <w:bidi w:val="0"/>
        <w:rPr>
          <w:rFonts w:hint="eastAsia"/>
          <w:highlight w:val="none"/>
        </w:rPr>
      </w:pPr>
      <w:r>
        <w:rPr>
          <w:rFonts w:hint="eastAsia"/>
          <w:highlight w:val="none"/>
        </w:rPr>
        <w:t>压实企业主体责任。危险废物产生、收集、贮存、运输、利用、处置企业的主要负责人是危险废物污染环境防治和安全生产第一责任人，严格落实危险废物污染环境防治和安全生产法律法规制度。危险废物相关企业依法及时公开危险废物污染环境防治信息，建立危险废物管理台账，通过固体废物环境管理信息系统申报，依法依规投保环境污染责任保险。</w:t>
      </w:r>
    </w:p>
    <w:p w14:paraId="40DBB4FC">
      <w:pPr>
        <w:bidi w:val="0"/>
        <w:rPr>
          <w:rFonts w:hint="eastAsia"/>
          <w:highlight w:val="none"/>
        </w:rPr>
      </w:pPr>
      <w:bookmarkStart w:id="85" w:name="_Toc19630"/>
      <w:r>
        <w:rPr>
          <w:rFonts w:hint="eastAsia"/>
          <w:highlight w:val="none"/>
          <w:lang w:val="en-US" w:eastAsia="zh-CN"/>
        </w:rPr>
        <w:t>（2）</w:t>
      </w:r>
      <w:r>
        <w:rPr>
          <w:rFonts w:hint="eastAsia"/>
          <w:highlight w:val="none"/>
        </w:rPr>
        <w:t>强化危险废物源头管控</w:t>
      </w:r>
      <w:bookmarkEnd w:id="85"/>
    </w:p>
    <w:p w14:paraId="2CAFAD3C">
      <w:pPr>
        <w:bidi w:val="0"/>
        <w:rPr>
          <w:rFonts w:hint="eastAsia"/>
          <w:highlight w:val="none"/>
        </w:rPr>
      </w:pPr>
      <w:r>
        <w:rPr>
          <w:rFonts w:hint="eastAsia"/>
          <w:highlight w:val="none"/>
        </w:rPr>
        <w:t>严格环境准入。建立危险废物经营许可证审批与环境影响评价有效衔接机制，新改扩建项目要依法开展环境影响评价，严格危险废物污染环境防治设施“三同时”管理。</w:t>
      </w:r>
    </w:p>
    <w:p w14:paraId="201D7F2B">
      <w:pPr>
        <w:bidi w:val="0"/>
        <w:rPr>
          <w:rFonts w:hint="eastAsia"/>
          <w:highlight w:val="none"/>
        </w:rPr>
      </w:pPr>
      <w:r>
        <w:rPr>
          <w:rFonts w:hint="eastAsia"/>
          <w:highlight w:val="none"/>
        </w:rPr>
        <w:t>推动源头减量化。支持研发、推广减少工业危险废物产生量和降低工业危险废物危害性的生产工艺和设备，促进从源头上减少危险废物产生量、降低危害性。</w:t>
      </w:r>
    </w:p>
    <w:p w14:paraId="0EA79F89">
      <w:pPr>
        <w:bidi w:val="0"/>
        <w:rPr>
          <w:rFonts w:hint="eastAsia"/>
          <w:highlight w:val="none"/>
        </w:rPr>
      </w:pPr>
      <w:bookmarkStart w:id="86" w:name="_Toc3290"/>
      <w:r>
        <w:rPr>
          <w:rFonts w:hint="eastAsia"/>
          <w:highlight w:val="none"/>
          <w:lang w:val="en-US" w:eastAsia="zh-CN"/>
        </w:rPr>
        <w:t>（3）</w:t>
      </w:r>
      <w:r>
        <w:rPr>
          <w:rFonts w:hint="eastAsia"/>
          <w:highlight w:val="none"/>
        </w:rPr>
        <w:t>强化危险废物收集转运等过程监管</w:t>
      </w:r>
      <w:bookmarkEnd w:id="86"/>
    </w:p>
    <w:p w14:paraId="10B90322">
      <w:pPr>
        <w:bidi w:val="0"/>
        <w:rPr>
          <w:rFonts w:hint="eastAsia"/>
          <w:highlight w:val="none"/>
        </w:rPr>
      </w:pPr>
      <w:r>
        <w:rPr>
          <w:rFonts w:hint="eastAsia"/>
          <w:highlight w:val="none"/>
        </w:rPr>
        <w:t>推进转移运输规范化和便捷化。严格执行危险废物转移联单管理制度，监督企业如实填写危险废物转移电子联单相关信息。危险废物运输单位应获得危险货物运输资质，完善“点对点”的常备通行路线，充分利用“两客一危”监控平台，对车籍在我省的危险废物运输车辆的运输全程进行动态监控，实现危险废物运输车辆规范有序、安全便捷通行。维护危险废物跨区域转移公平竞争市场秩序，各地不得设置不合理行政壁垒。</w:t>
      </w:r>
    </w:p>
    <w:p w14:paraId="7DFA5EF5">
      <w:pPr>
        <w:bidi w:val="0"/>
        <w:rPr>
          <w:rFonts w:hint="eastAsia"/>
          <w:highlight w:val="none"/>
        </w:rPr>
      </w:pPr>
      <w:bookmarkStart w:id="87" w:name="_Toc123"/>
      <w:r>
        <w:rPr>
          <w:rFonts w:hint="eastAsia"/>
          <w:highlight w:val="none"/>
          <w:lang w:val="en-US" w:eastAsia="zh-CN"/>
        </w:rPr>
        <w:t>（4）</w:t>
      </w:r>
      <w:r>
        <w:rPr>
          <w:rFonts w:hint="eastAsia"/>
          <w:highlight w:val="none"/>
        </w:rPr>
        <w:t>促进危险废物利用处置产业高质量发展</w:t>
      </w:r>
      <w:bookmarkEnd w:id="87"/>
    </w:p>
    <w:p w14:paraId="7246D1BE">
      <w:pPr>
        <w:bidi w:val="0"/>
        <w:rPr>
          <w:rFonts w:hint="eastAsia"/>
          <w:highlight w:val="none"/>
        </w:rPr>
      </w:pPr>
      <w:r>
        <w:rPr>
          <w:rFonts w:hint="eastAsia"/>
          <w:highlight w:val="none"/>
        </w:rPr>
        <w:t>落实“放管服”改革要求，鼓励采取多元投资和市场化方式建设规模化危险废物利用设施；鼓励企业通过资源整合、技术协同和兼并重组等方式做大做强，推进危险废物专业化、规模化建设运营服务。</w:t>
      </w:r>
    </w:p>
    <w:p w14:paraId="4321BCBB">
      <w:pPr>
        <w:bidi w:val="0"/>
        <w:rPr>
          <w:rFonts w:hint="eastAsia"/>
          <w:highlight w:val="none"/>
        </w:rPr>
      </w:pPr>
      <w:r>
        <w:rPr>
          <w:rFonts w:hint="eastAsia"/>
          <w:highlight w:val="none"/>
        </w:rPr>
        <w:t>规范危险废物利用。加强固体废物综合利用管理，综合利用固体废物应当遵守相关法律法规，符合固体废物污染环境防治技术标准，使用固体废物综合利用产物应当符合国家规定的用途和标准。在环境风险可控的前提下，制定危险废物“点对点”定向利用方案，探索危险废物许可证豁免管理模式。</w:t>
      </w:r>
    </w:p>
    <w:p w14:paraId="545B28D3">
      <w:pPr>
        <w:bidi w:val="0"/>
        <w:rPr>
          <w:highlight w:val="none"/>
          <w:lang w:val="en-US" w:eastAsia="zh-CN"/>
        </w:rPr>
      </w:pPr>
      <w:r>
        <w:rPr>
          <w:rFonts w:hint="eastAsia"/>
          <w:highlight w:val="none"/>
        </w:rPr>
        <w:t>符合性分析：本项目</w:t>
      </w:r>
      <w:r>
        <w:rPr>
          <w:rFonts w:hint="eastAsia"/>
          <w:highlight w:val="none"/>
          <w:lang w:val="en-US" w:eastAsia="zh-CN"/>
        </w:rPr>
        <w:t>含油金属屑</w:t>
      </w:r>
      <w:r>
        <w:rPr>
          <w:rFonts w:hint="eastAsia"/>
          <w:highlight w:val="none"/>
        </w:rPr>
        <w:t>回收就近原则，主要回收利用哈尔滨市周边</w:t>
      </w:r>
      <w:r>
        <w:rPr>
          <w:rFonts w:hint="eastAsia"/>
          <w:highlight w:val="none"/>
          <w:lang w:val="en-US" w:eastAsia="zh-CN"/>
        </w:rPr>
        <w:t>机加</w:t>
      </w:r>
      <w:r>
        <w:rPr>
          <w:rFonts w:hint="eastAsia"/>
          <w:highlight w:val="none"/>
        </w:rPr>
        <w:t>企业产生的</w:t>
      </w:r>
      <w:r>
        <w:rPr>
          <w:rFonts w:hint="eastAsia"/>
          <w:highlight w:val="none"/>
          <w:lang w:val="en-US" w:eastAsia="zh-CN"/>
        </w:rPr>
        <w:t>含油金属屑，</w:t>
      </w:r>
      <w:r>
        <w:rPr>
          <w:rFonts w:hint="eastAsia"/>
          <w:highlight w:val="none"/>
        </w:rPr>
        <w:t>对</w:t>
      </w:r>
      <w:r>
        <w:rPr>
          <w:rFonts w:hint="eastAsia"/>
          <w:highlight w:val="none"/>
          <w:lang w:val="en-US" w:eastAsia="zh-CN"/>
        </w:rPr>
        <w:t>含油金属屑</w:t>
      </w:r>
      <w:r>
        <w:rPr>
          <w:rFonts w:hint="eastAsia"/>
          <w:highlight w:val="none"/>
        </w:rPr>
        <w:t>进行资源化利用，危废代码分别为</w:t>
      </w:r>
      <w:r>
        <w:rPr>
          <w:rFonts w:hint="eastAsia"/>
          <w:highlight w:val="none"/>
          <w:lang w:val="en-US" w:eastAsia="zh-CN"/>
        </w:rPr>
        <w:t>900-200-08</w:t>
      </w:r>
      <w:r>
        <w:rPr>
          <w:rFonts w:hint="eastAsia"/>
          <w:highlight w:val="none"/>
        </w:rPr>
        <w:t>、</w:t>
      </w:r>
      <w:r>
        <w:rPr>
          <w:rFonts w:hint="eastAsia"/>
          <w:highlight w:val="none"/>
          <w:lang w:val="en-US" w:eastAsia="zh-CN"/>
        </w:rPr>
        <w:t>900-006-09</w:t>
      </w:r>
      <w:r>
        <w:rPr>
          <w:rFonts w:hint="eastAsia"/>
          <w:highlight w:val="none"/>
        </w:rPr>
        <w:t>，经过</w:t>
      </w:r>
      <w:r>
        <w:rPr>
          <w:rFonts w:hint="eastAsia"/>
          <w:highlight w:val="none"/>
          <w:lang w:val="en-US" w:eastAsia="zh-CN"/>
        </w:rPr>
        <w:t>破碎、甩干</w:t>
      </w:r>
      <w:r>
        <w:rPr>
          <w:rFonts w:hint="eastAsia"/>
          <w:highlight w:val="none"/>
        </w:rPr>
        <w:t>处置后生产</w:t>
      </w:r>
      <w:r>
        <w:rPr>
          <w:rFonts w:hint="eastAsia"/>
          <w:highlight w:val="none"/>
          <w:lang w:val="en-US" w:eastAsia="zh-CN"/>
        </w:rPr>
        <w:t>脱油金属屑</w:t>
      </w:r>
      <w:r>
        <w:rPr>
          <w:rFonts w:hint="eastAsia"/>
          <w:highlight w:val="none"/>
        </w:rPr>
        <w:t>，符合固体废物污染环境防治技术标准</w:t>
      </w:r>
      <w:r>
        <w:rPr>
          <w:rFonts w:hint="eastAsia"/>
          <w:highlight w:val="none"/>
          <w:lang w:eastAsia="zh-CN"/>
        </w:rPr>
        <w:t>，</w:t>
      </w:r>
      <w:r>
        <w:rPr>
          <w:rFonts w:hint="eastAsia"/>
          <w:highlight w:val="none"/>
          <w:lang w:val="en-US" w:eastAsia="zh-CN"/>
        </w:rPr>
        <w:t>可</w:t>
      </w:r>
      <w:r>
        <w:rPr>
          <w:rFonts w:hint="eastAsia"/>
          <w:highlight w:val="none"/>
        </w:rPr>
        <w:t>符合国家规定的用途和标准。危险废物收集、贮存、运输由专人负责，建立危险废物管理台账，通过固体废物环境管理信息系统申报，符合《黑龙江省强化危险废物监管和利用处置能力改革工作方案》要求。</w:t>
      </w:r>
    </w:p>
    <w:p w14:paraId="5ADAD7C7">
      <w:pPr>
        <w:pStyle w:val="5"/>
        <w:bidi w:val="0"/>
        <w:rPr>
          <w:rFonts w:hint="default"/>
          <w:highlight w:val="none"/>
        </w:rPr>
      </w:pPr>
      <w:bookmarkStart w:id="88" w:name="_Toc28583"/>
      <w:bookmarkStart w:id="89" w:name="_Toc31064"/>
      <w:r>
        <w:rPr>
          <w:rFonts w:hint="eastAsia"/>
          <w:highlight w:val="none"/>
          <w:lang w:val="en-US" w:eastAsia="zh-CN"/>
        </w:rPr>
        <w:t>1.4.17</w:t>
      </w:r>
      <w:r>
        <w:rPr>
          <w:rFonts w:hint="default"/>
          <w:highlight w:val="none"/>
        </w:rPr>
        <w:t>与《黑龙江省重点行业挥发性有机物综合治理行动方案》（黑环发[2019]153号）符合性分析</w:t>
      </w:r>
      <w:bookmarkEnd w:id="88"/>
      <w:bookmarkEnd w:id="89"/>
    </w:p>
    <w:p w14:paraId="09297C7F">
      <w:pPr>
        <w:keepNext w:val="0"/>
        <w:keepLines w:val="0"/>
        <w:pageBreakBefore w:val="0"/>
        <w:widowControl/>
        <w:kinsoku/>
        <w:wordWrap w:val="0"/>
        <w:overflowPunct/>
        <w:topLinePunct w:val="0"/>
        <w:autoSpaceDE/>
        <w:autoSpaceDN/>
        <w:bidi w:val="0"/>
        <w:adjustRightInd w:val="0"/>
        <w:snapToGrid w:val="0"/>
        <w:textAlignment w:val="auto"/>
        <w:rPr>
          <w:rFonts w:hint="default"/>
          <w:highlight w:val="none"/>
        </w:rPr>
      </w:pPr>
      <w:r>
        <w:rPr>
          <w:rFonts w:hint="default"/>
          <w:highlight w:val="none"/>
        </w:rPr>
        <w:t>本项目与《黑龙江省重点行业挥发性有机物综合治理行动方案》（黑环发[2019]153号）符合性分析情况见</w:t>
      </w:r>
      <w:r>
        <w:rPr>
          <w:rFonts w:hint="eastAsia"/>
          <w:highlight w:val="none"/>
          <w:lang w:val="en-US" w:eastAsia="zh-CN"/>
        </w:rPr>
        <w:t>下</w:t>
      </w:r>
      <w:r>
        <w:rPr>
          <w:rFonts w:hint="default"/>
          <w:highlight w:val="none"/>
        </w:rPr>
        <w:t>表。</w:t>
      </w:r>
    </w:p>
    <w:p w14:paraId="7C228F3C">
      <w:pPr>
        <w:pStyle w:val="7"/>
        <w:bidi w:val="0"/>
        <w:rPr>
          <w:rFonts w:hint="default"/>
          <w:highlight w:val="none"/>
        </w:rPr>
      </w:pPr>
      <w:r>
        <w:rPr>
          <w:rFonts w:hint="default"/>
          <w:highlight w:val="none"/>
        </w:rPr>
        <w:t>表1-4-</w:t>
      </w:r>
      <w:r>
        <w:rPr>
          <w:rFonts w:hint="eastAsia"/>
          <w:highlight w:val="none"/>
          <w:lang w:val="en-US" w:eastAsia="zh-CN"/>
        </w:rPr>
        <w:t>7</w:t>
      </w:r>
      <w:r>
        <w:rPr>
          <w:rFonts w:hint="default"/>
          <w:highlight w:val="none"/>
        </w:rPr>
        <w:t>与《黑龙江省重点行业挥发性有机物综合治理行动方案》（黑环发[2019]153号）符合性分析</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83"/>
        <w:gridCol w:w="4152"/>
        <w:gridCol w:w="2962"/>
        <w:gridCol w:w="825"/>
      </w:tblGrid>
      <w:tr w14:paraId="6BA797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542" w:hRule="atLeast"/>
          <w:jc w:val="center"/>
        </w:trPr>
        <w:tc>
          <w:tcPr>
            <w:tcW w:w="583" w:type="dxa"/>
            <w:vAlign w:val="center"/>
          </w:tcPr>
          <w:p w14:paraId="537A40D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color w:val="000000" w:themeColor="text1"/>
                <w:kern w:val="21"/>
                <w:sz w:val="21"/>
                <w:szCs w:val="21"/>
                <w:highlight w:val="none"/>
                <w14:textFill>
                  <w14:solidFill>
                    <w14:schemeClr w14:val="tx1"/>
                  </w14:solidFill>
                </w14:textFill>
              </w:rPr>
            </w:pPr>
            <w:r>
              <w:rPr>
                <w:rFonts w:hint="eastAsia" w:ascii="Times New Roman" w:hAnsi="Times New Roman"/>
                <w:bCs/>
                <w:color w:val="000000" w:themeColor="text1"/>
                <w:kern w:val="21"/>
                <w:sz w:val="21"/>
                <w:szCs w:val="21"/>
                <w:highlight w:val="none"/>
                <w14:textFill>
                  <w14:solidFill>
                    <w14:schemeClr w14:val="tx1"/>
                  </w14:solidFill>
                </w14:textFill>
              </w:rPr>
              <w:t>序号</w:t>
            </w:r>
          </w:p>
        </w:tc>
        <w:tc>
          <w:tcPr>
            <w:tcW w:w="4152" w:type="dxa"/>
            <w:vAlign w:val="center"/>
          </w:tcPr>
          <w:p w14:paraId="3314885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color w:val="000000" w:themeColor="text1"/>
                <w:kern w:val="21"/>
                <w:sz w:val="21"/>
                <w:szCs w:val="21"/>
                <w:highlight w:val="none"/>
                <w14:textFill>
                  <w14:solidFill>
                    <w14:schemeClr w14:val="tx1"/>
                  </w14:solidFill>
                </w14:textFill>
              </w:rPr>
            </w:pPr>
            <w:r>
              <w:rPr>
                <w:rFonts w:hint="eastAsia" w:ascii="Times New Roman" w:hAnsi="Times New Roman"/>
                <w:bCs/>
                <w:color w:val="000000" w:themeColor="text1"/>
                <w:kern w:val="21"/>
                <w:sz w:val="21"/>
                <w:szCs w:val="21"/>
                <w:highlight w:val="none"/>
                <w14:textFill>
                  <w14:solidFill>
                    <w14:schemeClr w14:val="tx1"/>
                  </w14:solidFill>
                </w14:textFill>
              </w:rPr>
              <w:t>黑龙江省重点行业挥发性有机物综合治理行动方案要求</w:t>
            </w:r>
          </w:p>
        </w:tc>
        <w:tc>
          <w:tcPr>
            <w:tcW w:w="2962" w:type="dxa"/>
            <w:vAlign w:val="center"/>
          </w:tcPr>
          <w:p w14:paraId="2D3B39C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color w:val="000000" w:themeColor="text1"/>
                <w:kern w:val="21"/>
                <w:sz w:val="21"/>
                <w:szCs w:val="21"/>
                <w:highlight w:val="none"/>
                <w14:textFill>
                  <w14:solidFill>
                    <w14:schemeClr w14:val="tx1"/>
                  </w14:solidFill>
                </w14:textFill>
              </w:rPr>
            </w:pPr>
            <w:r>
              <w:rPr>
                <w:rFonts w:hint="eastAsia" w:ascii="Times New Roman" w:hAnsi="Times New Roman"/>
                <w:bCs/>
                <w:color w:val="000000" w:themeColor="text1"/>
                <w:kern w:val="21"/>
                <w:sz w:val="21"/>
                <w:szCs w:val="21"/>
                <w:highlight w:val="none"/>
                <w14:textFill>
                  <w14:solidFill>
                    <w14:schemeClr w14:val="tx1"/>
                  </w14:solidFill>
                </w14:textFill>
              </w:rPr>
              <w:t>本项目</w:t>
            </w:r>
          </w:p>
        </w:tc>
        <w:tc>
          <w:tcPr>
            <w:tcW w:w="825" w:type="dxa"/>
            <w:vAlign w:val="center"/>
          </w:tcPr>
          <w:p w14:paraId="769310D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color w:val="000000" w:themeColor="text1"/>
                <w:kern w:val="21"/>
                <w:sz w:val="21"/>
                <w:szCs w:val="21"/>
                <w:highlight w:val="none"/>
                <w14:textFill>
                  <w14:solidFill>
                    <w14:schemeClr w14:val="tx1"/>
                  </w14:solidFill>
                </w14:textFill>
              </w:rPr>
            </w:pPr>
            <w:r>
              <w:rPr>
                <w:rFonts w:hint="eastAsia" w:ascii="Times New Roman" w:hAnsi="Times New Roman"/>
                <w:bCs/>
                <w:color w:val="000000" w:themeColor="text1"/>
                <w:kern w:val="21"/>
                <w:sz w:val="21"/>
                <w:szCs w:val="21"/>
                <w:highlight w:val="none"/>
                <w14:textFill>
                  <w14:solidFill>
                    <w14:schemeClr w14:val="tx1"/>
                  </w14:solidFill>
                </w14:textFill>
              </w:rPr>
              <w:t>符合性</w:t>
            </w:r>
          </w:p>
        </w:tc>
      </w:tr>
      <w:tr w14:paraId="5054A0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54" w:hRule="atLeast"/>
          <w:jc w:val="center"/>
        </w:trPr>
        <w:tc>
          <w:tcPr>
            <w:tcW w:w="583" w:type="dxa"/>
            <w:vAlign w:val="center"/>
          </w:tcPr>
          <w:p w14:paraId="2D39461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color w:val="000000" w:themeColor="text1"/>
                <w:kern w:val="21"/>
                <w:sz w:val="21"/>
                <w:szCs w:val="21"/>
                <w:highlight w:val="none"/>
                <w14:textFill>
                  <w14:solidFill>
                    <w14:schemeClr w14:val="tx1"/>
                  </w14:solidFill>
                </w14:textFill>
              </w:rPr>
            </w:pPr>
            <w:r>
              <w:rPr>
                <w:rFonts w:hint="eastAsia" w:ascii="Times New Roman" w:hAnsi="Times New Roman"/>
                <w:bCs/>
                <w:color w:val="000000" w:themeColor="text1"/>
                <w:kern w:val="21"/>
                <w:sz w:val="21"/>
                <w:szCs w:val="21"/>
                <w:highlight w:val="none"/>
                <w14:textFill>
                  <w14:solidFill>
                    <w14:schemeClr w14:val="tx1"/>
                  </w14:solidFill>
                </w14:textFill>
              </w:rPr>
              <w:t>1</w:t>
            </w:r>
          </w:p>
        </w:tc>
        <w:tc>
          <w:tcPr>
            <w:tcW w:w="4152" w:type="dxa"/>
            <w:vAlign w:val="center"/>
          </w:tcPr>
          <w:p w14:paraId="06098387">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highlight w:val="none"/>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加强设备与场所密闭管理。含VOCs物料应储存于密闭容器、包装袋，高效密封储罐，封闭式储库、料仓等。含VOCs物料转移和输送，应采用密闭管道或密闭容器、罐车等。含VOCs物料生产和使用过程，应采取有效收集措施或在密闭空间中操作。推进使用先进生产工艺。通过采用全密闭、连续化、自动化等生产技术，以及高效工艺与设备等，减少工艺过程无组织排放。</w:t>
            </w:r>
          </w:p>
        </w:tc>
        <w:tc>
          <w:tcPr>
            <w:tcW w:w="2962" w:type="dxa"/>
            <w:vMerge w:val="restart"/>
            <w:vAlign w:val="center"/>
          </w:tcPr>
          <w:p w14:paraId="245841D0">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highlight w:val="none"/>
              </w:rPr>
              <w:t>本项目废</w:t>
            </w:r>
            <w:r>
              <w:rPr>
                <w:rFonts w:hint="eastAsia"/>
                <w:highlight w:val="none"/>
                <w:lang w:val="en-US" w:eastAsia="zh-CN"/>
              </w:rPr>
              <w:t>液</w:t>
            </w:r>
            <w:r>
              <w:rPr>
                <w:rFonts w:hint="default"/>
                <w:highlight w:val="none"/>
              </w:rPr>
              <w:t>储存于密闭储</w:t>
            </w:r>
            <w:r>
              <w:rPr>
                <w:rFonts w:hint="eastAsia"/>
                <w:highlight w:val="none"/>
                <w:lang w:val="en-US" w:eastAsia="zh-CN"/>
              </w:rPr>
              <w:t>存桶内；含油金属屑储存于原料贮存池中，生产车间封闭；废活性炭及废过滤材料采用袋装密闭收集。</w:t>
            </w:r>
          </w:p>
        </w:tc>
        <w:tc>
          <w:tcPr>
            <w:tcW w:w="825" w:type="dxa"/>
            <w:vAlign w:val="center"/>
          </w:tcPr>
          <w:p w14:paraId="2D2F97B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color w:val="000000" w:themeColor="text1"/>
                <w:kern w:val="21"/>
                <w:sz w:val="21"/>
                <w:szCs w:val="21"/>
                <w:highlight w:val="none"/>
                <w14:textFill>
                  <w14:solidFill>
                    <w14:schemeClr w14:val="tx1"/>
                  </w14:solidFill>
                </w14:textFill>
              </w:rPr>
            </w:pPr>
            <w:r>
              <w:rPr>
                <w:rFonts w:hint="eastAsia" w:ascii="Times New Roman" w:hAnsi="Times New Roman"/>
                <w:bCs/>
                <w:color w:val="000000" w:themeColor="text1"/>
                <w:kern w:val="21"/>
                <w:sz w:val="21"/>
                <w:szCs w:val="21"/>
                <w:highlight w:val="none"/>
                <w14:textFill>
                  <w14:solidFill>
                    <w14:schemeClr w14:val="tx1"/>
                  </w14:solidFill>
                </w14:textFill>
              </w:rPr>
              <w:t>符合</w:t>
            </w:r>
          </w:p>
        </w:tc>
      </w:tr>
      <w:tr w14:paraId="518E00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54" w:hRule="atLeast"/>
          <w:jc w:val="center"/>
        </w:trPr>
        <w:tc>
          <w:tcPr>
            <w:tcW w:w="583" w:type="dxa"/>
            <w:vAlign w:val="center"/>
          </w:tcPr>
          <w:p w14:paraId="60D7840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color w:val="000000" w:themeColor="text1"/>
                <w:kern w:val="21"/>
                <w:sz w:val="21"/>
                <w:szCs w:val="21"/>
                <w:highlight w:val="none"/>
                <w14:textFill>
                  <w14:solidFill>
                    <w14:schemeClr w14:val="tx1"/>
                  </w14:solidFill>
                </w14:textFill>
              </w:rPr>
            </w:pPr>
            <w:r>
              <w:rPr>
                <w:rFonts w:hint="eastAsia" w:ascii="Times New Roman" w:hAnsi="Times New Roman"/>
                <w:bCs/>
                <w:color w:val="000000" w:themeColor="text1"/>
                <w:kern w:val="21"/>
                <w:sz w:val="21"/>
                <w:szCs w:val="21"/>
                <w:highlight w:val="none"/>
                <w14:textFill>
                  <w14:solidFill>
                    <w14:schemeClr w14:val="tx1"/>
                  </w14:solidFill>
                </w14:textFill>
              </w:rPr>
              <w:t>2</w:t>
            </w:r>
          </w:p>
        </w:tc>
        <w:tc>
          <w:tcPr>
            <w:tcW w:w="4152" w:type="dxa"/>
            <w:vAlign w:val="center"/>
          </w:tcPr>
          <w:p w14:paraId="139CA38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highlight w:val="none"/>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2962" w:type="dxa"/>
            <w:vMerge w:val="continue"/>
            <w:vAlign w:val="center"/>
          </w:tcPr>
          <w:p w14:paraId="51822701">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p>
        </w:tc>
        <w:tc>
          <w:tcPr>
            <w:tcW w:w="825" w:type="dxa"/>
            <w:vAlign w:val="center"/>
          </w:tcPr>
          <w:p w14:paraId="0B73448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Cs/>
                <w:color w:val="000000" w:themeColor="text1"/>
                <w:kern w:val="21"/>
                <w:sz w:val="21"/>
                <w:szCs w:val="21"/>
                <w:highlight w:val="none"/>
                <w14:textFill>
                  <w14:solidFill>
                    <w14:schemeClr w14:val="tx1"/>
                  </w14:solidFill>
                </w14:textFill>
              </w:rPr>
            </w:pPr>
            <w:r>
              <w:rPr>
                <w:rFonts w:hint="eastAsia" w:ascii="Times New Roman" w:hAnsi="Times New Roman"/>
                <w:bCs/>
                <w:color w:val="000000" w:themeColor="text1"/>
                <w:kern w:val="21"/>
                <w:sz w:val="21"/>
                <w:szCs w:val="21"/>
                <w:highlight w:val="none"/>
                <w14:textFill>
                  <w14:solidFill>
                    <w14:schemeClr w14:val="tx1"/>
                  </w14:solidFill>
                </w14:textFill>
              </w:rPr>
              <w:t>符合</w:t>
            </w:r>
          </w:p>
        </w:tc>
      </w:tr>
    </w:tbl>
    <w:p w14:paraId="1C973834">
      <w:pPr>
        <w:pStyle w:val="5"/>
        <w:bidi w:val="0"/>
        <w:rPr>
          <w:rFonts w:hint="eastAsia"/>
          <w:highlight w:val="none"/>
          <w:lang w:eastAsia="zh-CN"/>
        </w:rPr>
      </w:pPr>
      <w:bookmarkStart w:id="90" w:name="_Toc24426"/>
      <w:bookmarkStart w:id="91" w:name="_Toc28084"/>
      <w:r>
        <w:rPr>
          <w:highlight w:val="none"/>
        </w:rPr>
        <w:t>1.4.</w:t>
      </w:r>
      <w:r>
        <w:rPr>
          <w:rFonts w:hint="eastAsia"/>
          <w:highlight w:val="none"/>
          <w:lang w:val="en-US" w:eastAsia="zh-CN"/>
        </w:rPr>
        <w:t>18</w:t>
      </w:r>
      <w:r>
        <w:rPr>
          <w:rFonts w:hint="eastAsia"/>
          <w:highlight w:val="none"/>
        </w:rPr>
        <w:t>与《黑龙江省哈尔滨市城乡固体废物分类治理专项规划（2019-2035年）修编》及《黑龙江省哈尔滨市城乡固体废物分类治理专项规划（2019-2035年）（修编）环境影响报告书》及其审查意见</w:t>
      </w:r>
      <w:r>
        <w:rPr>
          <w:rFonts w:hint="eastAsia"/>
          <w:highlight w:val="none"/>
          <w:lang w:val="en-US" w:eastAsia="zh-CN"/>
        </w:rPr>
        <w:t>的</w:t>
      </w:r>
      <w:r>
        <w:rPr>
          <w:rFonts w:hint="eastAsia"/>
          <w:highlight w:val="none"/>
        </w:rPr>
        <w:t>符合性分析</w:t>
      </w:r>
      <w:bookmarkEnd w:id="90"/>
      <w:bookmarkEnd w:id="91"/>
    </w:p>
    <w:p w14:paraId="5EA67616">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highlight w:val="none"/>
        </w:rPr>
      </w:pPr>
      <w:r>
        <w:rPr>
          <w:rFonts w:hint="eastAsia"/>
          <w:highlight w:val="none"/>
        </w:rPr>
        <w:t>《黑龙江省哈尔滨市城乡固体废物分类治理布局规划（2019-2035年）》于2019年9月16日取得了哈尔滨市人民政府出具的《关于&lt;哈尔滨市城乡固体废物分类治理专项规划（2019-2035年）&gt;&lt;哈尔滨市玉泉固废综合处理园区总体规划（2019-2035年）&gt;和部分地块控制性详细规划及调整项目的批复》（哈政发[2019]46号）。</w:t>
      </w:r>
    </w:p>
    <w:p w14:paraId="797CA2BE">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highlight w:val="none"/>
        </w:rPr>
      </w:pPr>
      <w:r>
        <w:rPr>
          <w:rFonts w:hint="eastAsia"/>
          <w:highlight w:val="none"/>
        </w:rPr>
        <w:t>于2019年8月22日取得由哈尔滨市生态环境局出具的《关于对黑龙江省哈尔滨市城乡固体废物分类治理专项规划（2019-2035年）环境影响报告书的审查意见》。</w:t>
      </w:r>
    </w:p>
    <w:p w14:paraId="285B1979">
      <w:pPr>
        <w:bidi w:val="0"/>
        <w:rPr>
          <w:rFonts w:hint="eastAsia"/>
          <w:highlight w:val="none"/>
        </w:rPr>
      </w:pPr>
      <w:r>
        <w:rPr>
          <w:rFonts w:hint="eastAsia"/>
          <w:highlight w:val="none"/>
        </w:rPr>
        <w:t>于2021年12月3日取得由哈尔滨市生态环境局出具的《关于对黑龙江省哈尔滨市城乡固体废物分类治理专项规划（2019-2035年）（修编）环境影响报告书的审查意见》。</w:t>
      </w:r>
    </w:p>
    <w:p w14:paraId="1C862851">
      <w:pPr>
        <w:bidi w:val="0"/>
        <w:rPr>
          <w:rFonts w:hint="eastAsia"/>
          <w:highlight w:val="none"/>
        </w:rPr>
      </w:pPr>
      <w:r>
        <w:rPr>
          <w:rFonts w:hint="eastAsia"/>
          <w:highlight w:val="none"/>
          <w:lang w:val="en-US" w:eastAsia="zh-CN"/>
        </w:rPr>
        <w:t>（1）</w:t>
      </w:r>
      <w:r>
        <w:rPr>
          <w:rFonts w:hint="eastAsia"/>
          <w:highlight w:val="none"/>
        </w:rPr>
        <w:t>规划总论</w:t>
      </w:r>
    </w:p>
    <w:p w14:paraId="5D0FC8E9">
      <w:pPr>
        <w:bidi w:val="0"/>
        <w:rPr>
          <w:rFonts w:hint="eastAsia"/>
          <w:highlight w:val="none"/>
        </w:rPr>
      </w:pPr>
      <w:r>
        <w:rPr>
          <w:rFonts w:hint="default"/>
          <w:highlight w:val="none"/>
          <w:lang w:val="en-US" w:eastAsia="zh-CN"/>
        </w:rPr>
        <w:t>①</w:t>
      </w:r>
      <w:r>
        <w:rPr>
          <w:rFonts w:hint="eastAsia"/>
          <w:highlight w:val="none"/>
        </w:rPr>
        <w:t>规划范围：规划范围为哈尔滨市城市规划区，规划面积758km</w:t>
      </w:r>
      <w:r>
        <w:rPr>
          <w:rFonts w:hint="eastAsia"/>
          <w:highlight w:val="none"/>
          <w:vertAlign w:val="superscript"/>
        </w:rPr>
        <w:t>2</w:t>
      </w:r>
      <w:r>
        <w:rPr>
          <w:rFonts w:hint="eastAsia"/>
          <w:highlight w:val="none"/>
        </w:rPr>
        <w:t>，规划研究区域为哈尔滨市所辖行政区范围，总规划面积5.31万km</w:t>
      </w:r>
      <w:r>
        <w:rPr>
          <w:rFonts w:hint="eastAsia"/>
          <w:highlight w:val="none"/>
          <w:vertAlign w:val="superscript"/>
        </w:rPr>
        <w:t>2</w:t>
      </w:r>
      <w:r>
        <w:rPr>
          <w:rFonts w:hint="eastAsia"/>
          <w:highlight w:val="none"/>
        </w:rPr>
        <w:t>，包括九个市辖区和九县（市）：道里区、南岗区、道外区、香坊区、平房区、松北区、呼兰区、阿城区、双城区和依兰县、方正县、宾县、巴彦县、木兰县、通河县、延寿县、尚志市、五常市。</w:t>
      </w:r>
    </w:p>
    <w:p w14:paraId="185ADCDB">
      <w:pPr>
        <w:bidi w:val="0"/>
        <w:rPr>
          <w:rFonts w:hint="eastAsia"/>
          <w:highlight w:val="none"/>
        </w:rPr>
      </w:pPr>
      <w:r>
        <w:rPr>
          <w:rFonts w:hint="default"/>
          <w:highlight w:val="none"/>
          <w:lang w:val="en-US" w:eastAsia="zh-CN"/>
        </w:rPr>
        <w:t>②</w:t>
      </w:r>
      <w:r>
        <w:rPr>
          <w:rFonts w:hint="eastAsia"/>
          <w:highlight w:val="none"/>
        </w:rPr>
        <w:t>规划期限：规划基准年为2019年，规划近期2021-2025年；规划远期2026-2035年。</w:t>
      </w:r>
    </w:p>
    <w:p w14:paraId="0C191040">
      <w:pPr>
        <w:bidi w:val="0"/>
        <w:rPr>
          <w:rFonts w:hint="eastAsia"/>
          <w:highlight w:val="none"/>
        </w:rPr>
      </w:pPr>
      <w:r>
        <w:rPr>
          <w:rFonts w:hint="default"/>
          <w:highlight w:val="none"/>
          <w:lang w:val="en-US" w:eastAsia="zh-CN"/>
        </w:rPr>
        <w:t>③</w:t>
      </w:r>
      <w:r>
        <w:rPr>
          <w:rFonts w:hint="eastAsia"/>
          <w:highlight w:val="none"/>
        </w:rPr>
        <w:t>规划对象：对规划范围内产生的生活垃圾、餐厨垃圾、建筑垃圾、危险废物、一般工业固体废物共五项固体废物进行研究，并规划处理处置及资源化处理设施的布局等。</w:t>
      </w:r>
    </w:p>
    <w:p w14:paraId="404C1E3D">
      <w:pPr>
        <w:bidi w:val="0"/>
        <w:rPr>
          <w:rFonts w:hint="eastAsia"/>
          <w:highlight w:val="none"/>
        </w:rPr>
      </w:pPr>
      <w:r>
        <w:rPr>
          <w:rFonts w:hint="eastAsia"/>
          <w:highlight w:val="none"/>
          <w:lang w:val="en-US" w:eastAsia="zh-CN"/>
        </w:rPr>
        <w:t>（2）</w:t>
      </w:r>
      <w:r>
        <w:rPr>
          <w:rFonts w:hint="eastAsia"/>
          <w:highlight w:val="none"/>
        </w:rPr>
        <w:t>危险废物规划</w:t>
      </w:r>
    </w:p>
    <w:p w14:paraId="3A7F9D71">
      <w:pPr>
        <w:bidi w:val="0"/>
        <w:rPr>
          <w:rFonts w:hint="eastAsia"/>
          <w:highlight w:val="none"/>
        </w:rPr>
      </w:pPr>
      <w:r>
        <w:rPr>
          <w:rFonts w:hint="eastAsia"/>
          <w:highlight w:val="none"/>
        </w:rPr>
        <w:t>总体目标∶全市建立起较为完善的危险废物收集、贮存、运输、利用和处置体系，危险废物利用处置设施布局趋于合理，危险废物规范化管理水平、环境监管能力明显提升，全面实现全市危险废物的安全利用和处置。</w:t>
      </w:r>
    </w:p>
    <w:p w14:paraId="572BE9E7">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highlight w:val="none"/>
        </w:rPr>
      </w:pPr>
      <w:r>
        <w:rPr>
          <w:rFonts w:hint="eastAsia"/>
          <w:highlight w:val="none"/>
        </w:rPr>
        <w:t>规划近期（2021-2025年）∶危险废物安全贮存、处置、利用率达到92%；</w:t>
      </w:r>
    </w:p>
    <w:p w14:paraId="533CD4DF">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highlight w:val="none"/>
        </w:rPr>
      </w:pPr>
      <w:r>
        <w:rPr>
          <w:rFonts w:hint="eastAsia"/>
          <w:highlight w:val="none"/>
        </w:rPr>
        <w:t>规划远期（2026-2035年）：根据哈尔滨市产业规模及产废情况，新增与之相适应的处置能力，危险废物安全贮存、处置、利用率达到95%。</w:t>
      </w:r>
    </w:p>
    <w:p w14:paraId="405C40FD">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b/>
          <w:bCs/>
          <w:highlight w:val="none"/>
        </w:rPr>
      </w:pPr>
      <w:r>
        <w:rPr>
          <w:rFonts w:hint="eastAsia"/>
          <w:b/>
          <w:bCs/>
          <w:highlight w:val="none"/>
        </w:rPr>
        <w:t>审查意见如下：</w:t>
      </w:r>
    </w:p>
    <w:p w14:paraId="225109C5">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highlight w:val="none"/>
        </w:rPr>
      </w:pPr>
      <w:r>
        <w:rPr>
          <w:rFonts w:hint="eastAsia"/>
          <w:highlight w:val="none"/>
          <w:lang w:val="en-US" w:eastAsia="zh-CN"/>
        </w:rPr>
        <w:t>（1）</w:t>
      </w:r>
      <w:r>
        <w:rPr>
          <w:rFonts w:hint="eastAsia"/>
          <w:highlight w:val="none"/>
        </w:rPr>
        <w:t>规划范围、期限及对象</w:t>
      </w:r>
    </w:p>
    <w:p w14:paraId="76B1B450">
      <w:pPr>
        <w:bidi w:val="0"/>
        <w:rPr>
          <w:rFonts w:hint="eastAsia"/>
          <w:highlight w:val="none"/>
        </w:rPr>
      </w:pPr>
      <w:bookmarkStart w:id="92" w:name="_Toc12445"/>
      <w:r>
        <w:rPr>
          <w:rFonts w:hint="default"/>
          <w:highlight w:val="none"/>
          <w:lang w:val="en-US" w:eastAsia="zh-CN"/>
        </w:rPr>
        <w:t>①</w:t>
      </w:r>
      <w:r>
        <w:rPr>
          <w:rFonts w:hint="eastAsia"/>
          <w:highlight w:val="none"/>
        </w:rPr>
        <w:t>规划范围</w:t>
      </w:r>
      <w:bookmarkEnd w:id="92"/>
    </w:p>
    <w:p w14:paraId="147946E1">
      <w:pPr>
        <w:bidi w:val="0"/>
        <w:rPr>
          <w:rFonts w:hint="eastAsia"/>
          <w:highlight w:val="none"/>
        </w:rPr>
      </w:pPr>
      <w:r>
        <w:rPr>
          <w:rFonts w:hint="eastAsia"/>
          <w:highlight w:val="none"/>
        </w:rPr>
        <w:t>规划范围为哈尔滨市城市规划区，规划面积758km</w:t>
      </w:r>
      <w:r>
        <w:rPr>
          <w:rFonts w:hint="eastAsia"/>
          <w:highlight w:val="none"/>
          <w:vertAlign w:val="superscript"/>
        </w:rPr>
        <w:t>2</w:t>
      </w:r>
      <w:r>
        <w:rPr>
          <w:rFonts w:hint="eastAsia"/>
          <w:highlight w:val="none"/>
        </w:rPr>
        <w:t>，规划研究区域为哈尔滨市所辖行政区范围，总规划面积5.31万km</w:t>
      </w:r>
      <w:r>
        <w:rPr>
          <w:rFonts w:hint="eastAsia"/>
          <w:highlight w:val="none"/>
          <w:vertAlign w:val="superscript"/>
        </w:rPr>
        <w:t>2</w:t>
      </w:r>
      <w:r>
        <w:rPr>
          <w:rFonts w:hint="eastAsia"/>
          <w:highlight w:val="none"/>
        </w:rPr>
        <w:t>，包括九个市辖区和九县（市）：道里区、南岗区、道外区、香坊区、平房区、松北区、呼兰区、阿城区、双城区和依兰县、方正县、宾县、巴彦县、木兰县、通河县、延寿县、尚志市、五常市。</w:t>
      </w:r>
    </w:p>
    <w:p w14:paraId="4493A6B2">
      <w:pPr>
        <w:bidi w:val="0"/>
        <w:rPr>
          <w:rFonts w:hint="eastAsia"/>
          <w:highlight w:val="none"/>
        </w:rPr>
      </w:pPr>
      <w:bookmarkStart w:id="93" w:name="_Toc18645"/>
      <w:r>
        <w:rPr>
          <w:rFonts w:hint="default"/>
          <w:highlight w:val="none"/>
          <w:lang w:val="en-US" w:eastAsia="zh-CN"/>
        </w:rPr>
        <w:t>②</w:t>
      </w:r>
      <w:r>
        <w:rPr>
          <w:rFonts w:hint="eastAsia"/>
          <w:highlight w:val="none"/>
        </w:rPr>
        <w:t>规划期限</w:t>
      </w:r>
      <w:bookmarkEnd w:id="93"/>
    </w:p>
    <w:p w14:paraId="77002798">
      <w:pPr>
        <w:bidi w:val="0"/>
        <w:rPr>
          <w:rFonts w:hint="eastAsia"/>
          <w:highlight w:val="none"/>
        </w:rPr>
      </w:pPr>
      <w:r>
        <w:rPr>
          <w:rFonts w:hint="eastAsia"/>
          <w:highlight w:val="none"/>
        </w:rPr>
        <w:t>规划基准年为2019年，规划近期：2021-2025年；规划远期：2026-2035年。</w:t>
      </w:r>
    </w:p>
    <w:p w14:paraId="1D365887">
      <w:pPr>
        <w:bidi w:val="0"/>
        <w:rPr>
          <w:rFonts w:hint="eastAsia"/>
          <w:highlight w:val="none"/>
        </w:rPr>
      </w:pPr>
      <w:bookmarkStart w:id="94" w:name="_Toc26951"/>
      <w:r>
        <w:rPr>
          <w:rFonts w:hint="default"/>
          <w:highlight w:val="none"/>
          <w:lang w:val="en-US" w:eastAsia="zh-CN"/>
        </w:rPr>
        <w:t>③</w:t>
      </w:r>
      <w:r>
        <w:rPr>
          <w:rFonts w:hint="eastAsia"/>
          <w:highlight w:val="none"/>
        </w:rPr>
        <w:t>规划对象</w:t>
      </w:r>
      <w:bookmarkEnd w:id="94"/>
    </w:p>
    <w:p w14:paraId="72277247">
      <w:pPr>
        <w:bidi w:val="0"/>
        <w:rPr>
          <w:rFonts w:hint="eastAsia"/>
          <w:highlight w:val="none"/>
        </w:rPr>
      </w:pPr>
      <w:r>
        <w:rPr>
          <w:rFonts w:hint="eastAsia"/>
          <w:highlight w:val="none"/>
        </w:rPr>
        <w:t>对生活垃圾、餐厨垃圾、建筑垃圾、危险废物和一般工业固体废物共五项固体废物进行研究，并规划收运和处理处置及资源化处理设施布局等。</w:t>
      </w:r>
    </w:p>
    <w:p w14:paraId="7631CBB6">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highlight w:val="none"/>
        </w:rPr>
      </w:pPr>
      <w:bookmarkStart w:id="95" w:name="_Toc25549"/>
      <w:r>
        <w:rPr>
          <w:rFonts w:hint="eastAsia"/>
          <w:highlight w:val="none"/>
          <w:lang w:val="en-US" w:eastAsia="zh-CN"/>
        </w:rPr>
        <w:t>（2）</w:t>
      </w:r>
      <w:r>
        <w:rPr>
          <w:rFonts w:hint="eastAsia"/>
          <w:highlight w:val="none"/>
        </w:rPr>
        <w:t>规划修编情况</w:t>
      </w:r>
      <w:bookmarkEnd w:id="95"/>
    </w:p>
    <w:p w14:paraId="7B406504">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highlight w:val="none"/>
        </w:rPr>
      </w:pPr>
      <w:r>
        <w:rPr>
          <w:rFonts w:hint="eastAsia"/>
          <w:highlight w:val="none"/>
        </w:rPr>
        <w:t>主要新增了哈尔滨市化工产业园区危废处置中心项目，一次变压缩中转站、民主压缩中转站、沈家中转站，双城餐厨垃圾处理厂，道外、南岗、平房、阿城、双城、呼兰等6处建筑垃圾处理厂；取消了双琦焚烧厂扩建项目，永源镇建筑垃圾消纳场、双井镇建筑垃圾消纳场，南岗区三环路压缩中转站、呼兰区黄岗转运站。（其他修编内容具体见规划）。</w:t>
      </w:r>
    </w:p>
    <w:p w14:paraId="154F1D9D">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highlight w:val="none"/>
        </w:rPr>
      </w:pPr>
      <w:r>
        <w:rPr>
          <w:rFonts w:hint="eastAsia"/>
          <w:highlight w:val="none"/>
          <w:lang w:val="en-US" w:eastAsia="zh-CN"/>
        </w:rPr>
        <w:t>（3）</w:t>
      </w:r>
      <w:r>
        <w:rPr>
          <w:rFonts w:hint="eastAsia"/>
          <w:highlight w:val="none"/>
        </w:rPr>
        <w:t>《报告书》在环境质量现状调查与评价的基础上，识别了规划涉及的主要环境敏感目标，分析预测了规划实施对大气环境、水环境、声环境、土壤环境、固废环境及生态环境等影响，论证了规划的环境合理性、环境保护目标的可达性，分析了规划实施的环境协调性，开展了公众参与等工作，提出了规划的优化调整建议以及避免或减缓不良环境影响的对策措施。《报告书》基础资料较详实，对主要环境影响的预测分析结果基本合理，对公众意见采纳与否的说明合理，评价结论总体可信。</w:t>
      </w:r>
    </w:p>
    <w:p w14:paraId="39564F4D">
      <w:pPr>
        <w:bidi w:val="0"/>
        <w:rPr>
          <w:rFonts w:hint="eastAsia"/>
          <w:highlight w:val="none"/>
        </w:rPr>
      </w:pPr>
      <w:bookmarkStart w:id="96" w:name="_Toc23321"/>
      <w:r>
        <w:rPr>
          <w:rFonts w:hint="eastAsia"/>
          <w:highlight w:val="none"/>
          <w:lang w:val="en-US" w:eastAsia="zh-CN"/>
        </w:rPr>
        <w:t>（4）</w:t>
      </w:r>
      <w:r>
        <w:rPr>
          <w:rFonts w:hint="eastAsia"/>
          <w:highlight w:val="none"/>
        </w:rPr>
        <w:t>规划实施过程需针对以下内容进行优化调整：</w:t>
      </w:r>
      <w:bookmarkEnd w:id="96"/>
    </w:p>
    <w:p w14:paraId="62D11C54">
      <w:pPr>
        <w:bidi w:val="0"/>
        <w:rPr>
          <w:rFonts w:hint="eastAsia"/>
          <w:highlight w:val="none"/>
        </w:rPr>
      </w:pPr>
      <w:r>
        <w:rPr>
          <w:rFonts w:hint="default"/>
          <w:highlight w:val="none"/>
          <w:lang w:val="en-US" w:eastAsia="zh-CN"/>
        </w:rPr>
        <w:t>①</w:t>
      </w:r>
      <w:r>
        <w:rPr>
          <w:rFonts w:hint="eastAsia"/>
          <w:highlight w:val="none"/>
        </w:rPr>
        <w:t>突出环境风险防范措施和应急响应体系建设，结合规划实施后可能产生的环境影响及存在的环境问题，做好已运行处置设施的环境风险隐患排查工作，并提出针对性整改措施和具体性治理方案。</w:t>
      </w:r>
    </w:p>
    <w:p w14:paraId="733E912E">
      <w:pPr>
        <w:bidi w:val="0"/>
        <w:rPr>
          <w:rFonts w:hint="eastAsia"/>
          <w:highlight w:val="none"/>
        </w:rPr>
      </w:pPr>
      <w:r>
        <w:rPr>
          <w:rFonts w:hint="default"/>
          <w:highlight w:val="none"/>
          <w:lang w:val="en-US" w:eastAsia="zh-CN"/>
        </w:rPr>
        <w:t>②</w:t>
      </w:r>
      <w:r>
        <w:rPr>
          <w:rFonts w:hint="eastAsia"/>
          <w:highlight w:val="none"/>
        </w:rPr>
        <w:t>合理确定危险废物治理规划，考虑以水泥窑协同处置等综合处置利用危险废物，合理确定危险废物焚烧及填埋方案，提升哈尔滨中西部危险废物处置能力。</w:t>
      </w:r>
    </w:p>
    <w:p w14:paraId="044B6D6B">
      <w:pPr>
        <w:bidi w:val="0"/>
        <w:rPr>
          <w:rFonts w:hint="eastAsia"/>
          <w:highlight w:val="none"/>
        </w:rPr>
      </w:pPr>
      <w:r>
        <w:rPr>
          <w:rFonts w:hint="default"/>
          <w:highlight w:val="none"/>
          <w:lang w:val="en-US" w:eastAsia="zh-CN"/>
        </w:rPr>
        <w:t>③</w:t>
      </w:r>
      <w:r>
        <w:rPr>
          <w:rFonts w:hint="eastAsia"/>
          <w:highlight w:val="none"/>
        </w:rPr>
        <w:t>进一步优化一般工业固体废物治理规划。</w:t>
      </w:r>
    </w:p>
    <w:p w14:paraId="1876D03F">
      <w:pPr>
        <w:bidi w:val="0"/>
        <w:rPr>
          <w:rFonts w:hint="eastAsia"/>
          <w:highlight w:val="none"/>
        </w:rPr>
      </w:pPr>
      <w:r>
        <w:rPr>
          <w:rFonts w:hint="eastAsia"/>
          <w:highlight w:val="none"/>
          <w:lang w:val="en-US" w:eastAsia="zh-CN"/>
        </w:rPr>
        <w:t>④</w:t>
      </w:r>
      <w:r>
        <w:rPr>
          <w:rFonts w:hint="eastAsia"/>
          <w:highlight w:val="none"/>
        </w:rPr>
        <w:t>推广完善垃圾分类管理体系，完善生活垃圾治理设施专项规划。</w:t>
      </w:r>
    </w:p>
    <w:p w14:paraId="342A222F">
      <w:pPr>
        <w:bidi w:val="0"/>
        <w:rPr>
          <w:rFonts w:hint="eastAsia"/>
          <w:highlight w:val="none"/>
        </w:rPr>
      </w:pPr>
      <w:r>
        <w:rPr>
          <w:rFonts w:hint="eastAsia"/>
          <w:highlight w:val="none"/>
          <w:lang w:val="en-US" w:eastAsia="zh-CN"/>
        </w:rPr>
        <w:t>⑤</w:t>
      </w:r>
      <w:r>
        <w:rPr>
          <w:rFonts w:hint="eastAsia"/>
          <w:highlight w:val="none"/>
        </w:rPr>
        <w:t>规划布局要严格遵守饮用水水源地保护区有关规定和要求，规划应充分考虑水资源承载能力。</w:t>
      </w:r>
    </w:p>
    <w:p w14:paraId="25134ADF">
      <w:pPr>
        <w:bidi w:val="0"/>
        <w:rPr>
          <w:rFonts w:hint="eastAsia"/>
          <w:highlight w:val="none"/>
        </w:rPr>
      </w:pPr>
      <w:r>
        <w:rPr>
          <w:rFonts w:hint="eastAsia"/>
          <w:highlight w:val="none"/>
        </w:rPr>
        <w:t>规划发生重大调整或修编时应重新进行环境影响评价。</w:t>
      </w:r>
    </w:p>
    <w:p w14:paraId="5F83C580">
      <w:pPr>
        <w:bidi w:val="0"/>
        <w:rPr>
          <w:rFonts w:hint="eastAsia"/>
          <w:highlight w:val="none"/>
        </w:rPr>
      </w:pPr>
      <w:r>
        <w:rPr>
          <w:rFonts w:hint="eastAsia"/>
          <w:highlight w:val="none"/>
          <w:lang w:val="en-US" w:eastAsia="zh-CN"/>
        </w:rPr>
        <w:t>（5）</w:t>
      </w:r>
      <w:r>
        <w:rPr>
          <w:rFonts w:hint="eastAsia"/>
          <w:highlight w:val="none"/>
        </w:rPr>
        <w:t>对规划包含的项目在开展环境影响评价时，与有关规划的协调性分析和环境质量现状方面的内容可以适当简化。</w:t>
      </w:r>
    </w:p>
    <w:p w14:paraId="6D05601F">
      <w:pPr>
        <w:bidi w:val="0"/>
        <w:rPr>
          <w:rFonts w:hint="eastAsia"/>
          <w:highlight w:val="none"/>
        </w:rPr>
      </w:pPr>
      <w:r>
        <w:rPr>
          <w:rFonts w:hint="eastAsia"/>
          <w:highlight w:val="none"/>
        </w:rPr>
        <w:t>符合性分析：</w:t>
      </w:r>
    </w:p>
    <w:p w14:paraId="637C92BB">
      <w:pPr>
        <w:keepNext w:val="0"/>
        <w:keepLines w:val="0"/>
        <w:pageBreakBefore w:val="0"/>
        <w:widowControl w:val="0"/>
        <w:kinsoku/>
        <w:wordWrap w:val="0"/>
        <w:overflowPunct/>
        <w:topLinePunct w:val="0"/>
        <w:autoSpaceDE/>
        <w:autoSpaceDN/>
        <w:bidi w:val="0"/>
        <w:adjustRightInd w:val="0"/>
        <w:snapToGrid w:val="0"/>
        <w:textAlignment w:val="auto"/>
        <w:outlineLvl w:val="9"/>
        <w:rPr>
          <w:rFonts w:hint="eastAsia"/>
          <w:highlight w:val="none"/>
        </w:rPr>
      </w:pPr>
      <w:r>
        <w:rPr>
          <w:rFonts w:hint="eastAsia"/>
          <w:highlight w:val="none"/>
        </w:rPr>
        <w:t>本项目为含油金属屑处理及锂电池回收储存项目，建成后有利于提高</w:t>
      </w:r>
      <w:r>
        <w:rPr>
          <w:rFonts w:hint="eastAsia"/>
          <w:highlight w:val="none"/>
          <w:lang w:val="en-US" w:eastAsia="zh-CN"/>
        </w:rPr>
        <w:t>企业</w:t>
      </w:r>
      <w:r>
        <w:rPr>
          <w:rFonts w:hint="eastAsia"/>
          <w:highlight w:val="none"/>
        </w:rPr>
        <w:t>废物安全贮存、利用率</w:t>
      </w:r>
      <w:r>
        <w:rPr>
          <w:rFonts w:hint="eastAsia"/>
          <w:highlight w:val="none"/>
          <w:lang w:eastAsia="zh-CN"/>
        </w:rPr>
        <w:t>，</w:t>
      </w:r>
      <w:r>
        <w:rPr>
          <w:rFonts w:hint="eastAsia"/>
          <w:highlight w:val="none"/>
          <w:lang w:val="en-US" w:eastAsia="zh-CN"/>
        </w:rPr>
        <w:t>减少企业废物排放</w:t>
      </w:r>
      <w:r>
        <w:rPr>
          <w:rFonts w:hint="eastAsia"/>
          <w:highlight w:val="none"/>
        </w:rPr>
        <w:t>。生产均在厂房内进行操作，收集</w:t>
      </w:r>
      <w:r>
        <w:rPr>
          <w:rFonts w:hint="eastAsia"/>
          <w:highlight w:val="none"/>
          <w:lang w:val="en-US" w:eastAsia="zh-CN"/>
        </w:rPr>
        <w:t>的含油金属屑、收集的锂电池及脱油金属屑分开</w:t>
      </w:r>
      <w:r>
        <w:rPr>
          <w:rFonts w:hint="eastAsia"/>
          <w:highlight w:val="none"/>
        </w:rPr>
        <w:t>储存于厂区</w:t>
      </w:r>
      <w:r>
        <w:rPr>
          <w:rFonts w:hint="eastAsia"/>
          <w:highlight w:val="none"/>
          <w:lang w:val="en-US" w:eastAsia="zh-CN"/>
        </w:rPr>
        <w:t>专用储存区</w:t>
      </w:r>
      <w:r>
        <w:rPr>
          <w:rFonts w:hint="eastAsia"/>
          <w:highlight w:val="none"/>
        </w:rPr>
        <w:t>，不混装。地面采取严格的防渗、防腐措施，</w:t>
      </w:r>
      <w:r>
        <w:rPr>
          <w:rFonts w:hint="eastAsia"/>
          <w:highlight w:val="none"/>
          <w:lang w:eastAsia="zh-CN"/>
        </w:rPr>
        <w:t>生产车间、</w:t>
      </w:r>
      <w:r>
        <w:rPr>
          <w:rFonts w:hint="eastAsia"/>
          <w:highlight w:val="none"/>
        </w:rPr>
        <w:t>危险废物贮存场所符合《危险废物贮存污染控制标准》（GB18597—2023）要求。</w:t>
      </w:r>
      <w:r>
        <w:rPr>
          <w:rFonts w:hint="eastAsia"/>
          <w:highlight w:val="none"/>
          <w:lang w:val="en-US" w:eastAsia="zh-CN"/>
        </w:rPr>
        <w:t>有利于达到规划近期、远期目标，符合</w:t>
      </w:r>
      <w:r>
        <w:rPr>
          <w:rFonts w:hint="eastAsia"/>
          <w:highlight w:val="none"/>
        </w:rPr>
        <w:t>《黑龙江省哈尔滨市城乡固体废物分类治理专项规划（2019-2035年）（修编）》及审查意见中相关要求。</w:t>
      </w:r>
    </w:p>
    <w:p w14:paraId="14CCB798">
      <w:pPr>
        <w:pStyle w:val="5"/>
        <w:bidi w:val="0"/>
        <w:rPr>
          <w:rFonts w:hint="eastAsia"/>
          <w:highlight w:val="none"/>
        </w:rPr>
      </w:pPr>
      <w:bookmarkStart w:id="97" w:name="_Toc23325"/>
      <w:bookmarkStart w:id="98" w:name="_Toc7062"/>
      <w:r>
        <w:rPr>
          <w:rFonts w:hint="eastAsia"/>
          <w:highlight w:val="none"/>
          <w:lang w:val="en-US" w:eastAsia="zh-CN"/>
        </w:rPr>
        <w:t>1.4.19</w:t>
      </w:r>
      <w:r>
        <w:rPr>
          <w:rFonts w:hint="eastAsia"/>
          <w:highlight w:val="none"/>
        </w:rPr>
        <w:t>与《哈尔滨市“十四五”生态环境保护规划》的符合性分析</w:t>
      </w:r>
      <w:bookmarkEnd w:id="97"/>
      <w:bookmarkEnd w:id="98"/>
    </w:p>
    <w:p w14:paraId="75A99C10">
      <w:pPr>
        <w:bidi w:val="0"/>
        <w:rPr>
          <w:rFonts w:hint="eastAsia"/>
          <w:highlight w:val="none"/>
        </w:rPr>
      </w:pPr>
      <w:r>
        <w:rPr>
          <w:rFonts w:hint="eastAsia"/>
          <w:highlight w:val="none"/>
        </w:rPr>
        <w:t>《哈尔滨市生态环境保护“十四五”规划》中</w:t>
      </w:r>
      <w:bookmarkStart w:id="99" w:name="_Toc75683209"/>
      <w:bookmarkStart w:id="100" w:name="_Toc75683219"/>
      <w:r>
        <w:rPr>
          <w:rFonts w:hint="eastAsia"/>
          <w:highlight w:val="none"/>
        </w:rPr>
        <w:t>第三章重点任务</w:t>
      </w:r>
      <w:bookmarkEnd w:id="99"/>
      <w:r>
        <w:rPr>
          <w:rFonts w:hint="eastAsia"/>
          <w:highlight w:val="none"/>
        </w:rPr>
        <w:t>，第三节强化污染防治</w:t>
      </w:r>
      <w:bookmarkEnd w:id="100"/>
      <w:bookmarkStart w:id="101" w:name="_Toc74566603"/>
      <w:r>
        <w:rPr>
          <w:rFonts w:hint="eastAsia"/>
          <w:highlight w:val="none"/>
        </w:rPr>
        <w:t>中要求：</w:t>
      </w:r>
    </w:p>
    <w:bookmarkEnd w:id="101"/>
    <w:p w14:paraId="17C00048">
      <w:pPr>
        <w:bidi w:val="0"/>
        <w:rPr>
          <w:rFonts w:hint="eastAsia"/>
          <w:highlight w:val="none"/>
        </w:rPr>
      </w:pPr>
      <w:r>
        <w:rPr>
          <w:rFonts w:hint="eastAsia"/>
          <w:highlight w:val="none"/>
        </w:rPr>
        <w:t>（二十六）推动清洁能源发展。大力发展太阳能、风能、氢能、天然气、生物质能等清洁能源，有序发展抽水蓄能，增加清洁电力比例。深入推进热源清洁化，优化城市燃煤热源布局，通过实施民主、华尔热源、生物质热电联产供热、气化龙江、余热取暖和10兆瓦污水源热泵等项目，新增供热5000万平方米。</w:t>
      </w:r>
    </w:p>
    <w:p w14:paraId="605A66FE">
      <w:pPr>
        <w:pStyle w:val="19"/>
        <w:keepNext w:val="0"/>
        <w:keepLines w:val="0"/>
        <w:pageBreakBefore w:val="0"/>
        <w:widowControl w:val="0"/>
        <w:kinsoku/>
        <w:wordWrap w:val="0"/>
        <w:overflowPunct/>
        <w:topLinePunct w:val="0"/>
        <w:autoSpaceDE/>
        <w:autoSpaceDN/>
        <w:bidi w:val="0"/>
        <w:adjustRightInd w:val="0"/>
        <w:snapToGrid w:val="0"/>
        <w:spacing w:after="0"/>
        <w:textAlignment w:val="auto"/>
        <w:rPr>
          <w:rFonts w:hint="eastAsia" w:ascii="Times New Roman" w:hAnsi="Times New Roman" w:eastAsia="宋体" w:cs="Times New Roman"/>
          <w:kern w:val="2"/>
          <w:sz w:val="24"/>
          <w:szCs w:val="24"/>
          <w:highlight w:val="none"/>
          <w:lang w:val="en-US" w:eastAsia="zh-CN" w:bidi="ar-SA"/>
        </w:rPr>
      </w:pPr>
      <w:r>
        <w:rPr>
          <w:rFonts w:hint="eastAsia"/>
          <w:highlight w:val="none"/>
        </w:rPr>
        <w:t>（</w:t>
      </w:r>
      <w:r>
        <w:rPr>
          <w:rFonts w:hint="eastAsia" w:ascii="Times New Roman" w:hAnsi="Times New Roman" w:eastAsia="宋体" w:cs="Times New Roman"/>
          <w:kern w:val="2"/>
          <w:sz w:val="24"/>
          <w:szCs w:val="24"/>
          <w:highlight w:val="none"/>
          <w:lang w:val="en-US" w:eastAsia="zh-CN" w:bidi="ar-SA"/>
        </w:rPr>
        <w:t>四十五</w:t>
      </w:r>
      <w:r>
        <w:rPr>
          <w:rFonts w:hint="eastAsia"/>
          <w:highlight w:val="none"/>
        </w:rPr>
        <w:t>）</w:t>
      </w:r>
      <w:r>
        <w:rPr>
          <w:rFonts w:hint="eastAsia" w:ascii="Times New Roman" w:hAnsi="Times New Roman" w:eastAsia="宋体" w:cs="Times New Roman"/>
          <w:kern w:val="2"/>
          <w:sz w:val="24"/>
          <w:szCs w:val="24"/>
          <w:highlight w:val="none"/>
          <w:lang w:val="en-US" w:eastAsia="zh-CN" w:bidi="ar-SA"/>
        </w:rPr>
        <w:t>长效推进工业污染防治。严格排污许可证管理，全面规范环评、总量、事中事后管理等污染防治行为，监管工业废水处理设施稳定达标运行。强化工业园区规划环评，按照功能定位严格项目准入，鼓励园区废水达到预处理标准进入城镇污水处理厂深度处理或回用。实施工业企业分类整治，符合搬迁条件的分批分类迁入工业园区，符合原址改造条件的进行技术升级产业转型，废水达到行业排放标准后进入城镇污水处理厂处理:依法关停或取缔产能落后、散乱污、综合治理不达标、严重环境违法企业。</w:t>
      </w:r>
    </w:p>
    <w:p w14:paraId="2168221B">
      <w:pPr>
        <w:keepNext w:val="0"/>
        <w:keepLines w:val="0"/>
        <w:pageBreakBefore w:val="0"/>
        <w:widowControl w:val="0"/>
        <w:kinsoku/>
        <w:wordWrap w:val="0"/>
        <w:overflowPunct/>
        <w:topLinePunct w:val="0"/>
        <w:autoSpaceDE/>
        <w:autoSpaceDN/>
        <w:bidi w:val="0"/>
        <w:adjustRightInd w:val="0"/>
        <w:snapToGrid w:val="0"/>
        <w:textAlignment w:val="auto"/>
        <w:rPr>
          <w:rFonts w:hint="eastAsia"/>
          <w:highlight w:val="none"/>
        </w:rPr>
      </w:pPr>
      <w:r>
        <w:rPr>
          <w:rFonts w:hint="eastAsia" w:ascii="Times New Roman" w:hAnsi="Times New Roman" w:eastAsia="宋体" w:cs="Times New Roman"/>
          <w:kern w:val="2"/>
          <w:sz w:val="24"/>
          <w:szCs w:val="24"/>
          <w:highlight w:val="none"/>
          <w:lang w:val="en-US" w:eastAsia="zh-CN" w:bidi="ar-SA"/>
        </w:rPr>
        <w:t>（五十七）加强固体废物源头减量和资源化利用</w:t>
      </w:r>
      <w:r>
        <w:rPr>
          <w:rFonts w:hint="eastAsia"/>
          <w:highlight w:val="none"/>
        </w:rPr>
        <w:t>。结合自然生态修复、发展循环经济，探索固体废物资源利用新途径，鼓励采用先进技术和工艺减少固体废物产生量，逐年减少粉煤灰、煤矸石、尾矿、炉渣堆存量。有效控制和减少固体废物环境影响与危害。持续开展工业固体废物堆存场所整治，遏制工业废物非法倾倒和堆存现象。完善固体废物信息化管理系统，提高管理水平。</w:t>
      </w:r>
    </w:p>
    <w:p w14:paraId="37AC0E5F">
      <w:pPr>
        <w:bidi w:val="0"/>
        <w:rPr>
          <w:rFonts w:hint="eastAsia"/>
          <w:highlight w:val="none"/>
          <w:lang w:eastAsia="zh-CN"/>
        </w:rPr>
      </w:pPr>
      <w:r>
        <w:rPr>
          <w:rFonts w:hint="eastAsia"/>
          <w:highlight w:val="none"/>
        </w:rPr>
        <w:t>符合性分析：本项目为含油金属屑处理及锂电池回收储存项目，</w:t>
      </w:r>
      <w:r>
        <w:rPr>
          <w:rFonts w:hint="eastAsia"/>
          <w:highlight w:val="none"/>
          <w:lang w:val="en-US" w:eastAsia="zh-CN"/>
        </w:rPr>
        <w:t>不属于落后产能，企业使用电动设备进行生产，冬季为电取暖</w:t>
      </w:r>
      <w:r>
        <w:rPr>
          <w:rFonts w:hint="eastAsia"/>
          <w:highlight w:val="none"/>
          <w:lang w:eastAsia="zh-CN"/>
        </w:rPr>
        <w:t>；</w:t>
      </w:r>
      <w:r>
        <w:rPr>
          <w:rFonts w:hint="default"/>
          <w:highlight w:val="none"/>
        </w:rPr>
        <w:t>生产产生的油雾、挥发性有机物（以非甲烷总烃计）、颗粒物及臭气浓度通过油雾净化装置+活性炭吸附装置处理后由1根新建15m排气筒排放；贮存产生的挥发性有机物（以非甲烷总烃计）通活性炭吸附装置处理后由1根新建15m排气筒排放；本项目不产生生产废水</w:t>
      </w:r>
      <w:r>
        <w:rPr>
          <w:rFonts w:hint="eastAsia"/>
          <w:highlight w:val="none"/>
          <w:lang w:eastAsia="zh-CN"/>
        </w:rPr>
        <w:t>，生活污水经防渗旱厕收集后，定期清掏外运堆肥</w:t>
      </w:r>
      <w:r>
        <w:rPr>
          <w:rFonts w:hint="eastAsia"/>
          <w:highlight w:val="none"/>
          <w:lang w:val="en-US" w:eastAsia="zh-CN"/>
        </w:rPr>
        <w:t>；</w:t>
      </w:r>
      <w:r>
        <w:rPr>
          <w:rFonts w:hint="eastAsia"/>
          <w:highlight w:val="none"/>
        </w:rPr>
        <w:t>项目投产后</w:t>
      </w:r>
      <w:r>
        <w:rPr>
          <w:rFonts w:hint="eastAsia"/>
          <w:highlight w:val="none"/>
          <w:lang w:eastAsia="zh-CN"/>
        </w:rPr>
        <w:t>周边</w:t>
      </w:r>
      <w:r>
        <w:rPr>
          <w:rFonts w:hint="eastAsia"/>
          <w:highlight w:val="none"/>
        </w:rPr>
        <w:t>企业产生的</w:t>
      </w:r>
      <w:r>
        <w:rPr>
          <w:rFonts w:hint="eastAsia"/>
          <w:highlight w:val="none"/>
          <w:lang w:val="en-US" w:eastAsia="zh-CN"/>
        </w:rPr>
        <w:t>含油金属屑、锂电池</w:t>
      </w:r>
      <w:r>
        <w:rPr>
          <w:rFonts w:hint="eastAsia"/>
          <w:highlight w:val="none"/>
        </w:rPr>
        <w:t>得到集中、妥善处理，城市环境将会得到较好的改善，实现废物处理的“无害化”、“资源化”、“减量化”。同时，大大减少了</w:t>
      </w:r>
      <w:r>
        <w:rPr>
          <w:rFonts w:hint="eastAsia"/>
          <w:highlight w:val="none"/>
          <w:lang w:val="en-US" w:eastAsia="zh-CN"/>
        </w:rPr>
        <w:t>排放的</w:t>
      </w:r>
      <w:r>
        <w:rPr>
          <w:rFonts w:hint="eastAsia"/>
          <w:highlight w:val="none"/>
        </w:rPr>
        <w:t>废物数量，减缓了废物对宝贵土地资源的侵占速度。综上所述，本项目使用清洁能源进行生产，推动了固体废物的减量化和资源化利用，符合《哈尔滨市“十四五生态环境保护规划”》中要求</w:t>
      </w:r>
      <w:r>
        <w:rPr>
          <w:rFonts w:hint="eastAsia"/>
          <w:highlight w:val="none"/>
          <w:lang w:eastAsia="zh-CN"/>
        </w:rPr>
        <w:t>。</w:t>
      </w:r>
    </w:p>
    <w:p w14:paraId="20EF8EC7">
      <w:pPr>
        <w:pStyle w:val="5"/>
        <w:bidi w:val="0"/>
        <w:rPr>
          <w:rFonts w:hint="eastAsia"/>
          <w:highlight w:val="none"/>
        </w:rPr>
      </w:pPr>
      <w:bookmarkStart w:id="102" w:name="_Toc7044"/>
      <w:bookmarkStart w:id="103" w:name="_Toc4025"/>
      <w:r>
        <w:rPr>
          <w:rFonts w:hint="eastAsia"/>
          <w:highlight w:val="none"/>
          <w:lang w:val="en-US" w:eastAsia="zh-CN"/>
        </w:rPr>
        <w:t>1.4.20</w:t>
      </w:r>
      <w:r>
        <w:rPr>
          <w:rFonts w:hint="eastAsia"/>
          <w:highlight w:val="none"/>
        </w:rPr>
        <w:t>与《哈尔滨市大气环境质量限期达标规划（2020-2027）》（哈环发[2021]23号）符合性分析</w:t>
      </w:r>
      <w:bookmarkEnd w:id="102"/>
      <w:bookmarkEnd w:id="103"/>
    </w:p>
    <w:p w14:paraId="770E1B0D">
      <w:pPr>
        <w:bidi w:val="0"/>
        <w:rPr>
          <w:rFonts w:hint="eastAsia" w:eastAsia="宋体"/>
          <w:highlight w:val="none"/>
          <w:lang w:eastAsia="zh-CN"/>
        </w:rPr>
      </w:pPr>
      <w:r>
        <w:rPr>
          <w:rFonts w:hint="eastAsia"/>
          <w:highlight w:val="none"/>
        </w:rPr>
        <w:t>哈尔滨市大气环境质量限期达标规划（2020-2027）》</w:t>
      </w:r>
      <w:r>
        <w:rPr>
          <w:rFonts w:hint="eastAsia"/>
          <w:highlight w:val="none"/>
          <w:lang w:val="en-US" w:eastAsia="zh-CN"/>
        </w:rPr>
        <w:t>中要求：</w:t>
      </w:r>
      <w:r>
        <w:rPr>
          <w:rFonts w:hint="eastAsia"/>
          <w:color w:val="000000" w:themeColor="text1"/>
          <w:highlight w:val="none"/>
          <w14:textFill>
            <w14:solidFill>
              <w14:schemeClr w14:val="tx1"/>
            </w14:solidFill>
          </w14:textFill>
        </w:rPr>
        <w:t>“1、推动能源清洁化发展。以碳达峰碳中和为契机，推动能源结构绿色低碳转型，推动非化石能源和天然气为能源消费增量主体。大力发展太阳能、风能、氢能、生物质能等清洁能源，有序发展抽水蓄能和新型储能规模化应用，坚持“增气减煤”同步，天然气供应优先保障居民生活和清洁取暖需求，增加清洁电力供给，提高电能占终端能源消费比重。到2025年，单位GDP能耗下降15%，非化石能源占一次能源消费比重达15%以上；天然气消费量20亿立方米以上，力争可再生能源电力装机占比超过30%，光伏装机容量增加200%，风电装机容量增加50%，加快建设清洁能源城市。”“5、稳步推进冬季清洁取暖。编制冬季清洁取暖实施方案，以保障城乡群众冬季安全取暖和节能减排为立足点，围绕城区、县城和农村“三大区域”，从热源侧和用户侧“两端着手”，热网、电网、气网“三网发力”，按照“宜电则电、宜气则气、宜热则热”的原则，实施集中供暖清洁热源建设和清洁能源改造；同步实施既有建筑节能改造，推动执行绿色建筑标准，加大建筑节能产品、装配式建筑技术、新型保温墙体材料等在建筑领域的应用。到2025年，城镇绿色建筑推广占新建民用建筑比例达到100%，装配式建筑占新建建筑比例达到30%。到2027年，</w:t>
      </w:r>
      <w:r>
        <w:rPr>
          <w:rFonts w:hint="eastAsia"/>
          <w:highlight w:val="none"/>
        </w:rPr>
        <w:t>城区、县城清洁取暖率达到100%，完全替代散煤取暖；农村地区达到70%以上。”</w:t>
      </w:r>
      <w:r>
        <w:rPr>
          <w:rFonts w:hint="eastAsia"/>
          <w:highlight w:val="none"/>
          <w:lang w:eastAsia="zh-CN"/>
        </w:rPr>
        <w:t>“</w:t>
      </w:r>
      <w:r>
        <w:rPr>
          <w:rFonts w:hint="eastAsia"/>
          <w:highlight w:val="none"/>
          <w:lang w:val="en-US" w:eastAsia="zh-CN"/>
        </w:rPr>
        <w:t>11、VOCs全过程综合整治。以完善“源头—过程—末端”治理模式、推进“一行一策”管理为主要导向，从源头结构调整、污染深度治理和全过程精细化管理。深化VOCs综合整治，推进臭氧协同控制。到2025年，挥发性有机物重点工程减排量1550吨以上。大力推进VOCs源头替代。工业涂装企业全面推行使用低VOCs含量原辅材料，引导技术（工艺）创新，促进源头减排。全面排查使用料、油墨、胶粘剂、涂层剂（树脂）、清洗剂等原辅材料的企业，按照“可替尽替、应代尽代”的原则，实施一批源头替代项目。到2025年，溶剂型工业涂料、油墨、胶粘剂等使用量下降比例达到国家要求。不断提高废气收集效率。在保证安全前提下，加强含VOCs物料全方位、全链条、全环节密闭管理，做好VOCs物料储存、转移和输送、设备与管线组件泄漏、敞开液面逸散以及工艺过程等无组织排放环节的管理。严格按照相关行业排放标准和《挥发性有机物无组织排放控制标准》要求开展泄漏检测与修复（LDAR）工作，到2025年，全面开展LDAR数字化管理。有效提高废气处理率。推动企业结合排放废气特征合理选择治理技术，对现有VOCs低效治理设施进行更换或升级改造，提高废气治理设施去除率。到2025年，石化行业的VOCs综合去除效率达到70%以上，化工、工业涂装、包装印刷、家具等行业的VOCs综合去除效率达到60%以上。逐步推动取消非必要的VOCs排放系统旁路，保留的旁路在非紧急情况下保持关闭并加强监管。加强油品储运销和汽修行业VOCs治理。</w:t>
      </w:r>
      <w:r>
        <w:rPr>
          <w:rFonts w:hint="eastAsia"/>
          <w:highlight w:val="none"/>
          <w:lang w:eastAsia="zh-CN"/>
        </w:rPr>
        <w:t>”</w:t>
      </w:r>
    </w:p>
    <w:p w14:paraId="6567878C">
      <w:pPr>
        <w:bidi w:val="0"/>
        <w:rPr>
          <w:rFonts w:hint="eastAsia"/>
          <w:highlight w:val="none"/>
        </w:rPr>
      </w:pPr>
      <w:r>
        <w:rPr>
          <w:rFonts w:hint="eastAsia"/>
          <w:highlight w:val="none"/>
        </w:rPr>
        <w:t>符合性分析：：</w:t>
      </w:r>
      <w:r>
        <w:rPr>
          <w:rFonts w:hint="default"/>
          <w:highlight w:val="none"/>
        </w:rPr>
        <w:t>本项目生产车间废气收集后经油雾净化器+活性炭吸附装置处理后由15m高排气筒（DA001）排放，危险废物贮存库废气收集后经活性炭吸附装置处理后由15m高排气筒（DA00</w:t>
      </w:r>
      <w:r>
        <w:rPr>
          <w:rFonts w:hint="eastAsia"/>
          <w:highlight w:val="none"/>
          <w:lang w:val="en-US" w:eastAsia="zh-CN"/>
        </w:rPr>
        <w:t>2</w:t>
      </w:r>
      <w:r>
        <w:rPr>
          <w:rFonts w:hint="default"/>
          <w:highlight w:val="none"/>
        </w:rPr>
        <w:t>）排放；本项目废</w:t>
      </w:r>
      <w:r>
        <w:rPr>
          <w:rFonts w:hint="eastAsia"/>
          <w:highlight w:val="none"/>
          <w:lang w:val="en-US" w:eastAsia="zh-CN"/>
        </w:rPr>
        <w:t>液、废电解液和电池</w:t>
      </w:r>
      <w:r>
        <w:rPr>
          <w:rFonts w:hint="default"/>
          <w:highlight w:val="none"/>
        </w:rPr>
        <w:t>储存于密闭储</w:t>
      </w:r>
      <w:r>
        <w:rPr>
          <w:rFonts w:hint="eastAsia"/>
          <w:highlight w:val="none"/>
          <w:lang w:val="en-US" w:eastAsia="zh-CN"/>
        </w:rPr>
        <w:t>存桶内；废过滤材料及废活性炭袋装密封收集。</w:t>
      </w:r>
      <w:r>
        <w:rPr>
          <w:rFonts w:hint="eastAsia"/>
          <w:highlight w:val="none"/>
        </w:rPr>
        <w:t>本项目冬季供暖采用</w:t>
      </w:r>
      <w:r>
        <w:rPr>
          <w:rFonts w:hint="eastAsia"/>
          <w:highlight w:val="none"/>
          <w:lang w:val="en-US" w:eastAsia="zh-CN"/>
        </w:rPr>
        <w:t>电供暖</w:t>
      </w:r>
      <w:r>
        <w:rPr>
          <w:rFonts w:hint="eastAsia"/>
          <w:highlight w:val="none"/>
        </w:rPr>
        <w:t>，生产设备均为电控设备，不会对大气环境质量现状造成不良影响</w:t>
      </w:r>
      <w:r>
        <w:rPr>
          <w:rFonts w:hint="eastAsia"/>
          <w:highlight w:val="none"/>
          <w:lang w:val="en-US" w:eastAsia="zh-CN"/>
        </w:rPr>
        <w:t>，</w:t>
      </w:r>
      <w:r>
        <w:rPr>
          <w:rFonts w:hint="eastAsia"/>
          <w:highlight w:val="none"/>
        </w:rPr>
        <w:t>符合《哈尔滨市大气环境质量限期达标规划（2020-2027）》中所规定要求。</w:t>
      </w:r>
    </w:p>
    <w:p w14:paraId="74F906F6">
      <w:pPr>
        <w:pStyle w:val="5"/>
        <w:bidi w:val="0"/>
        <w:rPr>
          <w:rFonts w:hint="eastAsia"/>
          <w:highlight w:val="none"/>
          <w:lang w:val="en-US" w:eastAsia="zh-CN"/>
        </w:rPr>
      </w:pPr>
      <w:r>
        <w:rPr>
          <w:rFonts w:hint="eastAsia"/>
          <w:highlight w:val="none"/>
          <w:lang w:val="en-US" w:eastAsia="zh-CN"/>
        </w:rPr>
        <w:t>1.4.21与《关于提升危险废物环境监管能力、利用处置能力和环境风险防范能力的指导意见》符合性分析</w:t>
      </w:r>
    </w:p>
    <w:p w14:paraId="5F9F11C6">
      <w:pPr>
        <w:bidi w:val="0"/>
        <w:rPr>
          <w:rFonts w:hint="eastAsia"/>
          <w:highlight w:val="none"/>
          <w:lang w:val="en-US" w:eastAsia="zh-CN"/>
        </w:rPr>
      </w:pPr>
      <w:r>
        <w:rPr>
          <w:rFonts w:hint="eastAsia"/>
          <w:highlight w:val="none"/>
          <w:lang w:val="en-US" w:eastAsia="zh-CN"/>
        </w:rPr>
        <w:t>根据《关于提升危险废物环境监管能力、利用处置能力和环境风险防范能力的指导意见》中：“（七）促进危险废物源头减量与资源化利用。企业应采取清洁生产等措施，从源头减少危险废物的产生量和危害性，优先实行企业内部资源化利用危险废物。鼓励有条件的地区结合本地实际情况制定危险废物资源化利用污染控制标准或技术规范。鼓励省级生态环境部门在环境风险可控前提下，探索开展危险废物</w:t>
      </w:r>
      <w:r>
        <w:rPr>
          <w:rFonts w:hint="default"/>
          <w:highlight w:val="none"/>
          <w:lang w:val="en-US" w:eastAsia="zh-CN"/>
        </w:rPr>
        <w:t>“</w:t>
      </w:r>
      <w:r>
        <w:rPr>
          <w:rFonts w:hint="eastAsia"/>
          <w:highlight w:val="none"/>
          <w:lang w:val="en-US" w:eastAsia="zh-CN"/>
        </w:rPr>
        <w:t>点对点</w:t>
      </w:r>
      <w:r>
        <w:rPr>
          <w:rFonts w:hint="default"/>
          <w:highlight w:val="none"/>
          <w:lang w:val="en-US" w:eastAsia="zh-CN"/>
        </w:rPr>
        <w:t>”</w:t>
      </w:r>
      <w:r>
        <w:rPr>
          <w:rFonts w:hint="eastAsia"/>
          <w:highlight w:val="none"/>
          <w:lang w:val="en-US" w:eastAsia="zh-CN"/>
        </w:rPr>
        <w:t>定向利用的危险废物经营许可豁免管理试点。”</w:t>
      </w:r>
    </w:p>
    <w:p w14:paraId="3BDF2BAB">
      <w:pPr>
        <w:bidi w:val="0"/>
        <w:rPr>
          <w:rFonts w:hint="default" w:cs="Times New Roman"/>
          <w:kern w:val="2"/>
          <w:sz w:val="24"/>
          <w:szCs w:val="24"/>
          <w:highlight w:val="none"/>
          <w:lang w:val="en-US" w:eastAsia="zh-CN" w:bidi="ar"/>
        </w:rPr>
      </w:pPr>
      <w:r>
        <w:rPr>
          <w:rFonts w:hint="eastAsia"/>
          <w:highlight w:val="none"/>
          <w:lang w:val="en-US" w:eastAsia="zh-CN"/>
        </w:rPr>
        <w:t>符合性分析：</w:t>
      </w:r>
      <w:r>
        <w:rPr>
          <w:rFonts w:hint="eastAsia" w:cs="Times New Roman"/>
          <w:kern w:val="2"/>
          <w:sz w:val="24"/>
          <w:szCs w:val="24"/>
          <w:highlight w:val="none"/>
          <w:lang w:val="en-US" w:eastAsia="zh-CN" w:bidi="ar"/>
        </w:rPr>
        <w:t>本项目建成后可有效</w:t>
      </w:r>
      <w:r>
        <w:rPr>
          <w:rFonts w:hint="eastAsia"/>
          <w:highlight w:val="none"/>
          <w:lang w:val="en-US" w:eastAsia="zh-CN"/>
        </w:rPr>
        <w:t>促进危险废物源头减量与资源化利用</w:t>
      </w:r>
      <w:r>
        <w:rPr>
          <w:rFonts w:hint="eastAsia" w:cs="Times New Roman"/>
          <w:kern w:val="2"/>
          <w:sz w:val="24"/>
          <w:szCs w:val="24"/>
          <w:highlight w:val="none"/>
          <w:lang w:val="en-US" w:eastAsia="zh-CN" w:bidi="ar"/>
        </w:rPr>
        <w:t>，对环境的保护非常有利，本项目脱油金属屑</w:t>
      </w:r>
      <w:r>
        <w:rPr>
          <w:rFonts w:hint="eastAsia"/>
          <w:highlight w:val="none"/>
          <w:lang w:val="en-US" w:eastAsia="zh-CN"/>
        </w:rPr>
        <w:t>开展危险废物</w:t>
      </w:r>
      <w:r>
        <w:rPr>
          <w:rFonts w:hint="default"/>
          <w:highlight w:val="none"/>
          <w:lang w:val="en-US" w:eastAsia="zh-CN"/>
        </w:rPr>
        <w:t>“</w:t>
      </w:r>
      <w:r>
        <w:rPr>
          <w:rFonts w:hint="eastAsia"/>
          <w:highlight w:val="none"/>
          <w:lang w:val="en-US" w:eastAsia="zh-CN"/>
        </w:rPr>
        <w:t>点对点</w:t>
      </w:r>
      <w:r>
        <w:rPr>
          <w:rFonts w:hint="default"/>
          <w:highlight w:val="none"/>
          <w:lang w:val="en-US" w:eastAsia="zh-CN"/>
        </w:rPr>
        <w:t>”</w:t>
      </w:r>
      <w:r>
        <w:rPr>
          <w:rFonts w:hint="eastAsia"/>
          <w:highlight w:val="none"/>
          <w:lang w:val="en-US" w:eastAsia="zh-CN"/>
        </w:rPr>
        <w:t>定向利用，与具有危险废物经营许可豁免管理试点单位签订金属屑回收协议</w:t>
      </w:r>
      <w:r>
        <w:rPr>
          <w:rFonts w:hint="eastAsia" w:cs="Times New Roman"/>
          <w:kern w:val="2"/>
          <w:sz w:val="24"/>
          <w:szCs w:val="24"/>
          <w:highlight w:val="none"/>
          <w:lang w:val="en-US" w:eastAsia="zh-CN" w:bidi="ar"/>
        </w:rPr>
        <w:t>。因此，本项目符合相关要求。</w:t>
      </w:r>
    </w:p>
    <w:p w14:paraId="2489EE0D">
      <w:pPr>
        <w:pStyle w:val="5"/>
        <w:bidi w:val="0"/>
        <w:rPr>
          <w:rFonts w:hint="eastAsia"/>
          <w:highlight w:val="none"/>
          <w:lang w:val="en-US" w:eastAsia="zh-CN"/>
        </w:rPr>
      </w:pPr>
      <w:r>
        <w:rPr>
          <w:rFonts w:hint="eastAsia"/>
          <w:highlight w:val="none"/>
          <w:lang w:val="en-US" w:eastAsia="zh-CN"/>
        </w:rPr>
        <w:t>1.4.23与《</w:t>
      </w:r>
      <w:r>
        <w:rPr>
          <w:highlight w:val="none"/>
          <w:lang w:val="en-US" w:eastAsia="zh-CN"/>
        </w:rPr>
        <w:t>黑龙江省固体废物污染环境防治条例</w:t>
      </w:r>
      <w:r>
        <w:rPr>
          <w:rFonts w:hint="eastAsia"/>
          <w:highlight w:val="none"/>
          <w:lang w:val="en-US" w:eastAsia="zh-CN"/>
        </w:rPr>
        <w:t>》符合性分析</w:t>
      </w:r>
    </w:p>
    <w:p w14:paraId="42F5F377">
      <w:pPr>
        <w:bidi w:val="0"/>
        <w:rPr>
          <w:highlight w:val="none"/>
        </w:rPr>
      </w:pPr>
      <w:r>
        <w:rPr>
          <w:rFonts w:hint="eastAsia"/>
          <w:highlight w:val="none"/>
          <w:lang w:val="en-US" w:eastAsia="zh-CN"/>
        </w:rPr>
        <w:t>根据《</w:t>
      </w:r>
      <w:r>
        <w:rPr>
          <w:highlight w:val="none"/>
          <w:lang w:val="en-US" w:eastAsia="zh-CN"/>
        </w:rPr>
        <w:t>黑龙江省固体废物污染环境防治条例</w:t>
      </w:r>
      <w:r>
        <w:rPr>
          <w:rFonts w:hint="eastAsia"/>
          <w:highlight w:val="none"/>
          <w:lang w:val="en-US" w:eastAsia="zh-CN"/>
        </w:rPr>
        <w:t>》中：“第十条 建设产生、贮存、利用、处置固体废物的项目，应当符合生态环境分区管控要求，依法进行环境影响评价，并遵守国家有关建设项目环境保护管理的规定。”、“第十八条 产生工业固体废物的单位应当取得排污许可证；向所在地生态环境主管部门提供工业固体废物的种类、数量、流向、贮存、利用、处置等有关资料，以及减少工业固体废物产生、促进综合利用的具体措施，并执行排污许可管理制度的相关规定。 ”、“第二十六条 产生危险废物的单位，应当按照国家有关规定制定危险废物管理计划，通过国家固体废物管理信息系统向所在地生态环境主管部门备案。危险废物管理计划调整的，产生危险废物的单位应当及时备案。”、“第二十七条 从事收集、贮存、利用、处置危险废物经营活动的单位，应当按照国家有关规定贮存危险废物，贮存期限不得超过一年；确需延长期限的，应当依法报批；法律、行政法规另有规定的除外。 ”、“第二十八条 危险废物转移管理应当全程管控、提高效率，通过国家固体废物管理信息系统实现信息化管理。”</w:t>
      </w:r>
    </w:p>
    <w:p w14:paraId="02BDC6D1">
      <w:pPr>
        <w:bidi w:val="0"/>
        <w:rPr>
          <w:rFonts w:hint="default" w:cs="Times New Roman"/>
          <w:kern w:val="2"/>
          <w:sz w:val="24"/>
          <w:szCs w:val="24"/>
          <w:highlight w:val="none"/>
          <w:lang w:val="en-US" w:eastAsia="zh-CN" w:bidi="ar"/>
        </w:rPr>
      </w:pPr>
      <w:r>
        <w:rPr>
          <w:rFonts w:hint="eastAsia"/>
          <w:highlight w:val="none"/>
          <w:lang w:val="en-US" w:eastAsia="zh-CN"/>
        </w:rPr>
        <w:t>符合性分析：</w:t>
      </w:r>
      <w:r>
        <w:rPr>
          <w:rFonts w:hint="eastAsia" w:cs="Times New Roman"/>
          <w:kern w:val="2"/>
          <w:sz w:val="24"/>
          <w:szCs w:val="24"/>
          <w:highlight w:val="none"/>
          <w:lang w:val="en-US" w:eastAsia="zh-CN" w:bidi="ar"/>
        </w:rPr>
        <w:t>本项目符合</w:t>
      </w:r>
      <w:r>
        <w:rPr>
          <w:rFonts w:hint="eastAsia"/>
          <w:highlight w:val="none"/>
          <w:lang w:val="en-US" w:eastAsia="zh-CN"/>
        </w:rPr>
        <w:t>生态环境分区管控要求，本次依法进行环境影响评价，企业将按规定取得排污许可证并执行排污许可管理制度的相关规定</w:t>
      </w:r>
      <w:r>
        <w:rPr>
          <w:rFonts w:hint="eastAsia" w:cs="Times New Roman"/>
          <w:kern w:val="2"/>
          <w:sz w:val="24"/>
          <w:szCs w:val="24"/>
          <w:highlight w:val="none"/>
          <w:lang w:val="en-US" w:eastAsia="zh-CN" w:bidi="ar"/>
        </w:rPr>
        <w:t>。企业已制定危险废物管理计划，按要求填报</w:t>
      </w:r>
      <w:r>
        <w:rPr>
          <w:rFonts w:hint="eastAsia"/>
          <w:highlight w:val="none"/>
          <w:lang w:val="en-US" w:eastAsia="zh-CN"/>
        </w:rPr>
        <w:t>国家固体废物管理信息系统，</w:t>
      </w:r>
      <w:r>
        <w:rPr>
          <w:rFonts w:hint="eastAsia" w:cs="Times New Roman"/>
          <w:kern w:val="2"/>
          <w:sz w:val="24"/>
          <w:szCs w:val="24"/>
          <w:highlight w:val="none"/>
          <w:lang w:val="en-US" w:eastAsia="zh-CN" w:bidi="ar"/>
        </w:rPr>
        <w:t>企业将按相关规定设置危险废物贮存库，危险废物储存时长不超过一年。因此，本项目符合相关要求。</w:t>
      </w:r>
    </w:p>
    <w:p w14:paraId="69446E6F">
      <w:pPr>
        <w:pStyle w:val="5"/>
        <w:bidi w:val="0"/>
        <w:rPr>
          <w:highlight w:val="none"/>
        </w:rPr>
      </w:pPr>
      <w:bookmarkStart w:id="104" w:name="_Toc19710"/>
      <w:bookmarkStart w:id="105" w:name="_Toc18370"/>
      <w:bookmarkStart w:id="106" w:name="_Toc26702"/>
      <w:r>
        <w:rPr>
          <w:highlight w:val="none"/>
        </w:rPr>
        <w:t>1.4.</w:t>
      </w:r>
      <w:r>
        <w:rPr>
          <w:rFonts w:hint="eastAsia"/>
          <w:highlight w:val="none"/>
          <w:lang w:val="en-US" w:eastAsia="zh-CN"/>
        </w:rPr>
        <w:t>24</w:t>
      </w:r>
      <w:r>
        <w:rPr>
          <w:highlight w:val="none"/>
        </w:rPr>
        <w:t>厂址合理性分析</w:t>
      </w:r>
      <w:bookmarkEnd w:id="104"/>
      <w:bookmarkEnd w:id="105"/>
      <w:bookmarkEnd w:id="106"/>
    </w:p>
    <w:p w14:paraId="353E3010">
      <w:pPr>
        <w:keepNext w:val="0"/>
        <w:keepLines w:val="0"/>
        <w:pageBreakBefore w:val="0"/>
        <w:widowControl w:val="0"/>
        <w:kinsoku/>
        <w:wordWrap w:val="0"/>
        <w:overflowPunct/>
        <w:topLinePunct w:val="0"/>
        <w:autoSpaceDE/>
        <w:autoSpaceDN/>
        <w:bidi w:val="0"/>
        <w:adjustRightInd w:val="0"/>
        <w:snapToGrid w:val="0"/>
        <w:textAlignment w:val="auto"/>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lang w:val="en-US" w:eastAsia="zh-CN"/>
        </w:rPr>
        <w:t>本</w:t>
      </w:r>
      <w:r>
        <w:rPr>
          <w:rFonts w:hint="default"/>
          <w:highlight w:val="none"/>
        </w:rPr>
        <w:t>项目位于</w:t>
      </w:r>
      <w:r>
        <w:rPr>
          <w:rFonts w:hint="eastAsia" w:ascii="Times New Roman" w:hAnsi="Times New Roman" w:cs="Times New Roman" w:eastAsiaTheme="minorEastAsia"/>
          <w:sz w:val="24"/>
          <w:szCs w:val="24"/>
          <w:highlight w:val="none"/>
          <w:lang w:val="en-US" w:eastAsia="zh-CN"/>
        </w:rPr>
        <w:t>黑龙江省哈尔滨市香坊区黎明乡幸福村哈阿公路零公里处哈尔滨透平设备总厂院内</w:t>
      </w:r>
      <w:r>
        <w:rPr>
          <w:rFonts w:hint="default"/>
          <w:highlight w:val="none"/>
          <w:lang w:val="en-US" w:eastAsia="zh-CN"/>
        </w:rPr>
        <w:t>，用地性质为工业用地</w:t>
      </w:r>
      <w:r>
        <w:rPr>
          <w:rFonts w:hint="eastAsia"/>
          <w:highlight w:val="none"/>
          <w:lang w:val="en-US" w:eastAsia="zh-CN"/>
        </w:rPr>
        <w:t>，</w:t>
      </w:r>
      <w:r>
        <w:rPr>
          <w:highlight w:val="none"/>
        </w:rPr>
        <w:t>符合当地土地利用规划。</w:t>
      </w:r>
    </w:p>
    <w:p w14:paraId="10A5A949">
      <w:pPr>
        <w:keepNext w:val="0"/>
        <w:keepLines w:val="0"/>
        <w:pageBreakBefore w:val="0"/>
        <w:widowControl w:val="0"/>
        <w:kinsoku/>
        <w:wordWrap w:val="0"/>
        <w:overflowPunct/>
        <w:topLinePunct w:val="0"/>
        <w:autoSpaceDE/>
        <w:autoSpaceDN/>
        <w:bidi w:val="0"/>
        <w:adjustRightInd w:val="0"/>
        <w:snapToGrid w:val="0"/>
        <w:textAlignment w:val="auto"/>
        <w:rPr>
          <w:rFonts w:hint="eastAsia"/>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本项目</w:t>
      </w:r>
      <w:r>
        <w:rPr>
          <w:rFonts w:hint="eastAsia" w:cs="Times New Roman" w:eastAsiaTheme="minorEastAsia"/>
          <w:sz w:val="24"/>
          <w:highlight w:val="none"/>
          <w:lang w:val="en-US" w:eastAsia="zh-CN"/>
        </w:rPr>
        <w:t>北侧和西侧为</w:t>
      </w:r>
      <w:r>
        <w:rPr>
          <w:rFonts w:hint="default" w:ascii="Times New Roman" w:hAnsi="Times New Roman" w:cs="Times New Roman" w:eastAsiaTheme="minorEastAsia"/>
          <w:sz w:val="24"/>
          <w:highlight w:val="none"/>
          <w:lang w:val="en-US" w:eastAsia="zh-CN"/>
        </w:rPr>
        <w:t>哈尔滨市协辉金属材料加工有限责任公司</w:t>
      </w:r>
      <w:r>
        <w:rPr>
          <w:rFonts w:hint="eastAsia" w:cs="Times New Roman" w:eastAsiaTheme="minorEastAsia"/>
          <w:sz w:val="24"/>
          <w:highlight w:val="none"/>
          <w:lang w:val="en-US" w:eastAsia="zh-CN"/>
        </w:rPr>
        <w:t>，东侧为哈尔滨英明新型包装制</w:t>
      </w:r>
      <w:r>
        <w:rPr>
          <w:rFonts w:hint="eastAsia" w:ascii="Times New Roman" w:hAnsi="Times New Roman" w:cs="Times New Roman" w:eastAsiaTheme="minorEastAsia"/>
          <w:sz w:val="24"/>
          <w:highlight w:val="none"/>
          <w:lang w:val="en-US" w:eastAsia="zh-CN"/>
        </w:rPr>
        <w:t>品有限公司，南侧为乡道</w:t>
      </w:r>
      <w:r>
        <w:rPr>
          <w:rFonts w:hint="eastAsia"/>
          <w:highlight w:val="none"/>
          <w:lang w:val="en-US" w:eastAsia="zh-CN"/>
        </w:rPr>
        <w:t>。</w:t>
      </w:r>
    </w:p>
    <w:p w14:paraId="37040AD1">
      <w:pPr>
        <w:keepNext w:val="0"/>
        <w:keepLines w:val="0"/>
        <w:pageBreakBefore w:val="0"/>
        <w:widowControl w:val="0"/>
        <w:kinsoku/>
        <w:wordWrap w:val="0"/>
        <w:overflowPunct/>
        <w:topLinePunct w:val="0"/>
        <w:autoSpaceDE/>
        <w:autoSpaceDN/>
        <w:bidi w:val="0"/>
        <w:adjustRightInd w:val="0"/>
        <w:snapToGrid w:val="0"/>
        <w:textAlignment w:val="auto"/>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highlight w:val="none"/>
        </w:rPr>
        <w:t>项目所在地具有方便的交通运输和水电条件，便于项目的施工建设。</w:t>
      </w:r>
    </w:p>
    <w:p w14:paraId="427E6162">
      <w:pPr>
        <w:keepNext w:val="0"/>
        <w:keepLines w:val="0"/>
        <w:pageBreakBefore w:val="0"/>
        <w:widowControl w:val="0"/>
        <w:kinsoku/>
        <w:wordWrap w:val="0"/>
        <w:overflowPunct/>
        <w:topLinePunct w:val="0"/>
        <w:autoSpaceDE/>
        <w:autoSpaceDN/>
        <w:bidi w:val="0"/>
        <w:adjustRightInd w:val="0"/>
        <w:snapToGrid w:val="0"/>
        <w:textAlignment w:val="auto"/>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根据《环境影响评价技术导则—大气环境》（HJ2.2-2018）中关于大气环境防护距离要求，根据估算模型计算结果，本项目大气环境评价工作等级为</w:t>
      </w:r>
      <w:r>
        <w:rPr>
          <w:rFonts w:hint="eastAsia"/>
          <w:highlight w:val="none"/>
          <w:lang w:val="en-US" w:eastAsia="zh-CN"/>
        </w:rPr>
        <w:t>二</w:t>
      </w:r>
      <w:r>
        <w:rPr>
          <w:highlight w:val="none"/>
        </w:rPr>
        <w:t>级，不进行进一步预测与评价，厂界外污染物短期贡献浓度值未超过环境质量短期浓度标准值，因此不设置大气环境防护距离。</w:t>
      </w:r>
    </w:p>
    <w:p w14:paraId="407E90D8">
      <w:pPr>
        <w:keepNext w:val="0"/>
        <w:keepLines w:val="0"/>
        <w:pageBreakBefore w:val="0"/>
        <w:widowControl w:val="0"/>
        <w:kinsoku/>
        <w:wordWrap w:val="0"/>
        <w:overflowPunct/>
        <w:topLinePunct w:val="0"/>
        <w:autoSpaceDE/>
        <w:autoSpaceDN/>
        <w:bidi w:val="0"/>
        <w:adjustRightInd w:val="0"/>
        <w:snapToGrid w:val="0"/>
        <w:textAlignment w:val="auto"/>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highlight w:val="none"/>
        </w:rPr>
        <w:t>本项目选址不涉及水源保护区、生态保护区、风景名胜区等环境敏感区。项目区域内无文物古迹、无明显的环境敏感点，不在地质灾害易发区。</w:t>
      </w:r>
    </w:p>
    <w:p w14:paraId="6E7A1AF4">
      <w:pPr>
        <w:keepNext w:val="0"/>
        <w:keepLines w:val="0"/>
        <w:pageBreakBefore w:val="0"/>
        <w:widowControl w:val="0"/>
        <w:kinsoku/>
        <w:wordWrap w:val="0"/>
        <w:overflowPunct/>
        <w:topLinePunct w:val="0"/>
        <w:autoSpaceDE/>
        <w:autoSpaceDN/>
        <w:bidi w:val="0"/>
        <w:adjustRightInd w:val="0"/>
        <w:snapToGrid w:val="0"/>
        <w:textAlignment w:val="auto"/>
        <w:rPr>
          <w:rFonts w:hint="eastAsia" w:eastAsia="宋体"/>
          <w:highlight w:val="none"/>
          <w:lang w:val="en-US" w:eastAsia="zh-CN"/>
        </w:rPr>
      </w:pPr>
      <w:r>
        <w:rPr>
          <w:highlight w:val="none"/>
        </w:rPr>
        <w:t>综上拟建项目厂址符合要求，选址是可行的</w:t>
      </w:r>
      <w:r>
        <w:rPr>
          <w:rFonts w:hint="eastAsia"/>
          <w:highlight w:val="none"/>
          <w:lang w:eastAsia="zh-CN"/>
        </w:rPr>
        <w:t>。</w:t>
      </w:r>
    </w:p>
    <w:p w14:paraId="1B2F0BC5">
      <w:pPr>
        <w:pStyle w:val="5"/>
        <w:bidi w:val="0"/>
        <w:rPr>
          <w:rFonts w:hint="default"/>
          <w:highlight w:val="none"/>
          <w:lang w:val="en-US" w:eastAsia="zh-CN"/>
        </w:rPr>
      </w:pPr>
      <w:bookmarkStart w:id="107" w:name="_Toc18286"/>
      <w:bookmarkStart w:id="108" w:name="_Toc20586"/>
      <w:r>
        <w:rPr>
          <w:rFonts w:hint="eastAsia"/>
          <w:highlight w:val="none"/>
          <w:lang w:val="en-US" w:eastAsia="zh-CN"/>
        </w:rPr>
        <w:t>1.4.25生态环境分区管控</w:t>
      </w:r>
      <w:r>
        <w:rPr>
          <w:rFonts w:hint="eastAsia"/>
          <w:highlight w:val="none"/>
        </w:rPr>
        <w:t>符合性分析</w:t>
      </w:r>
      <w:bookmarkEnd w:id="107"/>
      <w:bookmarkEnd w:id="108"/>
    </w:p>
    <w:p w14:paraId="78BFBA90">
      <w:pPr>
        <w:bidi w:val="0"/>
        <w:rPr>
          <w:rFonts w:hint="default"/>
          <w:highlight w:val="none"/>
          <w:lang w:val="en-US" w:eastAsia="zh-CN"/>
        </w:rPr>
      </w:pPr>
      <w:r>
        <w:rPr>
          <w:rFonts w:hint="default" w:ascii="Times New Roman" w:cs="Times New Roman" w:hAnsiTheme="minorEastAsia" w:eastAsiaTheme="minorEastAsia"/>
          <w:highlight w:val="none"/>
          <w:lang w:val="en-US" w:eastAsia="zh-CN"/>
        </w:rPr>
        <w:t>根据“黑龙江省生态环境分区管控数据应用平台”出具的《</w:t>
      </w:r>
      <w:r>
        <w:rPr>
          <w:rFonts w:hint="eastAsia" w:cs="Times New Roman" w:hAnsiTheme="minorEastAsia" w:eastAsiaTheme="minorEastAsia"/>
          <w:highlight w:val="none"/>
          <w:lang w:val="en-US" w:eastAsia="zh-CN"/>
        </w:rPr>
        <w:t>黑龙江省奇福圆环保科技有限公司项目生态环境分区管控分析报告</w:t>
      </w:r>
      <w:r>
        <w:rPr>
          <w:rFonts w:hint="default" w:ascii="Times New Roman" w:cs="Times New Roman" w:hAnsiTheme="minorEastAsia" w:eastAsiaTheme="minorEastAsia"/>
          <w:highlight w:val="none"/>
          <w:lang w:val="en-US" w:eastAsia="zh-CN"/>
        </w:rPr>
        <w:t>》可知，本项目环境管控单元为重点管控单元。本工程与“生</w:t>
      </w:r>
      <w:r>
        <w:rPr>
          <w:rFonts w:hint="default"/>
          <w:highlight w:val="none"/>
          <w:lang w:val="en-US" w:eastAsia="zh-CN"/>
        </w:rPr>
        <w:t>态环境分区管控”符合性情况如下</w:t>
      </w:r>
      <w:r>
        <w:rPr>
          <w:rFonts w:hint="eastAsia"/>
          <w:highlight w:val="none"/>
          <w:lang w:val="en-US" w:eastAsia="zh-CN"/>
        </w:rPr>
        <w:t>：</w:t>
      </w:r>
    </w:p>
    <w:p w14:paraId="75255B17">
      <w:pPr>
        <w:pStyle w:val="7"/>
        <w:bidi w:val="0"/>
        <w:rPr>
          <w:rFonts w:hint="default"/>
          <w:highlight w:val="none"/>
          <w:lang w:val="en-US" w:eastAsia="zh-CN"/>
        </w:rPr>
      </w:pPr>
      <w:r>
        <w:rPr>
          <w:rFonts w:hint="default"/>
          <w:highlight w:val="none"/>
          <w:lang w:val="en-US" w:eastAsia="zh-CN"/>
        </w:rPr>
        <w:t>表1</w:t>
      </w:r>
      <w:r>
        <w:rPr>
          <w:rFonts w:hint="default"/>
          <w:highlight w:val="none"/>
        </w:rPr>
        <w:t>-</w:t>
      </w:r>
      <w:r>
        <w:rPr>
          <w:rFonts w:hint="eastAsia"/>
          <w:highlight w:val="none"/>
          <w:lang w:val="en-US" w:eastAsia="zh-CN"/>
        </w:rPr>
        <w:t>4-8</w:t>
      </w:r>
      <w:r>
        <w:rPr>
          <w:rFonts w:hint="default"/>
          <w:highlight w:val="none"/>
          <w:lang w:val="en-US" w:eastAsia="zh-CN"/>
        </w:rPr>
        <w:t xml:space="preserve"> 本项目与黑龙江省生态环境分区管控成果相交情况一览表</w:t>
      </w:r>
    </w:p>
    <w:tbl>
      <w:tblPr>
        <w:tblStyle w:val="7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1659"/>
        <w:gridCol w:w="541"/>
        <w:gridCol w:w="840"/>
        <w:gridCol w:w="945"/>
        <w:gridCol w:w="3041"/>
      </w:tblGrid>
      <w:tr w14:paraId="16C9A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80" w:type="dxa"/>
            <w:tcBorders>
              <w:tl2br w:val="nil"/>
              <w:tr2bl w:val="nil"/>
            </w:tcBorders>
            <w:vAlign w:val="center"/>
          </w:tcPr>
          <w:p w14:paraId="6A64F63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一级分类</w:t>
            </w:r>
          </w:p>
        </w:tc>
        <w:tc>
          <w:tcPr>
            <w:tcW w:w="1659" w:type="dxa"/>
            <w:tcBorders>
              <w:tl2br w:val="nil"/>
              <w:tr2bl w:val="nil"/>
            </w:tcBorders>
            <w:vAlign w:val="center"/>
          </w:tcPr>
          <w:p w14:paraId="6C4FA73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二级分类</w:t>
            </w:r>
          </w:p>
        </w:tc>
        <w:tc>
          <w:tcPr>
            <w:tcW w:w="541" w:type="dxa"/>
            <w:tcBorders>
              <w:tl2br w:val="nil"/>
              <w:tr2bl w:val="nil"/>
            </w:tcBorders>
            <w:vAlign w:val="center"/>
          </w:tcPr>
          <w:p w14:paraId="0509647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是否相交</w:t>
            </w:r>
          </w:p>
        </w:tc>
        <w:tc>
          <w:tcPr>
            <w:tcW w:w="840" w:type="dxa"/>
            <w:tcBorders>
              <w:tl2br w:val="nil"/>
              <w:tr2bl w:val="nil"/>
            </w:tcBorders>
            <w:vAlign w:val="center"/>
          </w:tcPr>
          <w:p w14:paraId="7F15702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所属地市</w:t>
            </w:r>
          </w:p>
        </w:tc>
        <w:tc>
          <w:tcPr>
            <w:tcW w:w="945" w:type="dxa"/>
            <w:tcBorders>
              <w:tl2br w:val="nil"/>
              <w:tr2bl w:val="nil"/>
            </w:tcBorders>
            <w:vAlign w:val="center"/>
          </w:tcPr>
          <w:p w14:paraId="517D7EE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所属区县</w:t>
            </w:r>
          </w:p>
        </w:tc>
        <w:tc>
          <w:tcPr>
            <w:tcW w:w="3041" w:type="dxa"/>
            <w:tcBorders>
              <w:tl2br w:val="nil"/>
              <w:tr2bl w:val="nil"/>
            </w:tcBorders>
            <w:vAlign w:val="center"/>
          </w:tcPr>
          <w:p w14:paraId="47F0E58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相交单元名称</w:t>
            </w:r>
          </w:p>
        </w:tc>
      </w:tr>
      <w:tr w14:paraId="09427C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80" w:type="dxa"/>
            <w:vMerge w:val="restart"/>
            <w:tcBorders>
              <w:tl2br w:val="nil"/>
              <w:tr2bl w:val="nil"/>
            </w:tcBorders>
            <w:vAlign w:val="center"/>
          </w:tcPr>
          <w:p w14:paraId="4DFC6CC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环境质量底线</w:t>
            </w:r>
          </w:p>
        </w:tc>
        <w:tc>
          <w:tcPr>
            <w:tcW w:w="1659" w:type="dxa"/>
            <w:tcBorders>
              <w:tl2br w:val="nil"/>
              <w:tr2bl w:val="nil"/>
            </w:tcBorders>
            <w:vAlign w:val="center"/>
          </w:tcPr>
          <w:p w14:paraId="34C3EEC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水环境</w:t>
            </w:r>
            <w:r>
              <w:rPr>
                <w:rFonts w:hint="eastAsia" w:cs="Times New Roman"/>
                <w:snapToGrid w:val="0"/>
                <w:color w:val="auto"/>
                <w:sz w:val="21"/>
                <w:szCs w:val="21"/>
                <w:highlight w:val="none"/>
                <w:lang w:eastAsia="zh-CN"/>
              </w:rPr>
              <w:t>一般</w:t>
            </w:r>
            <w:r>
              <w:rPr>
                <w:rFonts w:hint="default" w:ascii="Times New Roman" w:hAnsi="Times New Roman" w:eastAsia="宋体" w:cs="Times New Roman"/>
                <w:snapToGrid w:val="0"/>
                <w:color w:val="auto"/>
                <w:sz w:val="21"/>
                <w:szCs w:val="21"/>
                <w:highlight w:val="none"/>
              </w:rPr>
              <w:t>管控区</w:t>
            </w:r>
          </w:p>
        </w:tc>
        <w:tc>
          <w:tcPr>
            <w:tcW w:w="541" w:type="dxa"/>
            <w:tcBorders>
              <w:tl2br w:val="nil"/>
              <w:tr2bl w:val="nil"/>
            </w:tcBorders>
            <w:vAlign w:val="center"/>
          </w:tcPr>
          <w:p w14:paraId="44BC2C9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是</w:t>
            </w:r>
          </w:p>
        </w:tc>
        <w:tc>
          <w:tcPr>
            <w:tcW w:w="840" w:type="dxa"/>
            <w:tcBorders>
              <w:tl2br w:val="nil"/>
              <w:tr2bl w:val="nil"/>
            </w:tcBorders>
            <w:vAlign w:val="center"/>
          </w:tcPr>
          <w:p w14:paraId="05FAF71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哈尔滨市</w:t>
            </w:r>
          </w:p>
        </w:tc>
        <w:tc>
          <w:tcPr>
            <w:tcW w:w="945" w:type="dxa"/>
            <w:tcBorders>
              <w:tl2br w:val="nil"/>
              <w:tr2bl w:val="nil"/>
            </w:tcBorders>
            <w:vAlign w:val="center"/>
          </w:tcPr>
          <w:p w14:paraId="761B87B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香坊区</w:t>
            </w:r>
          </w:p>
        </w:tc>
        <w:tc>
          <w:tcPr>
            <w:tcW w:w="3041" w:type="dxa"/>
            <w:tcBorders>
              <w:tl2br w:val="nil"/>
              <w:tr2bl w:val="nil"/>
            </w:tcBorders>
            <w:vAlign w:val="center"/>
          </w:tcPr>
          <w:p w14:paraId="1CC7F40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napToGrid w:val="0"/>
                <w:color w:val="auto"/>
                <w:sz w:val="21"/>
                <w:szCs w:val="21"/>
                <w:highlight w:val="none"/>
              </w:rPr>
            </w:pPr>
            <w:r>
              <w:rPr>
                <w:rFonts w:hint="eastAsia" w:ascii="宋体" w:hAnsi="宋体" w:eastAsia="宋体" w:cs="宋体"/>
                <w:snapToGrid w:val="0"/>
                <w:color w:val="000000"/>
                <w:kern w:val="0"/>
                <w:sz w:val="21"/>
                <w:szCs w:val="21"/>
                <w:lang w:val="en-US" w:eastAsia="zh-CN" w:bidi="ar"/>
              </w:rPr>
              <w:t>松花江大顶子山香坊区</w:t>
            </w:r>
          </w:p>
        </w:tc>
      </w:tr>
      <w:tr w14:paraId="2DC7E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80" w:type="dxa"/>
            <w:vMerge w:val="continue"/>
            <w:tcBorders>
              <w:tl2br w:val="nil"/>
              <w:tr2bl w:val="nil"/>
            </w:tcBorders>
            <w:vAlign w:val="center"/>
          </w:tcPr>
          <w:p w14:paraId="12EAB54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p>
        </w:tc>
        <w:tc>
          <w:tcPr>
            <w:tcW w:w="1659" w:type="dxa"/>
            <w:tcBorders>
              <w:tl2br w:val="nil"/>
              <w:tr2bl w:val="nil"/>
            </w:tcBorders>
            <w:vAlign w:val="center"/>
          </w:tcPr>
          <w:p w14:paraId="2BDF005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大气环境布局敏感重点管控区</w:t>
            </w:r>
          </w:p>
        </w:tc>
        <w:tc>
          <w:tcPr>
            <w:tcW w:w="541" w:type="dxa"/>
            <w:tcBorders>
              <w:tl2br w:val="nil"/>
              <w:tr2bl w:val="nil"/>
            </w:tcBorders>
            <w:vAlign w:val="center"/>
          </w:tcPr>
          <w:p w14:paraId="1780EB0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是</w:t>
            </w:r>
          </w:p>
        </w:tc>
        <w:tc>
          <w:tcPr>
            <w:tcW w:w="840" w:type="dxa"/>
            <w:tcBorders>
              <w:tl2br w:val="nil"/>
              <w:tr2bl w:val="nil"/>
            </w:tcBorders>
            <w:vAlign w:val="center"/>
          </w:tcPr>
          <w:p w14:paraId="768DA68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哈尔滨市</w:t>
            </w:r>
          </w:p>
        </w:tc>
        <w:tc>
          <w:tcPr>
            <w:tcW w:w="945" w:type="dxa"/>
            <w:tcBorders>
              <w:tl2br w:val="nil"/>
              <w:tr2bl w:val="nil"/>
            </w:tcBorders>
            <w:vAlign w:val="center"/>
          </w:tcPr>
          <w:p w14:paraId="7E68F64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香坊区</w:t>
            </w:r>
          </w:p>
        </w:tc>
        <w:tc>
          <w:tcPr>
            <w:tcW w:w="3041" w:type="dxa"/>
            <w:tcBorders>
              <w:tl2br w:val="nil"/>
              <w:tr2bl w:val="nil"/>
            </w:tcBorders>
            <w:vAlign w:val="center"/>
          </w:tcPr>
          <w:p w14:paraId="3226179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香坊区大气环境布局敏感重点管控区</w:t>
            </w:r>
          </w:p>
        </w:tc>
      </w:tr>
    </w:tbl>
    <w:p w14:paraId="5DA4633F">
      <w:pPr>
        <w:pStyle w:val="8"/>
        <w:bidi w:val="0"/>
        <w:rPr>
          <w:rFonts w:hint="eastAsia"/>
          <w:highlight w:val="none"/>
          <w:lang w:val="en-US" w:eastAsia="zh-CN"/>
        </w:rPr>
      </w:pPr>
    </w:p>
    <w:p w14:paraId="67DBF01A">
      <w:pPr>
        <w:pStyle w:val="7"/>
        <w:bidi w:val="0"/>
        <w:rPr>
          <w:highlight w:val="none"/>
        </w:rPr>
      </w:pPr>
      <w:r>
        <w:rPr>
          <w:rFonts w:hint="eastAsia"/>
          <w:highlight w:val="none"/>
          <w:lang w:val="en-US" w:eastAsia="zh-CN"/>
        </w:rPr>
        <w:t>续</w:t>
      </w:r>
      <w:r>
        <w:rPr>
          <w:rFonts w:hint="default"/>
          <w:highlight w:val="none"/>
          <w:lang w:val="en-US" w:eastAsia="zh-CN"/>
        </w:rPr>
        <w:t>表1</w:t>
      </w:r>
      <w:r>
        <w:rPr>
          <w:rFonts w:hint="default"/>
          <w:highlight w:val="none"/>
        </w:rPr>
        <w:t>-</w:t>
      </w:r>
      <w:r>
        <w:rPr>
          <w:rFonts w:hint="eastAsia"/>
          <w:highlight w:val="none"/>
          <w:lang w:val="en-US" w:eastAsia="zh-CN"/>
        </w:rPr>
        <w:t>4-8</w:t>
      </w:r>
      <w:r>
        <w:rPr>
          <w:rFonts w:hint="default"/>
          <w:highlight w:val="none"/>
          <w:lang w:val="en-US" w:eastAsia="zh-CN"/>
        </w:rPr>
        <w:t xml:space="preserve"> 本项目与黑龙江省生态环境分区管控成果相交情况一览表</w:t>
      </w:r>
    </w:p>
    <w:tbl>
      <w:tblPr>
        <w:tblStyle w:val="7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1659"/>
        <w:gridCol w:w="541"/>
        <w:gridCol w:w="840"/>
        <w:gridCol w:w="945"/>
        <w:gridCol w:w="3041"/>
      </w:tblGrid>
      <w:tr w14:paraId="541FE0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80" w:type="dxa"/>
            <w:tcBorders>
              <w:tl2br w:val="nil"/>
              <w:tr2bl w:val="nil"/>
            </w:tcBorders>
            <w:shd w:val="clear" w:color="auto" w:fill="auto"/>
            <w:vAlign w:val="center"/>
          </w:tcPr>
          <w:p w14:paraId="6DFD886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资源利用上线</w:t>
            </w:r>
          </w:p>
        </w:tc>
        <w:tc>
          <w:tcPr>
            <w:tcW w:w="1659" w:type="dxa"/>
            <w:tcBorders>
              <w:tl2br w:val="nil"/>
              <w:tr2bl w:val="nil"/>
            </w:tcBorders>
            <w:shd w:val="clear" w:color="auto" w:fill="auto"/>
            <w:vAlign w:val="center"/>
          </w:tcPr>
          <w:p w14:paraId="29FA965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eastAsia" w:ascii="Times New Roman" w:hAnsi="Times New Roman" w:eastAsia="宋体" w:cs="Times New Roman"/>
                <w:snapToGrid w:val="0"/>
                <w:color w:val="auto"/>
                <w:sz w:val="21"/>
                <w:szCs w:val="21"/>
                <w:highlight w:val="none"/>
                <w:lang w:val="en-US" w:eastAsia="zh-CN"/>
              </w:rPr>
              <w:t>地下水开采重点管控区</w:t>
            </w:r>
          </w:p>
        </w:tc>
        <w:tc>
          <w:tcPr>
            <w:tcW w:w="541" w:type="dxa"/>
            <w:tcBorders>
              <w:tl2br w:val="nil"/>
              <w:tr2bl w:val="nil"/>
            </w:tcBorders>
            <w:shd w:val="clear" w:color="auto" w:fill="auto"/>
            <w:vAlign w:val="center"/>
          </w:tcPr>
          <w:p w14:paraId="5D8F3E5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是</w:t>
            </w:r>
          </w:p>
        </w:tc>
        <w:tc>
          <w:tcPr>
            <w:tcW w:w="840" w:type="dxa"/>
            <w:tcBorders>
              <w:tl2br w:val="nil"/>
              <w:tr2bl w:val="nil"/>
            </w:tcBorders>
            <w:shd w:val="clear" w:color="auto" w:fill="auto"/>
            <w:vAlign w:val="center"/>
          </w:tcPr>
          <w:p w14:paraId="30E10CE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哈尔滨市</w:t>
            </w:r>
          </w:p>
        </w:tc>
        <w:tc>
          <w:tcPr>
            <w:tcW w:w="945" w:type="dxa"/>
            <w:tcBorders>
              <w:tl2br w:val="nil"/>
              <w:tr2bl w:val="nil"/>
            </w:tcBorders>
            <w:shd w:val="clear" w:color="auto" w:fill="auto"/>
            <w:vAlign w:val="center"/>
          </w:tcPr>
          <w:p w14:paraId="7301EC6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香坊区</w:t>
            </w:r>
          </w:p>
        </w:tc>
        <w:tc>
          <w:tcPr>
            <w:tcW w:w="3041" w:type="dxa"/>
            <w:tcBorders>
              <w:tl2br w:val="nil"/>
              <w:tr2bl w:val="nil"/>
            </w:tcBorders>
            <w:shd w:val="clear" w:color="auto" w:fill="auto"/>
            <w:vAlign w:val="center"/>
          </w:tcPr>
          <w:p w14:paraId="108E682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香坊区</w:t>
            </w:r>
            <w:r>
              <w:rPr>
                <w:rFonts w:hint="eastAsia" w:ascii="Times New Roman" w:hAnsi="Times New Roman" w:eastAsia="宋体" w:cs="Times New Roman"/>
                <w:snapToGrid w:val="0"/>
                <w:color w:val="auto"/>
                <w:sz w:val="21"/>
                <w:szCs w:val="21"/>
                <w:highlight w:val="none"/>
                <w:lang w:val="en-US" w:eastAsia="zh-CN"/>
              </w:rPr>
              <w:t>地下水开采重点管控区</w:t>
            </w:r>
          </w:p>
        </w:tc>
      </w:tr>
      <w:tr w14:paraId="29BFD7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80" w:type="dxa"/>
            <w:tcBorders>
              <w:tl2br w:val="nil"/>
              <w:tr2bl w:val="nil"/>
            </w:tcBorders>
            <w:shd w:val="clear" w:color="auto" w:fill="auto"/>
            <w:vAlign w:val="center"/>
          </w:tcPr>
          <w:p w14:paraId="7E59921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环境管控单元</w:t>
            </w:r>
          </w:p>
        </w:tc>
        <w:tc>
          <w:tcPr>
            <w:tcW w:w="0" w:type="auto"/>
            <w:tcBorders>
              <w:tl2br w:val="nil"/>
              <w:tr2bl w:val="nil"/>
            </w:tcBorders>
            <w:shd w:val="clear" w:color="auto" w:fill="auto"/>
            <w:vAlign w:val="center"/>
          </w:tcPr>
          <w:p w14:paraId="5BA0C75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重点管控单元</w:t>
            </w:r>
          </w:p>
        </w:tc>
        <w:tc>
          <w:tcPr>
            <w:tcW w:w="0" w:type="auto"/>
            <w:tcBorders>
              <w:tl2br w:val="nil"/>
              <w:tr2bl w:val="nil"/>
            </w:tcBorders>
            <w:shd w:val="clear" w:color="auto" w:fill="auto"/>
            <w:vAlign w:val="center"/>
          </w:tcPr>
          <w:p w14:paraId="00231AE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是</w:t>
            </w:r>
          </w:p>
        </w:tc>
        <w:tc>
          <w:tcPr>
            <w:tcW w:w="0" w:type="auto"/>
            <w:tcBorders>
              <w:tl2br w:val="nil"/>
              <w:tr2bl w:val="nil"/>
            </w:tcBorders>
            <w:shd w:val="clear" w:color="auto" w:fill="auto"/>
            <w:vAlign w:val="center"/>
          </w:tcPr>
          <w:p w14:paraId="1B2A21C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哈尔滨市</w:t>
            </w:r>
          </w:p>
        </w:tc>
        <w:tc>
          <w:tcPr>
            <w:tcW w:w="0" w:type="auto"/>
            <w:tcBorders>
              <w:tl2br w:val="nil"/>
              <w:tr2bl w:val="nil"/>
            </w:tcBorders>
            <w:shd w:val="clear" w:color="auto" w:fill="auto"/>
            <w:vAlign w:val="center"/>
          </w:tcPr>
          <w:p w14:paraId="6657390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香坊区</w:t>
            </w:r>
          </w:p>
        </w:tc>
        <w:tc>
          <w:tcPr>
            <w:tcW w:w="0" w:type="auto"/>
            <w:tcBorders>
              <w:tl2br w:val="nil"/>
              <w:tr2bl w:val="nil"/>
            </w:tcBorders>
            <w:shd w:val="clear" w:color="auto" w:fill="auto"/>
            <w:vAlign w:val="center"/>
          </w:tcPr>
          <w:p w14:paraId="59D35A5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en-US"/>
              </w:rPr>
            </w:pPr>
            <w:r>
              <w:rPr>
                <w:rFonts w:hint="default" w:ascii="Times New Roman" w:hAnsi="Times New Roman" w:eastAsia="宋体" w:cs="Times New Roman"/>
                <w:snapToGrid w:val="0"/>
                <w:color w:val="auto"/>
                <w:sz w:val="21"/>
                <w:szCs w:val="21"/>
                <w:highlight w:val="none"/>
              </w:rPr>
              <w:t>香坊区大气环境布局敏感重点管控区</w:t>
            </w:r>
          </w:p>
        </w:tc>
      </w:tr>
    </w:tbl>
    <w:p w14:paraId="570C698E">
      <w:pPr>
        <w:bidi w:val="0"/>
        <w:rPr>
          <w:highlight w:val="none"/>
        </w:rPr>
      </w:pPr>
      <w:r>
        <w:rPr>
          <w:rFonts w:hint="eastAsia"/>
          <w:highlight w:val="none"/>
          <w:lang w:val="en-US" w:eastAsia="zh-CN"/>
        </w:rPr>
        <w:t>（1）</w:t>
      </w:r>
      <w:r>
        <w:rPr>
          <w:highlight w:val="none"/>
        </w:rPr>
        <w:t>生态保护红线符合性分析</w:t>
      </w:r>
    </w:p>
    <w:p w14:paraId="572E4BE7">
      <w:pPr>
        <w:bidi w:val="0"/>
        <w:rPr>
          <w:rFonts w:hint="eastAsia"/>
          <w:highlight w:val="none"/>
          <w:lang w:eastAsia="zh-CN"/>
        </w:rPr>
      </w:pPr>
      <w:r>
        <w:rPr>
          <w:rFonts w:hint="default" w:ascii="Times New Roman" w:cs="Times New Roman" w:hAnsiTheme="minorEastAsia" w:eastAsiaTheme="minorEastAsia"/>
          <w:highlight w:val="none"/>
          <w:lang w:eastAsia="zh-CN"/>
        </w:rPr>
        <w:t>本项目位于</w:t>
      </w:r>
      <w:r>
        <w:rPr>
          <w:rFonts w:hint="eastAsia" w:cs="Times New Roman" w:hAnsiTheme="minorEastAsia" w:eastAsiaTheme="minorEastAsia"/>
          <w:highlight w:val="none"/>
          <w:lang w:eastAsia="zh-CN"/>
        </w:rPr>
        <w:t>黑龙江省哈尔滨市香坊区黎明乡幸福村哈阿公路零公里处哈尔滨透平设备总厂院内</w:t>
      </w:r>
      <w:r>
        <w:rPr>
          <w:rFonts w:hint="default"/>
          <w:highlight w:val="none"/>
          <w:lang w:eastAsia="zh-CN"/>
        </w:rPr>
        <w:t>，</w:t>
      </w:r>
      <w:r>
        <w:rPr>
          <w:rFonts w:hint="default"/>
          <w:highlight w:val="none"/>
          <w:lang w:val="en-US" w:eastAsia="zh-CN"/>
        </w:rPr>
        <w:t>根据《</w:t>
      </w:r>
      <w:r>
        <w:rPr>
          <w:rFonts w:hint="eastAsia"/>
          <w:highlight w:val="none"/>
          <w:lang w:val="en-US" w:eastAsia="zh-CN"/>
        </w:rPr>
        <w:t>黑龙江省奇福圆环保科技有限公司项目</w:t>
      </w:r>
      <w:r>
        <w:rPr>
          <w:rFonts w:hint="default"/>
          <w:highlight w:val="none"/>
          <w:lang w:val="en-US" w:eastAsia="zh-CN"/>
        </w:rPr>
        <w:t>生态环境分区管控分析报告》，本项目不</w:t>
      </w:r>
      <w:r>
        <w:rPr>
          <w:rFonts w:hint="default"/>
          <w:highlight w:val="none"/>
          <w:lang w:eastAsia="zh-CN"/>
        </w:rPr>
        <w:t>在生态红线范围内</w:t>
      </w:r>
      <w:r>
        <w:rPr>
          <w:rFonts w:hint="eastAsia"/>
          <w:highlight w:val="none"/>
          <w:lang w:eastAsia="zh-CN"/>
        </w:rPr>
        <w:t>。</w:t>
      </w:r>
    </w:p>
    <w:p w14:paraId="5D4DD36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eastAsia" w:eastAsia="宋体"/>
          <w:highlight w:val="none"/>
          <w:lang w:eastAsia="zh-CN"/>
        </w:rPr>
      </w:pPr>
      <w:r>
        <w:rPr>
          <w:rFonts w:hint="default" w:ascii="Times New Roman" w:hAnsi="Times New Roman" w:cs="Times New Roman"/>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2919730</wp:posOffset>
                </wp:positionH>
                <wp:positionV relativeFrom="paragraph">
                  <wp:posOffset>1959610</wp:posOffset>
                </wp:positionV>
                <wp:extent cx="969010" cy="285750"/>
                <wp:effectExtent l="0" t="0" r="0" b="0"/>
                <wp:wrapNone/>
                <wp:docPr id="114" name="文本框 88"/>
                <wp:cNvGraphicFramePr/>
                <a:graphic xmlns:a="http://schemas.openxmlformats.org/drawingml/2006/main">
                  <a:graphicData uri="http://schemas.microsoft.com/office/word/2010/wordprocessingShape">
                    <wps:wsp>
                      <wps:cNvSpPr txBox="1"/>
                      <wps:spPr>
                        <a:xfrm>
                          <a:off x="4271645" y="6062980"/>
                          <a:ext cx="969010" cy="285750"/>
                        </a:xfrm>
                        <a:prstGeom prst="rect">
                          <a:avLst/>
                        </a:prstGeom>
                        <a:noFill/>
                        <a:ln w="6350">
                          <a:noFill/>
                        </a:ln>
                        <a:effectLst/>
                      </wps:spPr>
                      <wps:txbx>
                        <w:txbxContent>
                          <w:p w14:paraId="73BC7355">
                            <w:pPr>
                              <w:keepNext w:val="0"/>
                              <w:keepLines w:val="0"/>
                              <w:pageBreakBefore w:val="0"/>
                              <w:widowControl w:val="0"/>
                              <w:kinsoku/>
                              <w:wordWrap w:val="0"/>
                              <w:overflowPunct/>
                              <w:topLinePunct w:val="0"/>
                              <w:bidi w:val="0"/>
                              <w:adjustRightInd w:val="0"/>
                              <w:snapToGrid w:val="0"/>
                              <w:spacing w:line="240" w:lineRule="auto"/>
                              <w:ind w:firstLine="0" w:firstLineChars="0"/>
                              <w:textAlignment w:val="auto"/>
                              <w:rPr>
                                <w:color w:val="FF0000"/>
                              </w:rPr>
                            </w:pPr>
                            <w:r>
                              <w:rPr>
                                <w:rFonts w:hint="eastAsia"/>
                                <w:color w:val="FF0000"/>
                                <w:sz w:val="21"/>
                                <w:szCs w:val="21"/>
                              </w:rPr>
                              <w:t>本</w:t>
                            </w:r>
                            <w:r>
                              <w:rPr>
                                <w:rFonts w:hint="eastAsia" w:ascii="Times New Roman" w:hAnsi="Times New Roman" w:eastAsia="宋体" w:cs="Times New Roman"/>
                                <w:color w:val="FF0000"/>
                                <w:sz w:val="21"/>
                                <w:szCs w:val="21"/>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8" o:spid="_x0000_s1026" o:spt="202" type="#_x0000_t202" style="position:absolute;left:0pt;margin-left:229.9pt;margin-top:154.3pt;height:22.5pt;width:76.3pt;z-index:251688960;mso-width-relative:page;mso-height-relative:page;" filled="f" stroked="f" coordsize="21600,21600" o:gfxdata="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Snueb3AAAAAsBAAAP&#10;AAAAAAAAAAEAIAAAACIAAABkcnMvZG93bnJldi54bWxQSwECFAAUAAAACACHTuJAlEcTG00CAACC&#10;BAAADgAAAAAAAAABACAAAAArAQAAZHJzL2Uyb0RvYy54bWxQSwUGAAAAAAYABgBZAQAA6gUAAAAA&#10;">
                <v:fill on="f" focussize="0,0"/>
                <v:stroke on="f" weight="0.5pt"/>
                <v:imagedata o:title=""/>
                <o:lock v:ext="edit" aspectratio="f"/>
                <v:textbox>
                  <w:txbxContent>
                    <w:p w14:paraId="73BC7355">
                      <w:pPr>
                        <w:keepNext w:val="0"/>
                        <w:keepLines w:val="0"/>
                        <w:pageBreakBefore w:val="0"/>
                        <w:widowControl w:val="0"/>
                        <w:kinsoku/>
                        <w:wordWrap w:val="0"/>
                        <w:overflowPunct/>
                        <w:topLinePunct w:val="0"/>
                        <w:bidi w:val="0"/>
                        <w:adjustRightInd w:val="0"/>
                        <w:snapToGrid w:val="0"/>
                        <w:spacing w:line="240" w:lineRule="auto"/>
                        <w:ind w:firstLine="0" w:firstLineChars="0"/>
                        <w:textAlignment w:val="auto"/>
                        <w:rPr>
                          <w:color w:val="FF0000"/>
                        </w:rPr>
                      </w:pPr>
                      <w:r>
                        <w:rPr>
                          <w:rFonts w:hint="eastAsia"/>
                          <w:color w:val="FF0000"/>
                          <w:sz w:val="21"/>
                          <w:szCs w:val="21"/>
                        </w:rPr>
                        <w:t>本</w:t>
                      </w:r>
                      <w:r>
                        <w:rPr>
                          <w:rFonts w:hint="eastAsia" w:ascii="Times New Roman" w:hAnsi="Times New Roman" w:eastAsia="宋体" w:cs="Times New Roman"/>
                          <w:color w:val="FF0000"/>
                          <w:sz w:val="21"/>
                          <w:szCs w:val="21"/>
                        </w:rPr>
                        <w:t>项目位置</w:t>
                      </w:r>
                    </w:p>
                  </w:txbxContent>
                </v:textbox>
              </v:shape>
            </w:pict>
          </mc:Fallback>
        </mc:AlternateContent>
      </w:r>
      <w:r>
        <w:rPr>
          <w:sz w:val="21"/>
          <w:highlight w:val="none"/>
        </w:rPr>
        <mc:AlternateContent>
          <mc:Choice Requires="wps">
            <w:drawing>
              <wp:anchor distT="0" distB="0" distL="114300" distR="114300" simplePos="0" relativeHeight="251687936" behindDoc="0" locked="0" layoutInCell="1" allowOverlap="1">
                <wp:simplePos x="0" y="0"/>
                <wp:positionH relativeFrom="column">
                  <wp:posOffset>3726815</wp:posOffset>
                </wp:positionH>
                <wp:positionV relativeFrom="paragraph">
                  <wp:posOffset>2111375</wp:posOffset>
                </wp:positionV>
                <wp:extent cx="285115" cy="137160"/>
                <wp:effectExtent l="2540" t="5715" r="17145" b="9525"/>
                <wp:wrapNone/>
                <wp:docPr id="113" name="直线 8"/>
                <wp:cNvGraphicFramePr/>
                <a:graphic xmlns:a="http://schemas.openxmlformats.org/drawingml/2006/main">
                  <a:graphicData uri="http://schemas.microsoft.com/office/word/2010/wordprocessingShape">
                    <wps:wsp>
                      <wps:cNvCnPr/>
                      <wps:spPr>
                        <a:xfrm>
                          <a:off x="0" y="0"/>
                          <a:ext cx="285115" cy="137160"/>
                        </a:xfrm>
                        <a:prstGeom prst="line">
                          <a:avLst/>
                        </a:prstGeom>
                        <a:ln w="12700" cap="flat" cmpd="sng">
                          <a:solidFill>
                            <a:srgbClr val="FF0000"/>
                          </a:solidFill>
                          <a:prstDash val="solid"/>
                          <a:headEnd type="none" w="med" len="med"/>
                          <a:tailEnd type="arrow" w="med" len="med"/>
                        </a:ln>
                      </wps:spPr>
                      <wps:bodyPr upright="1"/>
                    </wps:wsp>
                  </a:graphicData>
                </a:graphic>
              </wp:anchor>
            </w:drawing>
          </mc:Choice>
          <mc:Fallback>
            <w:pict>
              <v:line id="直线 8" o:spid="_x0000_s1026" o:spt="20" style="position:absolute;left:0pt;margin-left:293.45pt;margin-top:166.25pt;height:10.8pt;width:22.45pt;z-index:251687936;mso-width-relative:page;mso-height-relative:page;" filled="f" stroked="t" coordsize="21600,21600" o:gfxdata="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fJT5P2wAAAAsBAAAPAAAAAAAAAAEAIAAAACIAAABkcnMvZG93bnJldi54&#10;bWxQSwECFAAUAAAACACHTuJA5cbDWfcBAADjAwAADgAAAAAAAAABACAAAAAqAQAAZHJzL2Uyb0Rv&#10;Yy54bWxQSwUGAAAAAAYABgBZAQAAkwUAAAAA&#10;">
                <v:fill on="f" focussize="0,0"/>
                <v:stroke weight="1pt" color="#FF0000" joinstyle="round" endarrow="open"/>
                <v:imagedata o:title=""/>
                <o:lock v:ext="edit" aspectratio="f"/>
              </v:lin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4147185</wp:posOffset>
                </wp:positionH>
                <wp:positionV relativeFrom="paragraph">
                  <wp:posOffset>1532890</wp:posOffset>
                </wp:positionV>
                <wp:extent cx="873760" cy="285750"/>
                <wp:effectExtent l="0" t="0" r="0" b="0"/>
                <wp:wrapNone/>
                <wp:docPr id="40" name="文本框 88"/>
                <wp:cNvGraphicFramePr/>
                <a:graphic xmlns:a="http://schemas.openxmlformats.org/drawingml/2006/main">
                  <a:graphicData uri="http://schemas.microsoft.com/office/word/2010/wordprocessingShape">
                    <wps:wsp>
                      <wps:cNvSpPr txBox="1"/>
                      <wps:spPr>
                        <a:xfrm>
                          <a:off x="0" y="0"/>
                          <a:ext cx="873760" cy="285750"/>
                        </a:xfrm>
                        <a:prstGeom prst="rect">
                          <a:avLst/>
                        </a:prstGeom>
                        <a:noFill/>
                        <a:ln w="6350">
                          <a:noFill/>
                        </a:ln>
                        <a:effectLst/>
                      </wps:spPr>
                      <wps:txbx>
                        <w:txbxContent>
                          <w:p w14:paraId="21E62138">
                            <w:pPr>
                              <w:keepNext w:val="0"/>
                              <w:keepLines w:val="0"/>
                              <w:pageBreakBefore w:val="0"/>
                              <w:widowControl w:val="0"/>
                              <w:kinsoku/>
                              <w:wordWrap w:val="0"/>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生态红线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8" o:spid="_x0000_s1026" o:spt="202" type="#_x0000_t202" style="position:absolute;left:0pt;margin-left:326.55pt;margin-top:120.7pt;height:22.5pt;width:68.8pt;z-index:251694080;mso-width-relative:page;mso-height-relative:page;" filled="f" stroked="f" coordsize="21600,21600" o:gfxdata="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yZ3+t0AAAALAQAADwAAAAAAAAABACAA&#10;AAAiAAAAZHJzL2Rvd25yZXYueG1sUEsBAhQAFAAAAAgAh07iQO44cGdBAgAAdQQAAA4AAAAAAAAA&#10;AQAgAAAALAEAAGRycy9lMm9Eb2MueG1sUEsFBgAAAAAGAAYAWQEAAN8FAAAAAA==&#10;">
                <v:fill on="f" focussize="0,0"/>
                <v:stroke on="f" weight="0.5pt"/>
                <v:imagedata o:title=""/>
                <o:lock v:ext="edit" aspectratio="f"/>
                <v:textbox>
                  <w:txbxContent>
                    <w:p w14:paraId="21E62138">
                      <w:pPr>
                        <w:keepNext w:val="0"/>
                        <w:keepLines w:val="0"/>
                        <w:pageBreakBefore w:val="0"/>
                        <w:widowControl w:val="0"/>
                        <w:kinsoku/>
                        <w:wordWrap w:val="0"/>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生态红线</w:t>
                      </w:r>
                    </w:p>
                  </w:txbxContent>
                </v:textbox>
              </v:shape>
            </w:pict>
          </mc:Fallback>
        </mc:AlternateContent>
      </w:r>
      <w:r>
        <w:rPr>
          <w:sz w:val="21"/>
          <w:highlight w:val="none"/>
        </w:rPr>
        <mc:AlternateContent>
          <mc:Choice Requires="wps">
            <w:drawing>
              <wp:anchor distT="0" distB="0" distL="114300" distR="114300" simplePos="0" relativeHeight="251695104" behindDoc="0" locked="0" layoutInCell="1" allowOverlap="1">
                <wp:simplePos x="0" y="0"/>
                <wp:positionH relativeFrom="column">
                  <wp:posOffset>4584065</wp:posOffset>
                </wp:positionH>
                <wp:positionV relativeFrom="paragraph">
                  <wp:posOffset>1009650</wp:posOffset>
                </wp:positionV>
                <wp:extent cx="37465" cy="523240"/>
                <wp:effectExtent l="19685" t="0" r="57150" b="10160"/>
                <wp:wrapNone/>
                <wp:docPr id="42" name="直线 6"/>
                <wp:cNvGraphicFramePr/>
                <a:graphic xmlns:a="http://schemas.openxmlformats.org/drawingml/2006/main">
                  <a:graphicData uri="http://schemas.microsoft.com/office/word/2010/wordprocessingShape">
                    <wps:wsp>
                      <wps:cNvCnPr>
                        <a:stCxn id="40" idx="0"/>
                      </wps:cNvCnPr>
                      <wps:spPr>
                        <a:xfrm flipV="1">
                          <a:off x="0" y="0"/>
                          <a:ext cx="37465" cy="523240"/>
                        </a:xfrm>
                        <a:prstGeom prst="line">
                          <a:avLst/>
                        </a:prstGeom>
                        <a:ln w="12700" cap="flat" cmpd="sng">
                          <a:solidFill>
                            <a:srgbClr val="0000FF"/>
                          </a:solidFill>
                          <a:prstDash val="solid"/>
                          <a:headEnd type="none" w="med" len="med"/>
                          <a:tailEnd type="arrow" w="med" len="med"/>
                        </a:ln>
                      </wps:spPr>
                      <wps:bodyPr upright="1"/>
                    </wps:wsp>
                  </a:graphicData>
                </a:graphic>
              </wp:anchor>
            </w:drawing>
          </mc:Choice>
          <mc:Fallback>
            <w:pict>
              <v:line id="直线 6" o:spid="_x0000_s1026" o:spt="20" style="position:absolute;left:0pt;flip:y;margin-left:360.95pt;margin-top:79.5pt;height:41.2pt;width:2.95pt;z-index:251695104;mso-width-relative:page;mso-height-relative:page;" filled="f" stroked="t" coordsize="21600,21600" o:gfxdata="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ZKSt2gAAAAsBAAAPAAAAAAAAAAEAIAAA&#10;ACIAAABkcnMvZG93bnJldi54bWxQSwECFAAUAAAACACHTuJArXYTTwoCAAASBAAADgAAAAAAAAAB&#10;ACAAAAApAQAAZHJzL2Uyb0RvYy54bWxQSwUGAAAAAAYABgBZAQAApQUAAAAA&#10;">
                <v:fill on="f" focussize="0,0"/>
                <v:stroke weight="1pt" color="#0000FF" joinstyle="round" endarrow="open"/>
                <v:imagedata o:title=""/>
                <o:lock v:ext="edit" aspectratio="f"/>
              </v:lin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2538730</wp:posOffset>
                </wp:positionH>
                <wp:positionV relativeFrom="paragraph">
                  <wp:posOffset>1003935</wp:posOffset>
                </wp:positionV>
                <wp:extent cx="873760" cy="285750"/>
                <wp:effectExtent l="0" t="0" r="0" b="0"/>
                <wp:wrapNone/>
                <wp:docPr id="34" name="文本框 88"/>
                <wp:cNvGraphicFramePr/>
                <a:graphic xmlns:a="http://schemas.openxmlformats.org/drawingml/2006/main">
                  <a:graphicData uri="http://schemas.microsoft.com/office/word/2010/wordprocessingShape">
                    <wps:wsp>
                      <wps:cNvSpPr txBox="1"/>
                      <wps:spPr>
                        <a:xfrm>
                          <a:off x="0" y="0"/>
                          <a:ext cx="873760" cy="285750"/>
                        </a:xfrm>
                        <a:prstGeom prst="rect">
                          <a:avLst/>
                        </a:prstGeom>
                        <a:noFill/>
                        <a:ln w="6350">
                          <a:noFill/>
                        </a:ln>
                        <a:effectLst/>
                      </wps:spPr>
                      <wps:txbx>
                        <w:txbxContent>
                          <w:p w14:paraId="32D2AF9F">
                            <w:pPr>
                              <w:keepNext w:val="0"/>
                              <w:keepLines w:val="0"/>
                              <w:pageBreakBefore w:val="0"/>
                              <w:widowControl w:val="0"/>
                              <w:kinsoku/>
                              <w:wordWrap w:val="0"/>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生态红线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8" o:spid="_x0000_s1026" o:spt="202" type="#_x0000_t202" style="position:absolute;left:0pt;margin-left:199.9pt;margin-top:79.05pt;height:22.5pt;width:68.8pt;z-index:251692032;mso-width-relative:page;mso-height-relative:page;" filled="f" stroked="f" coordsize="21600,21600" o:gfxdata="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MgX0NwAAAALAQAADwAAAAAAAAABACAA&#10;AAAiAAAAZHJzL2Rvd25yZXYueG1sUEsBAhQAFAAAAAgAh07iQBMS+KZCAgAAdQQAAA4AAAAAAAAA&#10;AQAgAAAAKwEAAGRycy9lMm9Eb2MueG1sUEsFBgAAAAAGAAYAWQEAAN8FAAAAAA==&#10;">
                <v:fill on="f" focussize="0,0"/>
                <v:stroke on="f" weight="0.5pt"/>
                <v:imagedata o:title=""/>
                <o:lock v:ext="edit" aspectratio="f"/>
                <v:textbox>
                  <w:txbxContent>
                    <w:p w14:paraId="32D2AF9F">
                      <w:pPr>
                        <w:keepNext w:val="0"/>
                        <w:keepLines w:val="0"/>
                        <w:pageBreakBefore w:val="0"/>
                        <w:widowControl w:val="0"/>
                        <w:kinsoku/>
                        <w:wordWrap w:val="0"/>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生态红线</w:t>
                      </w:r>
                    </w:p>
                  </w:txbxContent>
                </v:textbox>
              </v:shape>
            </w:pict>
          </mc:Fallback>
        </mc:AlternateContent>
      </w:r>
      <w:r>
        <w:rPr>
          <w:sz w:val="21"/>
          <w:highlight w:val="none"/>
        </w:rPr>
        <mc:AlternateContent>
          <mc:Choice Requires="wps">
            <w:drawing>
              <wp:anchor distT="0" distB="0" distL="114300" distR="114300" simplePos="0" relativeHeight="251693056" behindDoc="0" locked="0" layoutInCell="1" allowOverlap="1">
                <wp:simplePos x="0" y="0"/>
                <wp:positionH relativeFrom="column">
                  <wp:posOffset>2975610</wp:posOffset>
                </wp:positionH>
                <wp:positionV relativeFrom="paragraph">
                  <wp:posOffset>480695</wp:posOffset>
                </wp:positionV>
                <wp:extent cx="37465" cy="523240"/>
                <wp:effectExtent l="19685" t="0" r="57150" b="10160"/>
                <wp:wrapNone/>
                <wp:docPr id="39" name="直线 6"/>
                <wp:cNvGraphicFramePr/>
                <a:graphic xmlns:a="http://schemas.openxmlformats.org/drawingml/2006/main">
                  <a:graphicData uri="http://schemas.microsoft.com/office/word/2010/wordprocessingShape">
                    <wps:wsp>
                      <wps:cNvCnPr>
                        <a:stCxn id="34" idx="0"/>
                      </wps:cNvCnPr>
                      <wps:spPr>
                        <a:xfrm flipV="1">
                          <a:off x="0" y="0"/>
                          <a:ext cx="37465" cy="523240"/>
                        </a:xfrm>
                        <a:prstGeom prst="line">
                          <a:avLst/>
                        </a:prstGeom>
                        <a:ln w="12700" cap="flat" cmpd="sng">
                          <a:solidFill>
                            <a:srgbClr val="0000FF"/>
                          </a:solidFill>
                          <a:prstDash val="solid"/>
                          <a:headEnd type="none" w="med" len="med"/>
                          <a:tailEnd type="arrow" w="med" len="med"/>
                        </a:ln>
                      </wps:spPr>
                      <wps:bodyPr upright="1"/>
                    </wps:wsp>
                  </a:graphicData>
                </a:graphic>
              </wp:anchor>
            </w:drawing>
          </mc:Choice>
          <mc:Fallback>
            <w:pict>
              <v:line id="直线 6" o:spid="_x0000_s1026" o:spt="20" style="position:absolute;left:0pt;flip:y;margin-left:234.3pt;margin-top:37.85pt;height:41.2pt;width:2.95pt;z-index:251693056;mso-width-relative:page;mso-height-relative:page;" filled="f" stroked="t" coordsize="21600,21600" o:gfxdata="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hliezZAAAACgEAAA8AAAAAAAAAAQAgAAAA&#10;IgAAAGRycy9kb3ducmV2LnhtbFBLAQIUABQAAAAIAIdO4kBQJPRUCgIAABIEAAAOAAAAAAAAAAEA&#10;IAAAACgBAABkcnMvZTJvRG9jLnhtbFBLBQYAAAAABgAGAFkBAACkBQAAAAA=&#10;">
                <v:fill on="f" focussize="0,0"/>
                <v:stroke weight="1pt" color="#0000FF" joinstyle="round" endarrow="open"/>
                <v:imagedata o:title=""/>
                <o:lock v:ext="edit" aspectratio="f"/>
              </v:line>
            </w:pict>
          </mc:Fallback>
        </mc:AlternateContent>
      </w:r>
      <w:r>
        <w:rPr>
          <w:sz w:val="24"/>
          <w:highlight w:val="none"/>
        </w:rPr>
        <mc:AlternateContent>
          <mc:Choice Requires="wps">
            <w:drawing>
              <wp:anchor distT="0" distB="0" distL="114300" distR="114300" simplePos="0" relativeHeight="251683840" behindDoc="0" locked="0" layoutInCell="1" allowOverlap="1">
                <wp:simplePos x="0" y="0"/>
                <wp:positionH relativeFrom="column">
                  <wp:posOffset>4545965</wp:posOffset>
                </wp:positionH>
                <wp:positionV relativeFrom="paragraph">
                  <wp:posOffset>78105</wp:posOffset>
                </wp:positionV>
                <wp:extent cx="342900" cy="68516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42900" cy="685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79BA4">
                            <w:pPr>
                              <w:ind w:left="0" w:leftChars="0" w:firstLine="0" w:firstLineChars="0"/>
                              <w:rPr>
                                <w:rFonts w:hint="eastAsia" w:eastAsia="宋体"/>
                                <w:color w:val="FF0000"/>
                                <w:lang w:val="en-US" w:eastAsia="zh-CN"/>
                              </w:rPr>
                            </w:pPr>
                            <w:r>
                              <w:rPr>
                                <w:rFonts w:hint="eastAsia"/>
                                <w:color w:val="FF0000"/>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95pt;margin-top:6.15pt;height:53.95pt;width:27pt;z-index:251683840;mso-width-relative:page;mso-height-relative:page;" filled="f" stroked="f" coordsize="21600,21600" o:gfxdata="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iF6zdkAAAAKAQAADwAAAAAAAAABACAAAAAiAAAAZHJz&#10;L2Rvd25yZXYueG1sUEsBAhQAFAAAAAgAh07iQA/qgoY8AgAAZwQAAA4AAAAAAAAAAQAgAAAAKAEA&#10;AGRycy9lMm9Eb2MueG1sUEsFBgAAAAAGAAYAWQEAANYFAAAAAA==&#10;">
                <v:fill on="f" focussize="0,0"/>
                <v:stroke on="f" weight="0.5pt"/>
                <v:imagedata o:title=""/>
                <o:lock v:ext="edit" aspectratio="f"/>
                <v:textbox>
                  <w:txbxContent>
                    <w:p w14:paraId="7D379BA4">
                      <w:pPr>
                        <w:ind w:left="0" w:leftChars="0" w:firstLine="0" w:firstLineChars="0"/>
                        <w:rPr>
                          <w:rFonts w:hint="eastAsia" w:eastAsia="宋体"/>
                          <w:color w:val="FF0000"/>
                          <w:lang w:val="en-US" w:eastAsia="zh-CN"/>
                        </w:rPr>
                      </w:pPr>
                      <w:r>
                        <w:rPr>
                          <w:rFonts w:hint="eastAsia"/>
                          <w:color w:val="FF0000"/>
                          <w:lang w:val="en-US" w:eastAsia="zh-CN"/>
                        </w:rPr>
                        <w:t>N</w:t>
                      </w:r>
                    </w:p>
                  </w:txbxContent>
                </v:textbox>
              </v:shape>
            </w:pict>
          </mc:Fallback>
        </mc:AlternateContent>
      </w:r>
      <w:r>
        <w:rPr>
          <w:sz w:val="24"/>
          <w:highlight w:val="none"/>
        </w:rPr>
        <mc:AlternateContent>
          <mc:Choice Requires="wps">
            <w:drawing>
              <wp:anchor distT="0" distB="0" distL="114300" distR="114300" simplePos="0" relativeHeight="251682816" behindDoc="0" locked="0" layoutInCell="1" allowOverlap="1">
                <wp:simplePos x="0" y="0"/>
                <wp:positionH relativeFrom="column">
                  <wp:posOffset>4951730</wp:posOffset>
                </wp:positionH>
                <wp:positionV relativeFrom="paragraph">
                  <wp:posOffset>119380</wp:posOffset>
                </wp:positionV>
                <wp:extent cx="76200" cy="762000"/>
                <wp:effectExtent l="12700" t="12700" r="25400" b="25400"/>
                <wp:wrapNone/>
                <wp:docPr id="50" name="上箭头 50"/>
                <wp:cNvGraphicFramePr/>
                <a:graphic xmlns:a="http://schemas.openxmlformats.org/drawingml/2006/main">
                  <a:graphicData uri="http://schemas.microsoft.com/office/word/2010/wordprocessingShape">
                    <wps:wsp>
                      <wps:cNvSpPr/>
                      <wps:spPr>
                        <a:xfrm>
                          <a:off x="0" y="0"/>
                          <a:ext cx="76200" cy="762000"/>
                        </a:xfrm>
                        <a:prstGeom prst="up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89.9pt;margin-top:9.4pt;height:60pt;width:6pt;z-index:251682816;v-text-anchor:middle;mso-width-relative:page;mso-height-relative:page;" fillcolor="#FF0000" filled="t" stroked="t" coordsize="21600,21600" o:gfxdata="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2xwUK1QAAAAoBAAAPAAAAAAAAAAEAIAAAACIAAABkcnMvZG93bnJldi54bWxQSwECFAAUAAAA&#10;CACHTuJAoadhI2MCAADjBAAADgAAAAAAAAABACAAAAAkAQAAZHJzL2Uyb0RvYy54bWxQSwUGAAAA&#10;AAYABgBZAQAA+QUAAAAA&#10;" adj="1080,5400">
                <v:fill on="t" focussize="0,0"/>
                <v:stroke weight="2pt" color="#FF0000 [2404]" joinstyle="round"/>
                <v:imagedata o:title=""/>
                <o:lock v:ext="edit" aspectratio="f"/>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935990</wp:posOffset>
                </wp:positionH>
                <wp:positionV relativeFrom="paragraph">
                  <wp:posOffset>1539240</wp:posOffset>
                </wp:positionV>
                <wp:extent cx="873760" cy="285750"/>
                <wp:effectExtent l="0" t="0" r="0" b="0"/>
                <wp:wrapNone/>
                <wp:docPr id="68" name="文本框 88"/>
                <wp:cNvGraphicFramePr/>
                <a:graphic xmlns:a="http://schemas.openxmlformats.org/drawingml/2006/main">
                  <a:graphicData uri="http://schemas.microsoft.com/office/word/2010/wordprocessingShape">
                    <wps:wsp>
                      <wps:cNvSpPr txBox="1"/>
                      <wps:spPr>
                        <a:xfrm>
                          <a:off x="4271645" y="6062980"/>
                          <a:ext cx="969010" cy="285750"/>
                        </a:xfrm>
                        <a:prstGeom prst="rect">
                          <a:avLst/>
                        </a:prstGeom>
                        <a:noFill/>
                        <a:ln w="6350">
                          <a:noFill/>
                        </a:ln>
                        <a:effectLst/>
                      </wps:spPr>
                      <wps:txbx>
                        <w:txbxContent>
                          <w:p w14:paraId="611FC75E">
                            <w:pPr>
                              <w:keepNext w:val="0"/>
                              <w:keepLines w:val="0"/>
                              <w:pageBreakBefore w:val="0"/>
                              <w:widowControl w:val="0"/>
                              <w:kinsoku/>
                              <w:wordWrap w:val="0"/>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生态红线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8" o:spid="_x0000_s1026" o:spt="202" type="#_x0000_t202" style="position:absolute;left:0pt;margin-left:73.7pt;margin-top:121.2pt;height:22.5pt;width:68.8pt;z-index:251685888;mso-width-relative:page;mso-height-relative:page;" filled="f" stroked="f" coordsize="21600,21600" o:gfxdata="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BCFDp1wAAAAsBAAAPAAAAAAAA&#10;AAEAIAAAACIAAABkcnMvZG93bnJldi54bWxQSwECFAAUAAAACACHTuJAhLgTV0wCAACBBAAADgAA&#10;AAAAAAABACAAAAAmAQAAZHJzL2Uyb0RvYy54bWxQSwUGAAAAAAYABgBZAQAA5AUAAAAA&#10;">
                <v:fill on="f" focussize="0,0"/>
                <v:stroke on="f" weight="0.5pt"/>
                <v:imagedata o:title=""/>
                <o:lock v:ext="edit" aspectratio="f"/>
                <v:textbox>
                  <w:txbxContent>
                    <w:p w14:paraId="611FC75E">
                      <w:pPr>
                        <w:keepNext w:val="0"/>
                        <w:keepLines w:val="0"/>
                        <w:pageBreakBefore w:val="0"/>
                        <w:widowControl w:val="0"/>
                        <w:kinsoku/>
                        <w:wordWrap w:val="0"/>
                        <w:overflowPunct/>
                        <w:topLinePunct w:val="0"/>
                        <w:bidi w:val="0"/>
                        <w:adjustRightInd w:val="0"/>
                        <w:snapToGrid w:val="0"/>
                        <w:spacing w:line="240" w:lineRule="auto"/>
                        <w:ind w:firstLine="0" w:firstLineChars="0"/>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生态红线</w:t>
                      </w:r>
                    </w:p>
                  </w:txbxContent>
                </v:textbox>
              </v:shape>
            </w:pict>
          </mc:Fallback>
        </mc:AlternateContent>
      </w:r>
      <w:r>
        <w:rPr>
          <w:sz w:val="21"/>
          <w:highlight w:val="none"/>
        </w:rPr>
        <mc:AlternateContent>
          <mc:Choice Requires="wps">
            <w:drawing>
              <wp:anchor distT="0" distB="0" distL="114300" distR="114300" simplePos="0" relativeHeight="251686912" behindDoc="0" locked="0" layoutInCell="1" allowOverlap="1">
                <wp:simplePos x="0" y="0"/>
                <wp:positionH relativeFrom="column">
                  <wp:posOffset>1372870</wp:posOffset>
                </wp:positionH>
                <wp:positionV relativeFrom="paragraph">
                  <wp:posOffset>1016000</wp:posOffset>
                </wp:positionV>
                <wp:extent cx="37465" cy="523240"/>
                <wp:effectExtent l="19685" t="0" r="57150" b="10160"/>
                <wp:wrapNone/>
                <wp:docPr id="67" name="直线 6"/>
                <wp:cNvGraphicFramePr/>
                <a:graphic xmlns:a="http://schemas.openxmlformats.org/drawingml/2006/main">
                  <a:graphicData uri="http://schemas.microsoft.com/office/word/2010/wordprocessingShape">
                    <wps:wsp>
                      <wps:cNvCnPr>
                        <a:stCxn id="68" idx="0"/>
                      </wps:cNvCnPr>
                      <wps:spPr>
                        <a:xfrm flipV="1">
                          <a:off x="0" y="0"/>
                          <a:ext cx="37465" cy="523240"/>
                        </a:xfrm>
                        <a:prstGeom prst="line">
                          <a:avLst/>
                        </a:prstGeom>
                        <a:ln w="12700" cap="flat" cmpd="sng">
                          <a:solidFill>
                            <a:srgbClr val="0000FF"/>
                          </a:solidFill>
                          <a:prstDash val="solid"/>
                          <a:headEnd type="none" w="med" len="med"/>
                          <a:tailEnd type="arrow" w="med" len="med"/>
                        </a:ln>
                      </wps:spPr>
                      <wps:bodyPr upright="1"/>
                    </wps:wsp>
                  </a:graphicData>
                </a:graphic>
              </wp:anchor>
            </w:drawing>
          </mc:Choice>
          <mc:Fallback>
            <w:pict>
              <v:line id="直线 6" o:spid="_x0000_s1026" o:spt="20" style="position:absolute;left:0pt;flip:y;margin-left:108.1pt;margin-top:80pt;height:41.2pt;width:2.95pt;z-index:251686912;mso-width-relative:page;mso-height-relative:page;" filled="f" stroked="t" coordsize="21600,21600" o:gfxdata="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Yx53LZAAAACwEAAA8AAAAAAAAAAQAgAAAA&#10;IgAAAGRycy9kb3ducmV2LnhtbFBLAQIUABQAAAAIAIdO4kDOgJbsCgIAABIEAAAOAAAAAAAAAAEA&#10;IAAAACgBAABkcnMvZTJvRG9jLnhtbFBLBQYAAAAABgAGAFkBAACkBQAAAAA=&#10;">
                <v:fill on="f" focussize="0,0"/>
                <v:stroke weight="1pt" color="#0000FF" joinstyle="round" endarrow="open"/>
                <v:imagedata o:title=""/>
                <o:lock v:ext="edit" aspectratio="f"/>
              </v:line>
            </w:pict>
          </mc:Fallback>
        </mc:AlternateContent>
      </w:r>
      <w:r>
        <w:rPr>
          <w:rFonts w:hint="eastAsia" w:eastAsia="宋体"/>
          <w:highlight w:val="none"/>
          <w:lang w:eastAsia="zh-CN"/>
        </w:rPr>
        <w:drawing>
          <wp:inline distT="0" distB="0" distL="114300" distR="114300">
            <wp:extent cx="5271770" cy="3891280"/>
            <wp:effectExtent l="9525" t="9525" r="14605" b="23495"/>
            <wp:docPr id="31" name="图片 31" descr="ScreenShot_2026-03-03_092321_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creenShot_2026-03-03_092321_862"/>
                    <pic:cNvPicPr>
                      <a:picLocks noChangeAspect="1"/>
                    </pic:cNvPicPr>
                  </pic:nvPicPr>
                  <pic:blipFill>
                    <a:blip r:embed="rId24"/>
                    <a:stretch>
                      <a:fillRect/>
                    </a:stretch>
                  </pic:blipFill>
                  <pic:spPr>
                    <a:xfrm>
                      <a:off x="0" y="0"/>
                      <a:ext cx="5271770" cy="3891280"/>
                    </a:xfrm>
                    <a:prstGeom prst="rect">
                      <a:avLst/>
                    </a:prstGeom>
                    <a:ln>
                      <a:solidFill>
                        <a:schemeClr val="tx1"/>
                      </a:solidFill>
                    </a:ln>
                  </pic:spPr>
                </pic:pic>
              </a:graphicData>
            </a:graphic>
          </wp:inline>
        </w:drawing>
      </w:r>
    </w:p>
    <w:p w14:paraId="7D5BA62D">
      <w:pPr>
        <w:pStyle w:val="7"/>
        <w:bidi w:val="0"/>
        <w:rPr>
          <w:rFonts w:hint="default" w:eastAsia="宋体"/>
          <w:highlight w:val="none"/>
          <w:lang w:val="en-US" w:eastAsia="zh-CN"/>
        </w:rPr>
      </w:pPr>
      <w:r>
        <w:rPr>
          <w:rFonts w:hint="eastAsia"/>
          <w:highlight w:val="none"/>
          <w:lang w:val="en-US" w:eastAsia="zh-CN"/>
        </w:rPr>
        <w:t>图1-4-2</w:t>
      </w:r>
      <w:r>
        <w:rPr>
          <w:rFonts w:hint="default" w:ascii="Times New Roman" w:hAnsi="Times New Roman" w:cs="Times New Roman" w:eastAsiaTheme="minorEastAsia"/>
          <w:b/>
          <w:kern w:val="2"/>
          <w:sz w:val="21"/>
          <w:szCs w:val="21"/>
          <w:highlight w:val="none"/>
          <w:lang w:val="en-US" w:eastAsia="zh-CN" w:bidi="ar-SA"/>
        </w:rPr>
        <w:t>本项目与生态保护红线位置关系图</w:t>
      </w:r>
    </w:p>
    <w:p w14:paraId="136FBC54">
      <w:pPr>
        <w:bidi w:val="0"/>
        <w:rPr>
          <w:highlight w:val="none"/>
        </w:rPr>
      </w:pPr>
      <w:r>
        <w:rPr>
          <w:rFonts w:hint="eastAsia"/>
          <w:highlight w:val="none"/>
          <w:lang w:val="en-US" w:eastAsia="zh-CN"/>
        </w:rPr>
        <w:t>（2）</w:t>
      </w:r>
      <w:r>
        <w:rPr>
          <w:highlight w:val="none"/>
        </w:rPr>
        <w:t>环境质量底线符合性分析</w:t>
      </w:r>
    </w:p>
    <w:p w14:paraId="50004A76">
      <w:pPr>
        <w:bidi w:val="0"/>
        <w:rPr>
          <w:highlight w:val="none"/>
        </w:rPr>
      </w:pPr>
      <w:r>
        <w:rPr>
          <w:rFonts w:hint="default"/>
          <w:highlight w:val="none"/>
          <w:lang w:val="en-US" w:eastAsia="zh-CN"/>
        </w:rPr>
        <w:t>①</w:t>
      </w:r>
      <w:r>
        <w:rPr>
          <w:highlight w:val="none"/>
        </w:rPr>
        <w:t>大气</w:t>
      </w:r>
    </w:p>
    <w:p w14:paraId="21F02A67">
      <w:pPr>
        <w:bidi w:val="0"/>
        <w:rPr>
          <w:highlight w:val="none"/>
        </w:rPr>
      </w:pPr>
      <w:r>
        <w:rPr>
          <w:rFonts w:hint="eastAsia"/>
          <w:highlight w:val="none"/>
          <w:lang w:val="en-US" w:eastAsia="zh-CN"/>
        </w:rPr>
        <w:t>根据《黑龙江省奇福圆环保科技有限公司项目生态环境分区管控分析报告》，本项目位于大气环境布局敏感重点管控区；</w:t>
      </w:r>
      <w:r>
        <w:rPr>
          <w:rFonts w:hint="eastAsia"/>
          <w:highlight w:val="none"/>
          <w:lang w:eastAsia="zh-CN"/>
        </w:rPr>
        <w:t>本项目生产产生的油雾、挥发性有机物（以非甲烷总烃计）、颗粒物及臭气浓度通过油雾净化装置+活性炭吸附装置处理后由1根新建15m排气筒排放；贮存产生的挥发性有机物（以非甲烷总烃计）通活性炭吸附装置处理后由1根新建15m排气筒排放；严格落实本报告提出的环保措施后，本项目污染物达标排放</w:t>
      </w:r>
      <w:r>
        <w:rPr>
          <w:rFonts w:hint="eastAsia"/>
          <w:highlight w:val="none"/>
        </w:rPr>
        <w:t>，</w:t>
      </w:r>
      <w:r>
        <w:rPr>
          <w:highlight w:val="none"/>
        </w:rPr>
        <w:t>能够满足哈尔滨市大气环境质量底线要求。</w:t>
      </w:r>
    </w:p>
    <w:p w14:paraId="6D6CE7CE">
      <w:pPr>
        <w:bidi w:val="0"/>
        <w:rPr>
          <w:highlight w:val="none"/>
        </w:rPr>
      </w:pPr>
      <w:r>
        <w:rPr>
          <w:rFonts w:hint="default"/>
          <w:highlight w:val="none"/>
          <w:lang w:val="en-US" w:eastAsia="zh-CN"/>
        </w:rPr>
        <w:t>②</w:t>
      </w:r>
      <w:r>
        <w:rPr>
          <w:highlight w:val="none"/>
        </w:rPr>
        <w:t>水环境</w:t>
      </w:r>
    </w:p>
    <w:p w14:paraId="6EA1FEDB">
      <w:pPr>
        <w:bidi w:val="0"/>
        <w:rPr>
          <w:rFonts w:hint="default"/>
          <w:highlight w:val="none"/>
          <w:lang w:val="en-US"/>
        </w:rPr>
      </w:pPr>
      <w:r>
        <w:rPr>
          <w:rFonts w:hint="eastAsia"/>
          <w:highlight w:val="none"/>
          <w:lang w:val="en-US" w:eastAsia="zh-CN"/>
        </w:rPr>
        <w:t>根据《黑龙江省奇福圆环保科技有限公司项目生态环境分区管控分析报告</w:t>
      </w:r>
      <w:r>
        <w:rPr>
          <w:rFonts w:hint="eastAsia" w:ascii="Times New Roman" w:cs="Times New Roman" w:hAnsiTheme="minorEastAsia" w:eastAsiaTheme="minorEastAsia"/>
          <w:highlight w:val="none"/>
          <w:lang w:val="en-US" w:eastAsia="zh-CN"/>
        </w:rPr>
        <w:t>》，本项目位于水环境一般管控区（松花江</w:t>
      </w:r>
      <w:r>
        <w:rPr>
          <w:rFonts w:hint="eastAsia" w:cs="Times New Roman" w:hAnsiTheme="minorEastAsia" w:eastAsiaTheme="minorEastAsia"/>
          <w:highlight w:val="none"/>
          <w:lang w:val="en-US" w:eastAsia="zh-CN"/>
        </w:rPr>
        <w:t>大顶子山香坊</w:t>
      </w:r>
      <w:r>
        <w:rPr>
          <w:rFonts w:hint="eastAsia" w:ascii="Times New Roman" w:cs="Times New Roman" w:hAnsiTheme="minorEastAsia" w:eastAsiaTheme="minorEastAsia"/>
          <w:highlight w:val="none"/>
          <w:lang w:val="en-US" w:eastAsia="zh-CN"/>
        </w:rPr>
        <w:t>区）</w:t>
      </w:r>
      <w:r>
        <w:rPr>
          <w:rFonts w:hint="eastAsia" w:hAnsiTheme="minorEastAsia" w:eastAsiaTheme="minorEastAsia"/>
          <w:highlight w:val="none"/>
          <w:lang w:val="en-US" w:eastAsia="zh-CN"/>
        </w:rPr>
        <w:t>，</w:t>
      </w:r>
      <w:r>
        <w:rPr>
          <w:rFonts w:hint="eastAsia" w:hAnsiTheme="minorEastAsia" w:eastAsiaTheme="minorEastAsia"/>
          <w:sz w:val="24"/>
          <w:highlight w:val="none"/>
          <w:lang w:val="en-US" w:eastAsia="zh-CN"/>
        </w:rPr>
        <w:t>本项目无生产废水，生活废水依托周边企业防渗旱厕收集，定期清掏外运堆肥</w:t>
      </w:r>
      <w:r>
        <w:rPr>
          <w:rFonts w:hint="eastAsia" w:hAnsi="宋体" w:cs="Times New Roman"/>
          <w:sz w:val="24"/>
          <w:szCs w:val="24"/>
          <w:highlight w:val="none"/>
          <w:lang w:val="en-US" w:eastAsia="zh-CN" w:bidi="ar"/>
        </w:rPr>
        <w:t>，</w:t>
      </w:r>
      <w:r>
        <w:rPr>
          <w:rFonts w:hint="eastAsia" w:ascii="Times New Roman" w:hAnsi="宋体" w:eastAsia="宋体" w:cs="Times New Roman"/>
          <w:sz w:val="24"/>
          <w:szCs w:val="24"/>
          <w:highlight w:val="none"/>
          <w:lang w:val="en-US" w:eastAsia="zh-CN" w:bidi="ar"/>
        </w:rPr>
        <w:t>不会对区域水环境造成影响，能够满足哈尔滨市水环境质量底线要求</w:t>
      </w:r>
      <w:r>
        <w:rPr>
          <w:rFonts w:hint="eastAsia"/>
          <w:highlight w:val="none"/>
          <w:lang w:val="en-US" w:eastAsia="zh-CN"/>
        </w:rPr>
        <w:t>。</w:t>
      </w:r>
    </w:p>
    <w:p w14:paraId="1B9E88BD">
      <w:pPr>
        <w:bidi w:val="0"/>
        <w:rPr>
          <w:highlight w:val="none"/>
        </w:rPr>
      </w:pPr>
      <w:r>
        <w:rPr>
          <w:rFonts w:hint="eastAsia"/>
          <w:highlight w:val="none"/>
          <w:lang w:val="en-US" w:eastAsia="zh-CN"/>
        </w:rPr>
        <w:t>（3）</w:t>
      </w:r>
      <w:r>
        <w:rPr>
          <w:highlight w:val="none"/>
        </w:rPr>
        <w:t>资源利用上线符合性分析</w:t>
      </w:r>
    </w:p>
    <w:p w14:paraId="5EA3F95C">
      <w:pPr>
        <w:bidi w:val="0"/>
        <w:rPr>
          <w:rFonts w:eastAsiaTheme="minorEastAsia"/>
          <w:highlight w:val="none"/>
        </w:rPr>
      </w:pPr>
      <w:r>
        <w:rPr>
          <w:highlight w:val="none"/>
        </w:rPr>
        <w:t>本项目</w:t>
      </w:r>
      <w:r>
        <w:rPr>
          <w:rFonts w:hint="eastAsia"/>
          <w:highlight w:val="none"/>
          <w:lang w:val="en-US" w:eastAsia="zh-CN"/>
        </w:rPr>
        <w:t>位于地下水开采重点管控区</w:t>
      </w:r>
      <w:r>
        <w:rPr>
          <w:rFonts w:hint="eastAsia" w:hAnsiTheme="minorEastAsia" w:eastAsiaTheme="minorEastAsia"/>
          <w:highlight w:val="none"/>
          <w:lang w:eastAsia="zh-CN"/>
        </w:rPr>
        <w:t>，</w:t>
      </w:r>
      <w:r>
        <w:rPr>
          <w:rFonts w:hAnsiTheme="minorEastAsia" w:eastAsiaTheme="minorEastAsia"/>
          <w:highlight w:val="none"/>
        </w:rPr>
        <w:t>本项目</w:t>
      </w:r>
      <w:r>
        <w:rPr>
          <w:rFonts w:hAnsiTheme="minorEastAsia" w:eastAsiaTheme="minorEastAsia"/>
          <w:bCs/>
          <w:highlight w:val="none"/>
        </w:rPr>
        <w:t>供水由市政自来水提供</w:t>
      </w:r>
      <w:r>
        <w:rPr>
          <w:rFonts w:hAnsiTheme="minorEastAsia" w:eastAsiaTheme="minorEastAsia"/>
          <w:highlight w:val="none"/>
        </w:rPr>
        <w:t>，</w:t>
      </w:r>
      <w:r>
        <w:rPr>
          <w:rFonts w:hint="eastAsia" w:hAnsiTheme="minorEastAsia" w:eastAsiaTheme="minorEastAsia"/>
          <w:highlight w:val="none"/>
          <w:lang w:eastAsia="zh-CN"/>
        </w:rPr>
        <w:t>不使用地下水，且本项目无生产用水，均为员工生活用水，</w:t>
      </w:r>
      <w:r>
        <w:rPr>
          <w:rFonts w:hAnsiTheme="minorEastAsia" w:eastAsiaTheme="minorEastAsia"/>
          <w:highlight w:val="none"/>
        </w:rPr>
        <w:t>不属于高水耗行业。本项目用地性质为</w:t>
      </w:r>
      <w:r>
        <w:rPr>
          <w:rFonts w:hint="eastAsia" w:hAnsiTheme="minorEastAsia" w:eastAsiaTheme="minorEastAsia"/>
          <w:highlight w:val="none"/>
          <w:lang w:val="en-US" w:eastAsia="zh-CN"/>
        </w:rPr>
        <w:t>工业用地</w:t>
      </w:r>
      <w:r>
        <w:rPr>
          <w:rFonts w:hAnsiTheme="minorEastAsia" w:eastAsiaTheme="minorEastAsia"/>
          <w:highlight w:val="none"/>
        </w:rPr>
        <w:t>，不占用基本农田和黑土地。综上，本项目符合资源利用上线要求。</w:t>
      </w:r>
    </w:p>
    <w:p w14:paraId="45759E63">
      <w:pPr>
        <w:bidi w:val="0"/>
        <w:rPr>
          <w:highlight w:val="none"/>
        </w:rPr>
      </w:pPr>
      <w:r>
        <w:rPr>
          <w:rFonts w:hint="eastAsia"/>
          <w:highlight w:val="none"/>
          <w:lang w:val="en-US" w:eastAsia="zh-CN"/>
        </w:rPr>
        <w:t>（4）</w:t>
      </w:r>
      <w:r>
        <w:rPr>
          <w:highlight w:val="none"/>
        </w:rPr>
        <w:t>环境准入清单符合性分析</w:t>
      </w:r>
    </w:p>
    <w:p w14:paraId="2BAC118B">
      <w:pPr>
        <w:bidi w:val="0"/>
        <w:rPr>
          <w:rFonts w:hint="eastAsia" w:ascii="Times New Roman" w:hAnsi="Times New Roman" w:cs="Times New Roman" w:eastAsiaTheme="minorEastAsia"/>
          <w:szCs w:val="21"/>
          <w:highlight w:val="none"/>
          <w:lang w:eastAsia="zh-CN"/>
        </w:rPr>
      </w:pPr>
      <w:r>
        <w:rPr>
          <w:rFonts w:hint="default" w:ascii="Times New Roman" w:hAnsi="Times New Roman" w:cs="Times New Roman" w:eastAsiaTheme="minorEastAsia"/>
          <w:szCs w:val="21"/>
          <w:highlight w:val="none"/>
        </w:rPr>
        <w:t>经“黑龙江省生态环境分区管控数据应用平台”查询，本项目环境管控单元为哈尔滨经济技术开发区</w:t>
      </w:r>
      <w:r>
        <w:rPr>
          <w:rFonts w:hint="eastAsia" w:ascii="Times New Roman" w:hAnsi="Times New Roman" w:cs="Times New Roman" w:eastAsiaTheme="minorEastAsia"/>
          <w:szCs w:val="21"/>
          <w:highlight w:val="none"/>
          <w:lang w:val="en-US" w:eastAsia="zh-CN"/>
        </w:rPr>
        <w:t>及</w:t>
      </w:r>
      <w:r>
        <w:rPr>
          <w:rFonts w:hint="default" w:ascii="Times New Roman" w:hAnsi="Times New Roman" w:cs="Times New Roman" w:eastAsiaTheme="minorEastAsia"/>
          <w:szCs w:val="21"/>
          <w:highlight w:val="none"/>
        </w:rPr>
        <w:t>平房区城镇空间，本项目与《哈尔滨市生态环境准入清单》（2023年版）符合性分析如下</w:t>
      </w:r>
      <w:r>
        <w:rPr>
          <w:rFonts w:hint="eastAsia" w:ascii="Times New Roman" w:hAnsi="Times New Roman" w:cs="Times New Roman" w:eastAsiaTheme="minorEastAsia"/>
          <w:szCs w:val="21"/>
          <w:highlight w:val="none"/>
          <w:lang w:eastAsia="zh-CN"/>
        </w:rPr>
        <w:t>。</w:t>
      </w:r>
    </w:p>
    <w:p w14:paraId="7A812C27">
      <w:pPr>
        <w:bidi w:val="0"/>
        <w:rPr>
          <w:rFonts w:hint="eastAsia"/>
          <w:highlight w:val="none"/>
          <w:lang w:val="en-US" w:eastAsia="zh-CN"/>
        </w:rPr>
      </w:pPr>
      <w:r>
        <w:rPr>
          <w:rFonts w:hint="default"/>
          <w:highlight w:val="none"/>
          <w:lang w:val="en-US" w:eastAsia="zh-CN"/>
        </w:rPr>
        <w:t>①</w:t>
      </w:r>
      <w:r>
        <w:rPr>
          <w:rFonts w:hint="eastAsia"/>
          <w:highlight w:val="none"/>
          <w:lang w:val="en-US" w:eastAsia="zh-CN"/>
        </w:rPr>
        <w:t>一图</w:t>
      </w:r>
    </w:p>
    <w:p w14:paraId="6AE49607">
      <w:pPr>
        <w:bidi w:val="0"/>
        <w:rPr>
          <w:rFonts w:hint="eastAsia"/>
          <w:highlight w:val="none"/>
          <w:lang w:val="en-US" w:eastAsia="zh-CN"/>
        </w:rPr>
      </w:pPr>
      <w:r>
        <w:rPr>
          <w:rFonts w:hint="eastAsia"/>
          <w:highlight w:val="none"/>
          <w:lang w:val="en-US" w:eastAsia="zh-CN"/>
        </w:rPr>
        <w:t>根据《黑龙江省奇福圆环保科技有限公司项目生态环境分区管控分析报告》</w:t>
      </w:r>
      <w:r>
        <w:rPr>
          <w:rFonts w:hint="default"/>
          <w:highlight w:val="none"/>
        </w:rPr>
        <w:t>，本项目与环境管控单元叠加图如下：</w:t>
      </w:r>
    </w:p>
    <w:p w14:paraId="6ED6259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position w:val="-137"/>
          <w:highlight w:val="none"/>
        </w:rPr>
      </w:pPr>
      <w:r>
        <w:drawing>
          <wp:inline distT="0" distB="0" distL="114300" distR="114300">
            <wp:extent cx="5264150" cy="2691765"/>
            <wp:effectExtent l="0" t="0" r="12700" b="1333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5"/>
                    <a:stretch>
                      <a:fillRect/>
                    </a:stretch>
                  </pic:blipFill>
                  <pic:spPr>
                    <a:xfrm>
                      <a:off x="0" y="0"/>
                      <a:ext cx="5264150" cy="2691765"/>
                    </a:xfrm>
                    <a:prstGeom prst="rect">
                      <a:avLst/>
                    </a:prstGeom>
                    <a:noFill/>
                    <a:ln>
                      <a:noFill/>
                    </a:ln>
                  </pic:spPr>
                </pic:pic>
              </a:graphicData>
            </a:graphic>
          </wp:inline>
        </w:drawing>
      </w:r>
    </w:p>
    <w:p w14:paraId="7127716C">
      <w:pPr>
        <w:pStyle w:val="7"/>
        <w:bidi w:val="0"/>
        <w:rPr>
          <w:rFonts w:hint="default"/>
          <w:highlight w:val="none"/>
          <w:lang w:val="en-US" w:eastAsia="zh-CN"/>
        </w:rPr>
      </w:pPr>
      <w:r>
        <w:rPr>
          <w:rFonts w:hint="default"/>
          <w:highlight w:val="none"/>
          <w:lang w:val="en-US" w:eastAsia="zh-CN"/>
        </w:rPr>
        <w:t>图1-</w:t>
      </w:r>
      <w:r>
        <w:rPr>
          <w:rFonts w:hint="eastAsia"/>
          <w:highlight w:val="none"/>
          <w:lang w:val="en-US" w:eastAsia="zh-CN"/>
        </w:rPr>
        <w:t>4-3</w:t>
      </w:r>
      <w:r>
        <w:rPr>
          <w:rFonts w:hint="default"/>
          <w:highlight w:val="none"/>
          <w:lang w:val="en-US" w:eastAsia="zh-CN"/>
        </w:rPr>
        <w:t xml:space="preserve"> 本项目与环境管控单元叠加图</w:t>
      </w:r>
    </w:p>
    <w:p w14:paraId="1322A049">
      <w:pPr>
        <w:bidi w:val="0"/>
        <w:rPr>
          <w:rFonts w:hint="eastAsia"/>
          <w:highlight w:val="none"/>
          <w:lang w:val="en-US" w:eastAsia="zh-CN"/>
        </w:rPr>
      </w:pPr>
      <w:r>
        <w:rPr>
          <w:rFonts w:hint="default"/>
          <w:highlight w:val="none"/>
          <w:lang w:val="en-US" w:eastAsia="zh-CN"/>
        </w:rPr>
        <w:t>②</w:t>
      </w:r>
      <w:r>
        <w:rPr>
          <w:rFonts w:hint="eastAsia"/>
          <w:highlight w:val="none"/>
          <w:lang w:val="en-US" w:eastAsia="zh-CN"/>
        </w:rPr>
        <w:t>一表</w:t>
      </w:r>
    </w:p>
    <w:p w14:paraId="0A13B355">
      <w:pPr>
        <w:keepNext w:val="0"/>
        <w:keepLines w:val="0"/>
        <w:widowControl/>
        <w:suppressLineNumbers w:val="0"/>
        <w:jc w:val="left"/>
        <w:rPr>
          <w:rFonts w:hint="default" w:ascii="Times New Roman" w:hAnsi="Times New Roman" w:cs="Times New Roman" w:eastAsiaTheme="minorEastAsia"/>
          <w:szCs w:val="21"/>
          <w:highlight w:val="none"/>
        </w:rPr>
      </w:pPr>
      <w:r>
        <w:rPr>
          <w:rFonts w:hint="eastAsia"/>
          <w:highlight w:val="none"/>
          <w:lang w:val="en-US" w:eastAsia="zh-CN"/>
        </w:rPr>
        <w:t>根据《黑龙江</w:t>
      </w:r>
      <w:r>
        <w:rPr>
          <w:rFonts w:hint="eastAsia" w:ascii="Times New Roman" w:hAnsi="Times New Roman" w:cs="Times New Roman" w:eastAsiaTheme="minorEastAsia"/>
          <w:szCs w:val="21"/>
          <w:highlight w:val="none"/>
          <w:lang w:val="en-US" w:eastAsia="zh-CN"/>
        </w:rPr>
        <w:t>省奇福圆环保科技有限公司项目生态环境分区管控分析报告》</w:t>
      </w:r>
      <w:r>
        <w:rPr>
          <w:rFonts w:hint="default" w:ascii="Times New Roman" w:hAnsi="Times New Roman" w:cs="Times New Roman" w:eastAsiaTheme="minorEastAsia"/>
          <w:szCs w:val="21"/>
          <w:highlight w:val="none"/>
        </w:rPr>
        <w:t>，本项目</w:t>
      </w:r>
      <w:r>
        <w:rPr>
          <w:rFonts w:hint="eastAsia" w:ascii="Times New Roman" w:hAnsi="Times New Roman" w:cs="Times New Roman" w:eastAsiaTheme="minorEastAsia"/>
          <w:szCs w:val="21"/>
          <w:highlight w:val="none"/>
          <w:lang w:val="en-US" w:eastAsia="zh-CN"/>
        </w:rPr>
        <w:t>属于香坊区大气环境布局敏感重点管控区</w:t>
      </w:r>
      <w:r>
        <w:rPr>
          <w:rFonts w:hint="default" w:ascii="Times New Roman" w:hAnsi="Times New Roman" w:cs="Times New Roman" w:eastAsiaTheme="minorEastAsia"/>
          <w:szCs w:val="21"/>
          <w:highlight w:val="none"/>
        </w:rPr>
        <w:t>（重点管控单元）</w:t>
      </w:r>
      <w:r>
        <w:rPr>
          <w:rFonts w:hint="eastAsia" w:ascii="Times New Roman" w:hAnsi="Times New Roman" w:cs="Times New Roman" w:eastAsiaTheme="minorEastAsia"/>
          <w:szCs w:val="21"/>
          <w:highlight w:val="none"/>
          <w:lang w:eastAsia="zh-CN"/>
        </w:rPr>
        <w:t>。</w:t>
      </w:r>
      <w:r>
        <w:rPr>
          <w:rFonts w:hint="default" w:ascii="Times New Roman" w:hAnsi="Times New Roman" w:cs="Times New Roman" w:eastAsiaTheme="minorEastAsia"/>
          <w:szCs w:val="21"/>
          <w:highlight w:val="none"/>
        </w:rPr>
        <w:t>符合性情况见下表。</w:t>
      </w:r>
    </w:p>
    <w:p w14:paraId="4812EFB8">
      <w:pPr>
        <w:pStyle w:val="7"/>
        <w:bidi w:val="0"/>
        <w:rPr>
          <w:highlight w:val="none"/>
        </w:rPr>
      </w:pPr>
      <w:r>
        <w:rPr>
          <w:highlight w:val="none"/>
        </w:rPr>
        <w:t>表1-4-</w:t>
      </w:r>
      <w:r>
        <w:rPr>
          <w:rFonts w:hint="eastAsia"/>
          <w:highlight w:val="none"/>
          <w:lang w:val="en-US" w:eastAsia="zh-CN"/>
        </w:rPr>
        <w:t>9</w:t>
      </w:r>
      <w:r>
        <w:rPr>
          <w:highlight w:val="none"/>
        </w:rPr>
        <w:t>生态环境准入清单符合性分析</w:t>
      </w:r>
    </w:p>
    <w:tbl>
      <w:tblPr>
        <w:tblStyle w:val="4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617"/>
        <w:gridCol w:w="383"/>
        <w:gridCol w:w="703"/>
        <w:gridCol w:w="3795"/>
        <w:gridCol w:w="1917"/>
        <w:gridCol w:w="620"/>
      </w:tblGrid>
      <w:tr w14:paraId="2223F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6" w:type="dxa"/>
            <w:vMerge w:val="restart"/>
            <w:vAlign w:val="center"/>
          </w:tcPr>
          <w:p w14:paraId="4A11334C">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sz w:val="21"/>
                <w:szCs w:val="21"/>
                <w:highlight w:val="none"/>
                <w:lang w:val="en-US" w:eastAsia="zh-CN"/>
              </w:rPr>
            </w:pPr>
            <w:r>
              <w:rPr>
                <w:rFonts w:hint="eastAsia"/>
                <w:sz w:val="21"/>
                <w:szCs w:val="21"/>
                <w:highlight w:val="none"/>
                <w:lang w:val="en-US" w:eastAsia="zh-CN"/>
              </w:rPr>
              <w:t>ZH23011020006</w:t>
            </w:r>
          </w:p>
          <w:p w14:paraId="28C3E7F2">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sz w:val="21"/>
                <w:szCs w:val="21"/>
                <w:highlight w:val="none"/>
                <w:lang w:val="en-US" w:eastAsia="zh-CN"/>
              </w:rPr>
            </w:pPr>
          </w:p>
        </w:tc>
        <w:tc>
          <w:tcPr>
            <w:tcW w:w="617" w:type="dxa"/>
            <w:vMerge w:val="restart"/>
            <w:vAlign w:val="center"/>
          </w:tcPr>
          <w:p w14:paraId="7837FC9E">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sz w:val="21"/>
                <w:szCs w:val="21"/>
                <w:highlight w:val="none"/>
                <w:lang w:val="en-US" w:eastAsia="zh-CN"/>
              </w:rPr>
            </w:pPr>
            <w:r>
              <w:rPr>
                <w:rFonts w:hint="eastAsia"/>
                <w:sz w:val="21"/>
                <w:szCs w:val="21"/>
                <w:highlight w:val="none"/>
                <w:lang w:val="en-US" w:eastAsia="zh-CN"/>
              </w:rPr>
              <w:t>香坊区大气环境布局敏感重点管控区</w:t>
            </w:r>
          </w:p>
        </w:tc>
        <w:tc>
          <w:tcPr>
            <w:tcW w:w="383" w:type="dxa"/>
            <w:vMerge w:val="restart"/>
            <w:vAlign w:val="center"/>
          </w:tcPr>
          <w:p w14:paraId="5877243C">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sz w:val="21"/>
                <w:szCs w:val="21"/>
                <w:highlight w:val="none"/>
                <w:lang w:val="en-US" w:eastAsia="zh-CN"/>
              </w:rPr>
            </w:pPr>
            <w:r>
              <w:rPr>
                <w:rFonts w:hint="default"/>
                <w:sz w:val="21"/>
                <w:szCs w:val="21"/>
                <w:highlight w:val="none"/>
                <w:lang w:val="en-US" w:eastAsia="zh-CN"/>
              </w:rPr>
              <w:t>重点管控单元</w:t>
            </w:r>
          </w:p>
        </w:tc>
        <w:tc>
          <w:tcPr>
            <w:tcW w:w="703" w:type="dxa"/>
            <w:vMerge w:val="restart"/>
            <w:vAlign w:val="center"/>
          </w:tcPr>
          <w:p w14:paraId="119CA146">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eastAsia"/>
                <w:sz w:val="21"/>
                <w:szCs w:val="21"/>
                <w:highlight w:val="none"/>
                <w:lang w:val="en-US" w:eastAsia="zh-CN"/>
              </w:rPr>
            </w:pPr>
            <w:r>
              <w:rPr>
                <w:rFonts w:hint="eastAsia"/>
                <w:sz w:val="21"/>
                <w:szCs w:val="21"/>
                <w:highlight w:val="none"/>
                <w:lang w:val="en-US" w:eastAsia="zh-CN"/>
              </w:rPr>
              <w:t>空间布局约束</w:t>
            </w:r>
          </w:p>
        </w:tc>
        <w:tc>
          <w:tcPr>
            <w:tcW w:w="3795" w:type="dxa"/>
            <w:shd w:val="clear" w:color="auto" w:fill="auto"/>
            <w:vAlign w:val="center"/>
          </w:tcPr>
          <w:p w14:paraId="11C10B7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snapToGrid w:val="0"/>
                <w:color w:val="auto"/>
                <w:sz w:val="21"/>
                <w:szCs w:val="21"/>
                <w:highlight w:val="none"/>
                <w:lang w:val="en-US" w:eastAsia="en-US"/>
              </w:rPr>
            </w:pPr>
            <w:r>
              <w:rPr>
                <w:rFonts w:hint="eastAsia" w:ascii="Times New Roman" w:hAnsi="Times New Roman" w:eastAsia="宋体" w:cs="Times New Roman"/>
                <w:snapToGrid w:val="0"/>
                <w:color w:val="auto"/>
                <w:sz w:val="21"/>
                <w:szCs w:val="21"/>
                <w:highlight w:val="none"/>
                <w:lang w:val="en-US" w:eastAsia="zh-CN"/>
              </w:rPr>
              <w:t>1.严控“两高”行业产能。严格执行钢铁、水泥、平板玻璃等行业产能置换实施办法。</w:t>
            </w:r>
          </w:p>
        </w:tc>
        <w:tc>
          <w:tcPr>
            <w:tcW w:w="1917" w:type="dxa"/>
            <w:vAlign w:val="center"/>
          </w:tcPr>
          <w:p w14:paraId="7C8D56A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本项目不涉及</w:t>
            </w:r>
          </w:p>
        </w:tc>
        <w:tc>
          <w:tcPr>
            <w:tcW w:w="620" w:type="dxa"/>
            <w:vAlign w:val="center"/>
          </w:tcPr>
          <w:p w14:paraId="58580601">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符合</w:t>
            </w:r>
          </w:p>
        </w:tc>
      </w:tr>
      <w:tr w14:paraId="13CCC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6" w:type="dxa"/>
            <w:vMerge w:val="continue"/>
            <w:vAlign w:val="center"/>
          </w:tcPr>
          <w:p w14:paraId="5CE1B423">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sz w:val="21"/>
                <w:szCs w:val="21"/>
                <w:highlight w:val="none"/>
                <w:lang w:val="en-US" w:eastAsia="zh-CN"/>
              </w:rPr>
            </w:pPr>
          </w:p>
        </w:tc>
        <w:tc>
          <w:tcPr>
            <w:tcW w:w="617" w:type="dxa"/>
            <w:vMerge w:val="continue"/>
            <w:vAlign w:val="center"/>
          </w:tcPr>
          <w:p w14:paraId="59CA31BA">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sz w:val="21"/>
                <w:szCs w:val="21"/>
                <w:highlight w:val="none"/>
                <w:lang w:val="en-US" w:eastAsia="zh-CN"/>
              </w:rPr>
            </w:pPr>
          </w:p>
        </w:tc>
        <w:tc>
          <w:tcPr>
            <w:tcW w:w="383" w:type="dxa"/>
            <w:vMerge w:val="continue"/>
            <w:vAlign w:val="center"/>
          </w:tcPr>
          <w:p w14:paraId="0A7C1DF7">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sz w:val="21"/>
                <w:szCs w:val="21"/>
                <w:highlight w:val="none"/>
                <w:lang w:val="en-US" w:eastAsia="zh-CN"/>
              </w:rPr>
            </w:pPr>
          </w:p>
        </w:tc>
        <w:tc>
          <w:tcPr>
            <w:tcW w:w="703" w:type="dxa"/>
            <w:vMerge w:val="continue"/>
            <w:vAlign w:val="center"/>
          </w:tcPr>
          <w:p w14:paraId="25129FD2">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eastAsia"/>
                <w:sz w:val="21"/>
                <w:szCs w:val="21"/>
                <w:highlight w:val="none"/>
                <w:lang w:val="en-US" w:eastAsia="zh-CN"/>
              </w:rPr>
            </w:pPr>
          </w:p>
        </w:tc>
        <w:tc>
          <w:tcPr>
            <w:tcW w:w="3795" w:type="dxa"/>
            <w:shd w:val="clear" w:color="auto" w:fill="auto"/>
            <w:vAlign w:val="center"/>
          </w:tcPr>
          <w:p w14:paraId="04DB7A6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snapToGrid w:val="0"/>
                <w:color w:val="auto"/>
                <w:sz w:val="21"/>
                <w:szCs w:val="21"/>
                <w:highlight w:val="none"/>
                <w:lang w:val="en-US" w:eastAsia="en-US"/>
              </w:rPr>
            </w:pPr>
            <w:r>
              <w:rPr>
                <w:rFonts w:hint="eastAsia" w:ascii="Times New Roman" w:hAnsi="Times New Roman" w:eastAsia="宋体" w:cs="Times New Roman"/>
                <w:snapToGrid w:val="0"/>
                <w:color w:val="auto"/>
                <w:sz w:val="21"/>
                <w:szCs w:val="21"/>
                <w:highlight w:val="none"/>
                <w:lang w:val="en-US" w:eastAsia="zh-CN"/>
              </w:rPr>
              <w:t>2.利用水泥窑协同处置城市生活垃圾、危险废弃物、电石渣等固废伴生水泥项目，必须依托现有新型干法水泥熟料生产线进行不扩产能改造。</w:t>
            </w:r>
          </w:p>
        </w:tc>
        <w:tc>
          <w:tcPr>
            <w:tcW w:w="1917" w:type="dxa"/>
            <w:vAlign w:val="center"/>
          </w:tcPr>
          <w:p w14:paraId="0ED53DB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本项目不涉及</w:t>
            </w:r>
          </w:p>
        </w:tc>
        <w:tc>
          <w:tcPr>
            <w:tcW w:w="620" w:type="dxa"/>
            <w:vAlign w:val="center"/>
          </w:tcPr>
          <w:p w14:paraId="04638508">
            <w:pPr>
              <w:pStyle w:val="8"/>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符合</w:t>
            </w:r>
          </w:p>
        </w:tc>
      </w:tr>
      <w:tr w14:paraId="1E04D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6" w:type="dxa"/>
            <w:vMerge w:val="continue"/>
            <w:vAlign w:val="center"/>
          </w:tcPr>
          <w:p w14:paraId="7DC0BA7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p>
        </w:tc>
        <w:tc>
          <w:tcPr>
            <w:tcW w:w="617" w:type="dxa"/>
            <w:vMerge w:val="continue"/>
            <w:vAlign w:val="center"/>
          </w:tcPr>
          <w:p w14:paraId="1EFAE7D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p>
        </w:tc>
        <w:tc>
          <w:tcPr>
            <w:tcW w:w="383" w:type="dxa"/>
            <w:vMerge w:val="continue"/>
            <w:vAlign w:val="center"/>
          </w:tcPr>
          <w:p w14:paraId="556A627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p>
        </w:tc>
        <w:tc>
          <w:tcPr>
            <w:tcW w:w="703" w:type="dxa"/>
            <w:vMerge w:val="restart"/>
            <w:vAlign w:val="center"/>
          </w:tcPr>
          <w:p w14:paraId="149D8831">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污染物排放管控</w:t>
            </w:r>
          </w:p>
          <w:p w14:paraId="2E86A7E2">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p>
        </w:tc>
        <w:tc>
          <w:tcPr>
            <w:tcW w:w="3795" w:type="dxa"/>
            <w:shd w:val="clear" w:color="auto" w:fill="auto"/>
            <w:vAlign w:val="center"/>
          </w:tcPr>
          <w:p w14:paraId="5133E923">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val="0"/>
              <w:snapToGrid w:val="0"/>
              <w:spacing w:before="0" w:beforeAutospacing="0" w:after="0" w:afterAutospacing="0" w:line="240" w:lineRule="auto"/>
              <w:ind w:left="0" w:right="0" w:firstLine="420" w:firstLineChars="200"/>
              <w:jc w:val="left"/>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 xml:space="preserve">1.对以煤、石焦油、渣油、重油等为燃料的锅炉和工业炉窑，加快使用清洁低碳能源以及工厂余热、电力热力等进行替代。 </w:t>
            </w:r>
          </w:p>
        </w:tc>
        <w:tc>
          <w:tcPr>
            <w:tcW w:w="1917" w:type="dxa"/>
            <w:vAlign w:val="center"/>
          </w:tcPr>
          <w:p w14:paraId="384A13FC">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本项目不涉及</w:t>
            </w:r>
          </w:p>
        </w:tc>
        <w:tc>
          <w:tcPr>
            <w:tcW w:w="620" w:type="dxa"/>
            <w:vAlign w:val="center"/>
          </w:tcPr>
          <w:p w14:paraId="1D4E88AD">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45F61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6" w:type="dxa"/>
            <w:vMerge w:val="continue"/>
            <w:vAlign w:val="center"/>
          </w:tcPr>
          <w:p w14:paraId="6C8D9549">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p>
        </w:tc>
        <w:tc>
          <w:tcPr>
            <w:tcW w:w="617" w:type="dxa"/>
            <w:vMerge w:val="continue"/>
            <w:vAlign w:val="center"/>
          </w:tcPr>
          <w:p w14:paraId="16A1DAEE">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p>
        </w:tc>
        <w:tc>
          <w:tcPr>
            <w:tcW w:w="383" w:type="dxa"/>
            <w:vMerge w:val="continue"/>
            <w:vAlign w:val="center"/>
          </w:tcPr>
          <w:p w14:paraId="7F1AC093">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p>
        </w:tc>
        <w:tc>
          <w:tcPr>
            <w:tcW w:w="703" w:type="dxa"/>
            <w:vMerge w:val="continue"/>
            <w:vAlign w:val="center"/>
          </w:tcPr>
          <w:p w14:paraId="08948B44">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p>
        </w:tc>
        <w:tc>
          <w:tcPr>
            <w:tcW w:w="3795" w:type="dxa"/>
            <w:shd w:val="clear" w:color="auto" w:fill="auto"/>
            <w:vAlign w:val="center"/>
          </w:tcPr>
          <w:p w14:paraId="1A0E482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val="0"/>
              <w:snapToGrid w:val="0"/>
              <w:spacing w:before="0" w:beforeAutospacing="0" w:after="0" w:afterAutospacing="0" w:line="240" w:lineRule="auto"/>
              <w:ind w:left="0" w:right="0" w:firstLine="420" w:firstLineChars="200"/>
              <w:jc w:val="left"/>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2.到2025 年，在用 65 蒸吨/小时以上的燃煤锅炉（含电力）实现超低排放，钢铁企业基本实现超低排放。</w:t>
            </w:r>
          </w:p>
        </w:tc>
        <w:tc>
          <w:tcPr>
            <w:tcW w:w="1917" w:type="dxa"/>
            <w:vAlign w:val="center"/>
          </w:tcPr>
          <w:p w14:paraId="56580590">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本项目不涉及</w:t>
            </w:r>
          </w:p>
        </w:tc>
        <w:tc>
          <w:tcPr>
            <w:tcW w:w="620" w:type="dxa"/>
            <w:vAlign w:val="center"/>
          </w:tcPr>
          <w:p w14:paraId="0DB176D8">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068D5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6" w:type="dxa"/>
            <w:vMerge w:val="continue"/>
            <w:vAlign w:val="center"/>
          </w:tcPr>
          <w:p w14:paraId="667282C5">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p>
        </w:tc>
        <w:tc>
          <w:tcPr>
            <w:tcW w:w="617" w:type="dxa"/>
            <w:vMerge w:val="continue"/>
            <w:vAlign w:val="center"/>
          </w:tcPr>
          <w:p w14:paraId="7631E0C3">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p>
        </w:tc>
        <w:tc>
          <w:tcPr>
            <w:tcW w:w="383" w:type="dxa"/>
            <w:vMerge w:val="continue"/>
            <w:vAlign w:val="center"/>
          </w:tcPr>
          <w:p w14:paraId="4129764B">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highlight w:val="none"/>
                <w:lang w:val="en-US" w:eastAsia="zh-CN"/>
              </w:rPr>
            </w:pPr>
          </w:p>
        </w:tc>
        <w:tc>
          <w:tcPr>
            <w:tcW w:w="703" w:type="dxa"/>
            <w:vAlign w:val="center"/>
          </w:tcPr>
          <w:p w14:paraId="566FE42F">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环境风险防控</w:t>
            </w:r>
          </w:p>
        </w:tc>
        <w:tc>
          <w:tcPr>
            <w:tcW w:w="3795" w:type="dxa"/>
            <w:shd w:val="clear" w:color="auto" w:fill="auto"/>
            <w:vAlign w:val="center"/>
          </w:tcPr>
          <w:p w14:paraId="70CA95A3">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val="0"/>
              <w:snapToGrid w:val="0"/>
              <w:spacing w:before="0" w:beforeAutospacing="0" w:after="0" w:afterAutospacing="0" w:line="240" w:lineRule="auto"/>
              <w:ind w:left="0" w:right="0" w:firstLine="420" w:firstLineChars="200"/>
              <w:jc w:val="left"/>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 xml:space="preserve">禁止在居民区、学校、医疗和养老机构等周边新建有色金属冶炼、焦化等行业企业。 </w:t>
            </w:r>
          </w:p>
        </w:tc>
        <w:tc>
          <w:tcPr>
            <w:tcW w:w="1917" w:type="dxa"/>
            <w:vAlign w:val="center"/>
          </w:tcPr>
          <w:p w14:paraId="2A95312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本项目不涉及</w:t>
            </w:r>
          </w:p>
        </w:tc>
        <w:tc>
          <w:tcPr>
            <w:tcW w:w="620" w:type="dxa"/>
            <w:vAlign w:val="center"/>
          </w:tcPr>
          <w:p w14:paraId="6D5B882A">
            <w:pPr>
              <w:pStyle w:val="2"/>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bl>
    <w:p w14:paraId="3FF23216">
      <w:pPr>
        <w:pStyle w:val="4"/>
        <w:bidi w:val="0"/>
        <w:rPr>
          <w:highlight w:val="none"/>
        </w:rPr>
      </w:pPr>
      <w:bookmarkStart w:id="109" w:name="_Toc16540"/>
      <w:bookmarkStart w:id="110" w:name="_Toc21440"/>
      <w:bookmarkStart w:id="111" w:name="_Toc30422"/>
      <w:bookmarkStart w:id="112" w:name="_Toc4431"/>
      <w:bookmarkStart w:id="113" w:name="_Toc15991621"/>
      <w:r>
        <w:rPr>
          <w:highlight w:val="none"/>
        </w:rPr>
        <w:t>1.5关注的主要环境问题</w:t>
      </w:r>
      <w:bookmarkEnd w:id="109"/>
      <w:bookmarkEnd w:id="110"/>
    </w:p>
    <w:p w14:paraId="235F92F3">
      <w:pPr>
        <w:bidi w:val="0"/>
        <w:rPr>
          <w:highlight w:val="none"/>
        </w:rPr>
      </w:pPr>
      <w:bookmarkStart w:id="114" w:name="_Toc479252801"/>
      <w:r>
        <w:rPr>
          <w:highlight w:val="none"/>
        </w:rPr>
        <w:t>本评价关注的主要环境问题是，本项目投入运营后污染物的</w:t>
      </w:r>
      <w:r>
        <w:rPr>
          <w:rFonts w:hint="eastAsia"/>
          <w:highlight w:val="none"/>
          <w:lang w:val="en-US" w:eastAsia="zh-CN"/>
        </w:rPr>
        <w:t>排放</w:t>
      </w:r>
      <w:r>
        <w:rPr>
          <w:highlight w:val="none"/>
        </w:rPr>
        <w:t>对环境的影响。</w:t>
      </w:r>
    </w:p>
    <w:p w14:paraId="1331027F">
      <w:pPr>
        <w:bidi w:val="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废气污染物（</w:t>
      </w:r>
      <w:r>
        <w:rPr>
          <w:rFonts w:hint="eastAsia"/>
          <w:highlight w:val="none"/>
          <w:lang w:val="en-US" w:eastAsia="zh-CN"/>
        </w:rPr>
        <w:t>油雾（以非甲烷总烃计）、挥发性有机物（以非甲烷总烃计）、颗粒物、臭气浓度</w:t>
      </w:r>
      <w:r>
        <w:rPr>
          <w:highlight w:val="none"/>
        </w:rPr>
        <w:t>）对周边大气环境的影响范围及程度。</w:t>
      </w:r>
    </w:p>
    <w:p w14:paraId="572A47D6">
      <w:pPr>
        <w:bidi w:val="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危险废物是否可得到有效处理、处置，不会对环境产生二次污染。</w:t>
      </w:r>
    </w:p>
    <w:p w14:paraId="581C2A34">
      <w:pPr>
        <w:bidi w:val="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lang w:val="en-US" w:eastAsia="zh-CN"/>
        </w:rPr>
        <w:t>生产车间、危险废物贮存库等重点防渗区防渗</w:t>
      </w:r>
      <w:r>
        <w:rPr>
          <w:highlight w:val="none"/>
        </w:rPr>
        <w:t>破损导致污染物下渗对地下水环境的影响范围及程度。</w:t>
      </w:r>
    </w:p>
    <w:p w14:paraId="331A3B5E">
      <w:pPr>
        <w:bidi w:val="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废气污染防治措施可行性，是否保证污染物稳定达标排放。</w:t>
      </w:r>
    </w:p>
    <w:p w14:paraId="2908BA1D">
      <w:pPr>
        <w:bidi w:val="0"/>
        <w:rPr>
          <w:highlight w:val="none"/>
        </w:rPr>
      </w:pPr>
      <w:r>
        <w:rPr>
          <w:rFonts w:hint="eastAsia"/>
          <w:highlight w:val="none"/>
          <w:lang w:val="en-US" w:eastAsia="zh-CN"/>
        </w:rPr>
        <w:t>（5）</w:t>
      </w:r>
      <w:r>
        <w:rPr>
          <w:rFonts w:hint="eastAsia"/>
          <w:highlight w:val="none"/>
        </w:rPr>
        <w:t>油类物质产生的环境风险是否可以得到有效控制。</w:t>
      </w:r>
    </w:p>
    <w:bookmarkEnd w:id="114"/>
    <w:p w14:paraId="282C6990">
      <w:pPr>
        <w:pStyle w:val="4"/>
        <w:bidi w:val="0"/>
        <w:rPr>
          <w:highlight w:val="none"/>
        </w:rPr>
      </w:pPr>
      <w:bookmarkStart w:id="115" w:name="_Toc22670"/>
      <w:r>
        <w:rPr>
          <w:highlight w:val="none"/>
        </w:rPr>
        <w:t>1.6环境影响评价主要结论</w:t>
      </w:r>
      <w:bookmarkEnd w:id="111"/>
      <w:bookmarkEnd w:id="112"/>
      <w:bookmarkEnd w:id="115"/>
    </w:p>
    <w:p w14:paraId="1D103FD7">
      <w:pPr>
        <w:pStyle w:val="77"/>
        <w:adjustRightInd/>
        <w:snapToGrid/>
        <w:contextualSpacing/>
        <w:rPr>
          <w:rFonts w:eastAsiaTheme="minorEastAsia"/>
          <w:highlight w:val="none"/>
        </w:rPr>
        <w:sectPr>
          <w:headerReference r:id="rId13" w:type="default"/>
          <w:footerReference r:id="rId14"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ascii="Times New Roman" w:cs="Times New Roman" w:hAnsiTheme="minorEastAsia"/>
          <w:highlight w:val="none"/>
        </w:rPr>
        <w:t>本报告通过调查、分析和综合评价后认为：拟建项目符合国家和地方有关环境保护法律法规、标准、政策、规范及相关规划要求；生产过程中遵循清洁生产理念，所采用的各项污染防治措施技术可行、经济合理，能保证各类污染物长期稳定达标排放；预测结果表明项目所排放的污染物对周围环境和环境保护目标影响较小。综上所述，在规划相符、落实本报告书中的各项环保措施以及各级环保主管部门管理要求、项目取得周边公众理解和支持的前提下，从环保角度分析，拟建项目的建设具有环境可行性。同时，拟建项目在设计、建设、运行全过程中还必须满足消防、安全、职业卫生等相关管理要求，进行规范化的设计、施工和运行管理。</w:t>
      </w:r>
    </w:p>
    <w:bookmarkEnd w:id="113"/>
    <w:p w14:paraId="22B33D66">
      <w:pPr>
        <w:pStyle w:val="3"/>
        <w:bidi w:val="0"/>
        <w:rPr>
          <w:highlight w:val="none"/>
        </w:rPr>
      </w:pPr>
      <w:bookmarkStart w:id="116" w:name="_Toc19616"/>
      <w:bookmarkStart w:id="117" w:name="_Toc19241"/>
      <w:bookmarkStart w:id="118" w:name="_Toc479252802"/>
      <w:bookmarkStart w:id="119" w:name="_Toc30112"/>
      <w:r>
        <w:rPr>
          <w:highlight w:val="none"/>
        </w:rPr>
        <w:t>2总则</w:t>
      </w:r>
      <w:bookmarkEnd w:id="116"/>
      <w:bookmarkEnd w:id="117"/>
      <w:bookmarkEnd w:id="118"/>
      <w:bookmarkEnd w:id="119"/>
    </w:p>
    <w:p w14:paraId="00051927">
      <w:pPr>
        <w:pStyle w:val="4"/>
        <w:bidi w:val="0"/>
        <w:rPr>
          <w:highlight w:val="none"/>
        </w:rPr>
      </w:pPr>
      <w:bookmarkStart w:id="120" w:name="_Toc23154"/>
      <w:bookmarkStart w:id="121" w:name="_Toc479252803"/>
      <w:bookmarkStart w:id="122" w:name="_Toc26074"/>
      <w:r>
        <w:rPr>
          <w:highlight w:val="none"/>
        </w:rPr>
        <w:t>2.1编制依据</w:t>
      </w:r>
      <w:bookmarkEnd w:id="120"/>
      <w:bookmarkEnd w:id="121"/>
      <w:bookmarkEnd w:id="122"/>
    </w:p>
    <w:p w14:paraId="1A8BEB77">
      <w:pPr>
        <w:pStyle w:val="5"/>
        <w:bidi w:val="0"/>
        <w:rPr>
          <w:rFonts w:hint="default"/>
          <w:highlight w:val="none"/>
          <w:lang w:val="en-US" w:eastAsia="zh-CN"/>
        </w:rPr>
      </w:pPr>
      <w:bookmarkStart w:id="123" w:name="_Toc11758465"/>
      <w:bookmarkStart w:id="124" w:name="_Toc1516"/>
      <w:bookmarkStart w:id="125" w:name="_Toc3369"/>
      <w:r>
        <w:rPr>
          <w:highlight w:val="none"/>
        </w:rPr>
        <w:t>2.1.1相关法律、法规</w:t>
      </w:r>
      <w:bookmarkEnd w:id="123"/>
      <w:r>
        <w:rPr>
          <w:rFonts w:hint="eastAsia"/>
          <w:highlight w:val="none"/>
          <w:lang w:val="en-US" w:eastAsia="zh-CN"/>
        </w:rPr>
        <w:t>及部门规章</w:t>
      </w:r>
      <w:bookmarkEnd w:id="124"/>
      <w:bookmarkEnd w:id="125"/>
    </w:p>
    <w:p w14:paraId="45778563">
      <w:pPr>
        <w:numPr>
          <w:ilvl w:val="0"/>
          <w:numId w:val="7"/>
        </w:numPr>
        <w:bidi w:val="0"/>
        <w:rPr>
          <w:highlight w:val="none"/>
        </w:rPr>
      </w:pPr>
      <w:bookmarkStart w:id="126" w:name="_Toc233779584"/>
      <w:r>
        <w:rPr>
          <w:highlight w:val="none"/>
        </w:rPr>
        <w:t>《中华人民共和国环境保护法》，2015年1月1日；</w:t>
      </w:r>
    </w:p>
    <w:p w14:paraId="2409DA85">
      <w:pPr>
        <w:numPr>
          <w:ilvl w:val="0"/>
          <w:numId w:val="7"/>
        </w:numPr>
        <w:bidi w:val="0"/>
        <w:rPr>
          <w:highlight w:val="none"/>
        </w:rPr>
      </w:pPr>
      <w:r>
        <w:rPr>
          <w:highlight w:val="none"/>
        </w:rPr>
        <w:t>《中华人民共和国水污染防治法》，2018年1月1日</w:t>
      </w:r>
    </w:p>
    <w:p w14:paraId="1DEA870C">
      <w:pPr>
        <w:bidi w:val="0"/>
        <w:rPr>
          <w:highlight w:val="none"/>
        </w:rPr>
      </w:pPr>
      <w:r>
        <w:rPr>
          <w:highlight w:val="none"/>
        </w:rPr>
        <w:t>（3）《中华人民共和国大气污染防治法》，2018年10月26日；</w:t>
      </w:r>
    </w:p>
    <w:p w14:paraId="18666B52">
      <w:pPr>
        <w:bidi w:val="0"/>
        <w:rPr>
          <w:highlight w:val="none"/>
        </w:rPr>
      </w:pPr>
      <w:r>
        <w:rPr>
          <w:highlight w:val="none"/>
        </w:rPr>
        <w:t>（4）《中华人民共和国噪声污染防治法》，2022年6月5日；</w:t>
      </w:r>
    </w:p>
    <w:p w14:paraId="56205015">
      <w:pPr>
        <w:bidi w:val="0"/>
        <w:rPr>
          <w:highlight w:val="none"/>
        </w:rPr>
      </w:pPr>
      <w:r>
        <w:rPr>
          <w:highlight w:val="none"/>
        </w:rPr>
        <w:t>（5）《中华人民共和国固体废物污染环境防治法》，2020年9月1日；</w:t>
      </w:r>
    </w:p>
    <w:p w14:paraId="54D03E32">
      <w:pPr>
        <w:bidi w:val="0"/>
        <w:rPr>
          <w:highlight w:val="none"/>
        </w:rPr>
      </w:pPr>
      <w:r>
        <w:rPr>
          <w:highlight w:val="none"/>
        </w:rPr>
        <w:t>（6）《中华人民共和国清洁生产促进法》，2012年7月1日；</w:t>
      </w:r>
    </w:p>
    <w:p w14:paraId="512A7DE0">
      <w:pPr>
        <w:bidi w:val="0"/>
        <w:rPr>
          <w:highlight w:val="none"/>
        </w:rPr>
      </w:pPr>
      <w:r>
        <w:rPr>
          <w:highlight w:val="none"/>
        </w:rPr>
        <w:t>（7）《中华人民共和国环境影响评价法》（修订），2018年12月29日；</w:t>
      </w:r>
    </w:p>
    <w:p w14:paraId="49BA8784">
      <w:pPr>
        <w:bidi w:val="0"/>
        <w:rPr>
          <w:highlight w:val="none"/>
        </w:rPr>
      </w:pPr>
      <w:r>
        <w:rPr>
          <w:highlight w:val="none"/>
        </w:rPr>
        <w:t>（8）国务院第682号令《建设项目环境保护管理条例》，2017年10月1日；</w:t>
      </w:r>
    </w:p>
    <w:p w14:paraId="60081D4B">
      <w:pPr>
        <w:bidi w:val="0"/>
        <w:rPr>
          <w:highlight w:val="none"/>
        </w:rPr>
      </w:pPr>
      <w:r>
        <w:rPr>
          <w:highlight w:val="none"/>
        </w:rPr>
        <w:t>（9）《中华人民共和国土壤污染防治法》，2019年1月1日；</w:t>
      </w:r>
    </w:p>
    <w:p w14:paraId="18917953">
      <w:pPr>
        <w:bidi w:val="0"/>
        <w:rPr>
          <w:highlight w:val="none"/>
        </w:rPr>
      </w:pPr>
      <w:r>
        <w:rPr>
          <w:highlight w:val="none"/>
        </w:rPr>
        <w:t>（10）《中华人民共和国土地管理法》，2020年1月1日；</w:t>
      </w:r>
    </w:p>
    <w:p w14:paraId="0E828DC5">
      <w:pPr>
        <w:bidi w:val="0"/>
        <w:rPr>
          <w:highlight w:val="none"/>
        </w:rPr>
      </w:pPr>
      <w:r>
        <w:rPr>
          <w:highlight w:val="none"/>
        </w:rPr>
        <w:t>（11）《中华人民共和国水法》，2016年7月2日；</w:t>
      </w:r>
    </w:p>
    <w:p w14:paraId="52D4308B">
      <w:pPr>
        <w:bidi w:val="0"/>
        <w:rPr>
          <w:highlight w:val="none"/>
        </w:rPr>
      </w:pPr>
      <w:r>
        <w:rPr>
          <w:highlight w:val="none"/>
        </w:rPr>
        <w:t>（12）《中华人民共和国水土保持法》，2011年3月1日；</w:t>
      </w:r>
    </w:p>
    <w:p w14:paraId="0DB433D2">
      <w:pPr>
        <w:bidi w:val="0"/>
        <w:rPr>
          <w:highlight w:val="none"/>
        </w:rPr>
      </w:pPr>
      <w:r>
        <w:rPr>
          <w:highlight w:val="none"/>
        </w:rPr>
        <w:t>（13）《建设项目环境影响评价分类管理名录》（2021版</w:t>
      </w:r>
      <w:r>
        <w:rPr>
          <w:rFonts w:hint="eastAsia"/>
          <w:highlight w:val="none"/>
          <w:lang w:eastAsia="zh-CN"/>
        </w:rPr>
        <w:t>）</w:t>
      </w:r>
      <w:r>
        <w:rPr>
          <w:highlight w:val="none"/>
        </w:rPr>
        <w:t>，自2021年1月1日起施行；</w:t>
      </w:r>
    </w:p>
    <w:p w14:paraId="7725A314">
      <w:pPr>
        <w:bidi w:val="0"/>
        <w:rPr>
          <w:highlight w:val="none"/>
        </w:rPr>
      </w:pPr>
      <w:r>
        <w:rPr>
          <w:highlight w:val="none"/>
        </w:rPr>
        <w:t>（14）《产业结构调整指导目录（20</w:t>
      </w:r>
      <w:r>
        <w:rPr>
          <w:rFonts w:hint="eastAsia"/>
          <w:highlight w:val="none"/>
          <w:lang w:val="en-US" w:eastAsia="zh-CN"/>
        </w:rPr>
        <w:t>24</w:t>
      </w:r>
      <w:r>
        <w:rPr>
          <w:highlight w:val="none"/>
        </w:rPr>
        <w:t>年本）》；</w:t>
      </w:r>
    </w:p>
    <w:p w14:paraId="4C135F38">
      <w:pPr>
        <w:bidi w:val="0"/>
        <w:rPr>
          <w:highlight w:val="none"/>
        </w:rPr>
      </w:pPr>
      <w:r>
        <w:rPr>
          <w:highlight w:val="none"/>
        </w:rPr>
        <w:t>（15）《环境影响评价公众参与办法》，2019年1月1日；</w:t>
      </w:r>
    </w:p>
    <w:p w14:paraId="2811434D">
      <w:pPr>
        <w:bidi w:val="0"/>
        <w:rPr>
          <w:highlight w:val="none"/>
        </w:rPr>
      </w:pPr>
      <w:r>
        <w:rPr>
          <w:highlight w:val="none"/>
        </w:rPr>
        <w:t>（16）《关于切实加强风险防范严格环境影响评价管理的通知》（环发</w:t>
      </w:r>
      <w:r>
        <w:rPr>
          <w:rFonts w:hint="eastAsia"/>
          <w:highlight w:val="none"/>
          <w:lang w:val="en-US" w:eastAsia="zh-CN"/>
        </w:rPr>
        <w:t>[</w:t>
      </w:r>
      <w:r>
        <w:rPr>
          <w:highlight w:val="none"/>
        </w:rPr>
        <w:t>2012</w:t>
      </w:r>
      <w:r>
        <w:rPr>
          <w:rFonts w:hint="eastAsia"/>
          <w:highlight w:val="none"/>
          <w:lang w:val="en-US" w:eastAsia="zh-CN"/>
        </w:rPr>
        <w:t>]</w:t>
      </w:r>
      <w:r>
        <w:rPr>
          <w:highlight w:val="none"/>
        </w:rPr>
        <w:t>98号文）；</w:t>
      </w:r>
    </w:p>
    <w:p w14:paraId="5C75C11B">
      <w:pPr>
        <w:bidi w:val="0"/>
        <w:rPr>
          <w:rFonts w:hint="eastAsia" w:ascii="Times New Roman" w:hAnsi="Times New Roman" w:eastAsia="宋体" w:cs="Times New Roman"/>
          <w:highlight w:val="none"/>
        </w:rPr>
      </w:pPr>
      <w:r>
        <w:rPr>
          <w:rFonts w:hint="eastAsia"/>
          <w:highlight w:val="none"/>
          <w:lang w:eastAsia="zh-CN"/>
        </w:rPr>
        <w:t>（</w:t>
      </w:r>
      <w:r>
        <w:rPr>
          <w:rFonts w:hint="eastAsia"/>
          <w:highlight w:val="none"/>
          <w:lang w:val="en-US" w:eastAsia="zh-CN"/>
        </w:rPr>
        <w:t>17</w:t>
      </w:r>
      <w:r>
        <w:rPr>
          <w:rFonts w:hint="eastAsia"/>
          <w:highlight w:val="none"/>
          <w:lang w:eastAsia="zh-CN"/>
        </w:rPr>
        <w:t>）</w:t>
      </w:r>
      <w:r>
        <w:rPr>
          <w:rFonts w:hint="eastAsia"/>
          <w:highlight w:val="none"/>
        </w:rPr>
        <w:t>《再生资源回收管理办法（</w:t>
      </w:r>
      <w:r>
        <w:rPr>
          <w:rFonts w:hint="eastAsia" w:ascii="Times New Roman" w:hAnsi="Times New Roman" w:eastAsia="宋体" w:cs="Times New Roman"/>
          <w:highlight w:val="none"/>
        </w:rPr>
        <w:t>2019修正）》（商务部令2007年第8号）；</w:t>
      </w:r>
    </w:p>
    <w:p w14:paraId="6E4A0905">
      <w:pPr>
        <w:bidi w:val="0"/>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18</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《危险废物污染防治技术政策》（环发[2001]199号）；</w:t>
      </w:r>
    </w:p>
    <w:p w14:paraId="6616D54A">
      <w:pPr>
        <w:bidi w:val="0"/>
        <w:rPr>
          <w:rFonts w:ascii="Times New Roman" w:hAnsi="Times New Roman" w:eastAsia="宋体" w:cs="Times New Roman"/>
          <w:highlight w:val="none"/>
        </w:rPr>
      </w:pPr>
      <w:r>
        <w:rPr>
          <w:rFonts w:ascii="Times New Roman" w:hAnsi="Times New Roman" w:eastAsia="宋体" w:cs="Times New Roman"/>
          <w:highlight w:val="none"/>
        </w:rPr>
        <w:t>（</w:t>
      </w:r>
      <w:r>
        <w:rPr>
          <w:rFonts w:hint="eastAsia" w:ascii="Times New Roman" w:hAnsi="Times New Roman" w:eastAsia="宋体" w:cs="Times New Roman"/>
          <w:highlight w:val="none"/>
          <w:lang w:val="en-US" w:eastAsia="zh-CN"/>
        </w:rPr>
        <w:t>19）</w:t>
      </w:r>
      <w:r>
        <w:rPr>
          <w:rFonts w:ascii="Times New Roman" w:hAnsi="Times New Roman" w:eastAsia="宋体" w:cs="Times New Roman"/>
          <w:highlight w:val="none"/>
        </w:rPr>
        <w:t>《水污染防治行动计划》2015年4月16日；</w:t>
      </w:r>
    </w:p>
    <w:p w14:paraId="3587F798">
      <w:pPr>
        <w:bidi w:val="0"/>
        <w:rPr>
          <w:highlight w:val="none"/>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20</w:t>
      </w:r>
      <w:r>
        <w:rPr>
          <w:rFonts w:hint="eastAsia" w:ascii="Times New Roman" w:hAnsi="Times New Roman" w:eastAsia="宋体" w:cs="Times New Roman"/>
          <w:highlight w:val="none"/>
          <w:lang w:eastAsia="zh-CN"/>
        </w:rPr>
        <w:t>）</w:t>
      </w:r>
      <w:r>
        <w:rPr>
          <w:rFonts w:ascii="Times New Roman" w:hAnsi="Times New Roman" w:eastAsia="宋体" w:cs="Times New Roman"/>
          <w:highlight w:val="none"/>
        </w:rPr>
        <w:t>《土壤污染防治行动计划》2016年5月</w:t>
      </w:r>
      <w:r>
        <w:rPr>
          <w:highlight w:val="none"/>
        </w:rPr>
        <w:t>28日</w:t>
      </w:r>
      <w:bookmarkStart w:id="127" w:name="_Hlk522443451"/>
      <w:bookmarkStart w:id="128" w:name="_Toc15991627"/>
      <w:bookmarkStart w:id="129" w:name="_Toc524431281"/>
      <w:r>
        <w:rPr>
          <w:highlight w:val="none"/>
        </w:rPr>
        <w:t>；</w:t>
      </w:r>
    </w:p>
    <w:p w14:paraId="4FEF4B87">
      <w:pPr>
        <w:bidi w:val="0"/>
        <w:rPr>
          <w:highlight w:val="none"/>
        </w:rPr>
      </w:pPr>
      <w:r>
        <w:rPr>
          <w:highlight w:val="none"/>
        </w:rPr>
        <w:t>（2</w:t>
      </w:r>
      <w:r>
        <w:rPr>
          <w:rFonts w:hint="eastAsia"/>
          <w:highlight w:val="none"/>
          <w:lang w:val="en-US" w:eastAsia="zh-CN"/>
        </w:rPr>
        <w:t>1</w:t>
      </w:r>
      <w:r>
        <w:rPr>
          <w:highlight w:val="none"/>
        </w:rPr>
        <w:t>）《国家危险废物名录（202</w:t>
      </w:r>
      <w:r>
        <w:rPr>
          <w:rFonts w:hint="eastAsia"/>
          <w:highlight w:val="none"/>
          <w:lang w:val="en-US" w:eastAsia="zh-CN"/>
        </w:rPr>
        <w:t>5</w:t>
      </w:r>
      <w:r>
        <w:rPr>
          <w:highlight w:val="none"/>
        </w:rPr>
        <w:t>版）》，自202</w:t>
      </w:r>
      <w:r>
        <w:rPr>
          <w:rFonts w:hint="eastAsia"/>
          <w:highlight w:val="none"/>
          <w:lang w:val="en-US" w:eastAsia="zh-CN"/>
        </w:rPr>
        <w:t>5</w:t>
      </w:r>
      <w:r>
        <w:rPr>
          <w:highlight w:val="none"/>
        </w:rPr>
        <w:t>年1月1日；</w:t>
      </w:r>
    </w:p>
    <w:p w14:paraId="102C6AA1">
      <w:pPr>
        <w:bidi w:val="0"/>
        <w:rPr>
          <w:rFonts w:hint="eastAsia"/>
          <w:highlight w:val="none"/>
          <w:lang w:eastAsia="zh-CN"/>
        </w:rPr>
      </w:pPr>
      <w:r>
        <w:rPr>
          <w:highlight w:val="none"/>
        </w:rPr>
        <w:t>（2</w:t>
      </w:r>
      <w:r>
        <w:rPr>
          <w:rFonts w:hint="eastAsia"/>
          <w:highlight w:val="none"/>
          <w:lang w:val="en-US" w:eastAsia="zh-CN"/>
        </w:rPr>
        <w:t>2</w:t>
      </w:r>
      <w:r>
        <w:rPr>
          <w:highlight w:val="none"/>
        </w:rPr>
        <w:t>）《中华人民共和国环境影响评价法（修订）》，2018年12月29日</w:t>
      </w:r>
      <w:r>
        <w:rPr>
          <w:rFonts w:hint="eastAsia"/>
          <w:highlight w:val="none"/>
          <w:lang w:eastAsia="zh-CN"/>
        </w:rPr>
        <w:t>；</w:t>
      </w:r>
    </w:p>
    <w:p w14:paraId="1D68EDA0">
      <w:pPr>
        <w:bidi w:val="0"/>
        <w:rPr>
          <w:highlight w:val="none"/>
        </w:rPr>
      </w:pPr>
      <w:r>
        <w:rPr>
          <w:highlight w:val="none"/>
        </w:rPr>
        <w:t>（</w:t>
      </w:r>
      <w:r>
        <w:rPr>
          <w:rFonts w:hint="eastAsia"/>
          <w:highlight w:val="none"/>
          <w:lang w:val="en-US" w:eastAsia="zh-CN"/>
        </w:rPr>
        <w:t>23</w:t>
      </w:r>
      <w:r>
        <w:rPr>
          <w:highlight w:val="none"/>
        </w:rPr>
        <w:t>）《黑龙江省水污染防治工作方案》（黑政发[2016]3号）；</w:t>
      </w:r>
    </w:p>
    <w:p w14:paraId="2C53EC9B">
      <w:pPr>
        <w:bidi w:val="0"/>
        <w:rPr>
          <w:highlight w:val="none"/>
        </w:rPr>
      </w:pPr>
      <w:r>
        <w:rPr>
          <w:highlight w:val="none"/>
        </w:rPr>
        <w:t>（2</w:t>
      </w:r>
      <w:r>
        <w:rPr>
          <w:rFonts w:hint="eastAsia"/>
          <w:highlight w:val="none"/>
          <w:lang w:val="en-US" w:eastAsia="zh-CN"/>
        </w:rPr>
        <w:t>4</w:t>
      </w:r>
      <w:r>
        <w:rPr>
          <w:highlight w:val="none"/>
        </w:rPr>
        <w:t>）《黑龙江省土壤污染防治实施方案》（黑政发[2016]46号）；</w:t>
      </w:r>
    </w:p>
    <w:p w14:paraId="77F86324">
      <w:pPr>
        <w:bidi w:val="0"/>
        <w:rPr>
          <w:highlight w:val="none"/>
        </w:rPr>
      </w:pPr>
      <w:r>
        <w:rPr>
          <w:highlight w:val="none"/>
        </w:rPr>
        <w:t>（</w:t>
      </w:r>
      <w:r>
        <w:rPr>
          <w:rFonts w:hint="eastAsia"/>
          <w:highlight w:val="none"/>
          <w:lang w:val="en-US" w:eastAsia="zh-CN"/>
        </w:rPr>
        <w:t>25</w:t>
      </w:r>
      <w:r>
        <w:rPr>
          <w:highlight w:val="none"/>
        </w:rPr>
        <w:t>）《</w:t>
      </w:r>
      <w:r>
        <w:rPr>
          <w:rFonts w:hint="eastAsia" w:ascii="Times New Roman" w:hAnsi="Times New Roman" w:eastAsia="宋体" w:cs="Times New Roman"/>
          <w:highlight w:val="none"/>
        </w:rPr>
        <w:t>黑龙江省主体功能区规划</w:t>
      </w:r>
      <w:r>
        <w:rPr>
          <w:rFonts w:ascii="Times New Roman" w:hAnsi="Times New Roman" w:eastAsia="宋体" w:cs="Times New Roman"/>
          <w:highlight w:val="none"/>
        </w:rPr>
        <w:t>》</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黑政发[2012]29号</w:t>
      </w:r>
      <w:r>
        <w:rPr>
          <w:rFonts w:hint="eastAsia" w:ascii="Times New Roman" w:hAnsi="Times New Roman" w:eastAsia="宋体" w:cs="Times New Roman"/>
          <w:highlight w:val="none"/>
          <w:lang w:eastAsia="zh-CN"/>
        </w:rPr>
        <w:t>）</w:t>
      </w:r>
      <w:r>
        <w:rPr>
          <w:rFonts w:ascii="Times New Roman" w:hAnsi="Times New Roman" w:eastAsia="宋体" w:cs="Times New Roman"/>
          <w:highlight w:val="none"/>
        </w:rPr>
        <w:t>；</w:t>
      </w:r>
    </w:p>
    <w:p w14:paraId="02417366">
      <w:pPr>
        <w:bidi w:val="0"/>
        <w:rPr>
          <w:highlight w:val="none"/>
        </w:rPr>
      </w:pPr>
      <w:r>
        <w:rPr>
          <w:highlight w:val="none"/>
        </w:rPr>
        <w:t>（</w:t>
      </w:r>
      <w:r>
        <w:rPr>
          <w:rFonts w:hint="eastAsia"/>
          <w:highlight w:val="none"/>
          <w:lang w:val="en-US" w:eastAsia="zh-CN"/>
        </w:rPr>
        <w:t>26</w:t>
      </w:r>
      <w:r>
        <w:rPr>
          <w:highlight w:val="none"/>
        </w:rPr>
        <w:t>）《黑龙江省土壤污染防治实施方案》（黑政发[2016]46号）；</w:t>
      </w:r>
    </w:p>
    <w:p w14:paraId="01EAA2A9">
      <w:pPr>
        <w:bidi w:val="0"/>
        <w:rPr>
          <w:rFonts w:hint="eastAsia"/>
          <w:highlight w:val="none"/>
          <w:lang w:eastAsia="zh-CN"/>
        </w:rPr>
      </w:pPr>
      <w:r>
        <w:rPr>
          <w:highlight w:val="none"/>
        </w:rPr>
        <w:t>（</w:t>
      </w:r>
      <w:r>
        <w:rPr>
          <w:rFonts w:hint="eastAsia"/>
          <w:highlight w:val="none"/>
          <w:lang w:val="en-US" w:eastAsia="zh-CN"/>
        </w:rPr>
        <w:t>27</w:t>
      </w:r>
      <w:r>
        <w:rPr>
          <w:highlight w:val="none"/>
        </w:rPr>
        <w:t>）《黑龙江省环境保护条例》（2018年4月26日修正）</w:t>
      </w:r>
      <w:r>
        <w:rPr>
          <w:rFonts w:hint="eastAsia"/>
          <w:highlight w:val="none"/>
          <w:lang w:eastAsia="zh-CN"/>
        </w:rPr>
        <w:t>；</w:t>
      </w:r>
    </w:p>
    <w:p w14:paraId="53FB5351">
      <w:pPr>
        <w:bidi w:val="0"/>
        <w:rPr>
          <w:highlight w:val="none"/>
        </w:rPr>
      </w:pPr>
      <w:r>
        <w:rPr>
          <w:rFonts w:hint="eastAsia"/>
          <w:highlight w:val="none"/>
          <w:lang w:val="en-US" w:eastAsia="zh-CN"/>
        </w:rPr>
        <w:t>（28）《黑龙江省水污染防治条例》2023年12月1日</w:t>
      </w:r>
      <w:r>
        <w:rPr>
          <w:highlight w:val="none"/>
        </w:rPr>
        <w:t>。</w:t>
      </w:r>
    </w:p>
    <w:bookmarkEnd w:id="127"/>
    <w:p w14:paraId="56A42E13">
      <w:pPr>
        <w:pStyle w:val="5"/>
        <w:bidi w:val="0"/>
        <w:rPr>
          <w:highlight w:val="none"/>
        </w:rPr>
      </w:pPr>
      <w:bookmarkStart w:id="130" w:name="_Toc6165"/>
      <w:bookmarkStart w:id="131" w:name="_Toc5599"/>
      <w:r>
        <w:rPr>
          <w:highlight w:val="none"/>
        </w:rPr>
        <w:t>2.1.2相关技术规范</w:t>
      </w:r>
      <w:bookmarkEnd w:id="128"/>
      <w:bookmarkEnd w:id="129"/>
      <w:bookmarkEnd w:id="130"/>
      <w:bookmarkEnd w:id="131"/>
    </w:p>
    <w:p w14:paraId="118D419E">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1</w:t>
      </w:r>
      <w:r>
        <w:rPr>
          <w:rFonts w:hAnsiTheme="minorEastAsia" w:eastAsiaTheme="minorEastAsia"/>
          <w:snapToGrid w:val="0"/>
          <w:kern w:val="0"/>
          <w:sz w:val="24"/>
          <w:highlight w:val="none"/>
        </w:rPr>
        <w:t>）《建设项目环境影响评价技术导则</w:t>
      </w:r>
      <w:r>
        <w:rPr>
          <w:rFonts w:hint="eastAsia" w:hAnsiTheme="minorEastAsia" w:eastAsiaTheme="minorEastAsia"/>
          <w:snapToGrid w:val="0"/>
          <w:kern w:val="0"/>
          <w:sz w:val="24"/>
          <w:highlight w:val="none"/>
          <w:lang w:val="en-US" w:eastAsia="zh-CN"/>
        </w:rPr>
        <w:t xml:space="preserve"> </w:t>
      </w:r>
      <w:r>
        <w:rPr>
          <w:rFonts w:hAnsiTheme="minorEastAsia" w:eastAsiaTheme="minorEastAsia"/>
          <w:snapToGrid w:val="0"/>
          <w:kern w:val="0"/>
          <w:sz w:val="24"/>
          <w:highlight w:val="none"/>
        </w:rPr>
        <w:t>总纲》（</w:t>
      </w:r>
      <w:r>
        <w:rPr>
          <w:rFonts w:eastAsiaTheme="minorEastAsia"/>
          <w:snapToGrid w:val="0"/>
          <w:kern w:val="0"/>
          <w:sz w:val="24"/>
          <w:highlight w:val="none"/>
        </w:rPr>
        <w:t>HJ2.1-2016</w:t>
      </w:r>
      <w:r>
        <w:rPr>
          <w:rFonts w:hAnsiTheme="minorEastAsia" w:eastAsiaTheme="minorEastAsia"/>
          <w:snapToGrid w:val="0"/>
          <w:kern w:val="0"/>
          <w:sz w:val="24"/>
          <w:highlight w:val="none"/>
        </w:rPr>
        <w:t>）；</w:t>
      </w:r>
    </w:p>
    <w:p w14:paraId="4EE9BFC8">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2</w:t>
      </w:r>
      <w:r>
        <w:rPr>
          <w:rFonts w:hAnsiTheme="minorEastAsia" w:eastAsiaTheme="minorEastAsia"/>
          <w:snapToGrid w:val="0"/>
          <w:kern w:val="0"/>
          <w:sz w:val="24"/>
          <w:highlight w:val="none"/>
        </w:rPr>
        <w:t>）《环境影响评价技术导则</w:t>
      </w:r>
      <w:r>
        <w:rPr>
          <w:rFonts w:hint="eastAsia" w:hAnsiTheme="minorEastAsia" w:eastAsiaTheme="minorEastAsia"/>
          <w:snapToGrid w:val="0"/>
          <w:kern w:val="0"/>
          <w:sz w:val="24"/>
          <w:highlight w:val="none"/>
          <w:lang w:val="en-US" w:eastAsia="zh-CN"/>
        </w:rPr>
        <w:t xml:space="preserve"> </w:t>
      </w:r>
      <w:r>
        <w:rPr>
          <w:rFonts w:hAnsiTheme="minorEastAsia" w:eastAsiaTheme="minorEastAsia"/>
          <w:snapToGrid w:val="0"/>
          <w:kern w:val="0"/>
          <w:sz w:val="24"/>
          <w:highlight w:val="none"/>
        </w:rPr>
        <w:t>大气环境》（</w:t>
      </w:r>
      <w:r>
        <w:rPr>
          <w:rFonts w:eastAsiaTheme="minorEastAsia"/>
          <w:snapToGrid w:val="0"/>
          <w:kern w:val="0"/>
          <w:sz w:val="24"/>
          <w:highlight w:val="none"/>
        </w:rPr>
        <w:t>HJ2.2-2018</w:t>
      </w:r>
      <w:r>
        <w:rPr>
          <w:rFonts w:hAnsiTheme="minorEastAsia" w:eastAsiaTheme="minorEastAsia"/>
          <w:snapToGrid w:val="0"/>
          <w:kern w:val="0"/>
          <w:sz w:val="24"/>
          <w:highlight w:val="none"/>
        </w:rPr>
        <w:t>）；</w:t>
      </w:r>
    </w:p>
    <w:p w14:paraId="5E8F6F53">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3</w:t>
      </w:r>
      <w:r>
        <w:rPr>
          <w:rFonts w:hAnsiTheme="minorEastAsia" w:eastAsiaTheme="minorEastAsia"/>
          <w:snapToGrid w:val="0"/>
          <w:kern w:val="0"/>
          <w:sz w:val="24"/>
          <w:highlight w:val="none"/>
        </w:rPr>
        <w:t>）《环境影响评价技术导则</w:t>
      </w:r>
      <w:r>
        <w:rPr>
          <w:rFonts w:hint="eastAsia" w:hAnsiTheme="minorEastAsia" w:eastAsiaTheme="minorEastAsia"/>
          <w:snapToGrid w:val="0"/>
          <w:kern w:val="0"/>
          <w:sz w:val="24"/>
          <w:highlight w:val="none"/>
          <w:lang w:val="en-US" w:eastAsia="zh-CN"/>
        </w:rPr>
        <w:t xml:space="preserve"> </w:t>
      </w:r>
      <w:r>
        <w:rPr>
          <w:rFonts w:hAnsiTheme="minorEastAsia" w:eastAsiaTheme="minorEastAsia"/>
          <w:snapToGrid w:val="0"/>
          <w:kern w:val="0"/>
          <w:sz w:val="24"/>
          <w:highlight w:val="none"/>
        </w:rPr>
        <w:t>地表水环境》（</w:t>
      </w:r>
      <w:r>
        <w:rPr>
          <w:rFonts w:eastAsiaTheme="minorEastAsia"/>
          <w:snapToGrid w:val="0"/>
          <w:kern w:val="0"/>
          <w:sz w:val="24"/>
          <w:highlight w:val="none"/>
        </w:rPr>
        <w:t>HJ2.3-2018</w:t>
      </w:r>
      <w:r>
        <w:rPr>
          <w:rFonts w:hAnsiTheme="minorEastAsia" w:eastAsiaTheme="minorEastAsia"/>
          <w:snapToGrid w:val="0"/>
          <w:kern w:val="0"/>
          <w:sz w:val="24"/>
          <w:highlight w:val="none"/>
        </w:rPr>
        <w:t>）；</w:t>
      </w:r>
    </w:p>
    <w:p w14:paraId="23EA6A6A">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4</w:t>
      </w:r>
      <w:r>
        <w:rPr>
          <w:rFonts w:hAnsiTheme="minorEastAsia" w:eastAsiaTheme="minorEastAsia"/>
          <w:snapToGrid w:val="0"/>
          <w:kern w:val="0"/>
          <w:sz w:val="24"/>
          <w:highlight w:val="none"/>
        </w:rPr>
        <w:t>）《环境影响评价技术导则</w:t>
      </w:r>
      <w:r>
        <w:rPr>
          <w:rFonts w:hint="eastAsia" w:hAnsiTheme="minorEastAsia" w:eastAsiaTheme="minorEastAsia"/>
          <w:snapToGrid w:val="0"/>
          <w:kern w:val="0"/>
          <w:sz w:val="24"/>
          <w:highlight w:val="none"/>
          <w:lang w:val="en-US" w:eastAsia="zh-CN"/>
        </w:rPr>
        <w:t xml:space="preserve"> </w:t>
      </w:r>
      <w:r>
        <w:rPr>
          <w:rFonts w:hAnsiTheme="minorEastAsia" w:eastAsiaTheme="minorEastAsia"/>
          <w:snapToGrid w:val="0"/>
          <w:kern w:val="0"/>
          <w:sz w:val="24"/>
          <w:highlight w:val="none"/>
        </w:rPr>
        <w:t>声环境》（</w:t>
      </w:r>
      <w:r>
        <w:rPr>
          <w:rFonts w:eastAsiaTheme="minorEastAsia"/>
          <w:snapToGrid w:val="0"/>
          <w:kern w:val="0"/>
          <w:sz w:val="24"/>
          <w:highlight w:val="none"/>
        </w:rPr>
        <w:t>HJ2.4-2021</w:t>
      </w:r>
      <w:r>
        <w:rPr>
          <w:rFonts w:hAnsiTheme="minorEastAsia" w:eastAsiaTheme="minorEastAsia"/>
          <w:snapToGrid w:val="0"/>
          <w:kern w:val="0"/>
          <w:sz w:val="24"/>
          <w:highlight w:val="none"/>
        </w:rPr>
        <w:t>）；</w:t>
      </w:r>
    </w:p>
    <w:p w14:paraId="2DF4DC15">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5</w:t>
      </w:r>
      <w:r>
        <w:rPr>
          <w:rFonts w:hAnsiTheme="minorEastAsia" w:eastAsiaTheme="minorEastAsia"/>
          <w:snapToGrid w:val="0"/>
          <w:kern w:val="0"/>
          <w:sz w:val="24"/>
          <w:highlight w:val="none"/>
        </w:rPr>
        <w:t>）《环境影响评价技术导则</w:t>
      </w:r>
      <w:r>
        <w:rPr>
          <w:rFonts w:hint="eastAsia" w:hAnsiTheme="minorEastAsia" w:eastAsiaTheme="minorEastAsia"/>
          <w:snapToGrid w:val="0"/>
          <w:kern w:val="0"/>
          <w:sz w:val="24"/>
          <w:highlight w:val="none"/>
          <w:lang w:val="en-US" w:eastAsia="zh-CN"/>
        </w:rPr>
        <w:t xml:space="preserve"> </w:t>
      </w:r>
      <w:r>
        <w:rPr>
          <w:rFonts w:hAnsiTheme="minorEastAsia" w:eastAsiaTheme="minorEastAsia"/>
          <w:snapToGrid w:val="0"/>
          <w:kern w:val="0"/>
          <w:sz w:val="24"/>
          <w:highlight w:val="none"/>
        </w:rPr>
        <w:t>地下水环境》（</w:t>
      </w:r>
      <w:r>
        <w:rPr>
          <w:rFonts w:eastAsiaTheme="minorEastAsia"/>
          <w:snapToGrid w:val="0"/>
          <w:kern w:val="0"/>
          <w:sz w:val="24"/>
          <w:highlight w:val="none"/>
        </w:rPr>
        <w:t>HJ610-2016</w:t>
      </w:r>
      <w:r>
        <w:rPr>
          <w:rFonts w:hAnsiTheme="minorEastAsia" w:eastAsiaTheme="minorEastAsia"/>
          <w:snapToGrid w:val="0"/>
          <w:kern w:val="0"/>
          <w:sz w:val="24"/>
          <w:highlight w:val="none"/>
        </w:rPr>
        <w:t>）；</w:t>
      </w:r>
    </w:p>
    <w:p w14:paraId="7520C7C2">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6</w:t>
      </w:r>
      <w:r>
        <w:rPr>
          <w:rFonts w:hAnsiTheme="minorEastAsia" w:eastAsiaTheme="minorEastAsia"/>
          <w:snapToGrid w:val="0"/>
          <w:kern w:val="0"/>
          <w:sz w:val="24"/>
          <w:highlight w:val="none"/>
        </w:rPr>
        <w:t>）《环境影响评价技术导则</w:t>
      </w:r>
      <w:r>
        <w:rPr>
          <w:rFonts w:hint="eastAsia" w:hAnsiTheme="minorEastAsia" w:eastAsiaTheme="minorEastAsia"/>
          <w:snapToGrid w:val="0"/>
          <w:kern w:val="0"/>
          <w:sz w:val="24"/>
          <w:highlight w:val="none"/>
          <w:lang w:val="en-US" w:eastAsia="zh-CN"/>
        </w:rPr>
        <w:t xml:space="preserve"> </w:t>
      </w:r>
      <w:r>
        <w:rPr>
          <w:rFonts w:hAnsiTheme="minorEastAsia" w:eastAsiaTheme="minorEastAsia"/>
          <w:snapToGrid w:val="0"/>
          <w:kern w:val="0"/>
          <w:sz w:val="24"/>
          <w:highlight w:val="none"/>
        </w:rPr>
        <w:t>生态影响》（</w:t>
      </w:r>
      <w:r>
        <w:rPr>
          <w:rFonts w:eastAsiaTheme="minorEastAsia"/>
          <w:snapToGrid w:val="0"/>
          <w:kern w:val="0"/>
          <w:sz w:val="24"/>
          <w:highlight w:val="none"/>
        </w:rPr>
        <w:t>HJ19-2022</w:t>
      </w:r>
      <w:r>
        <w:rPr>
          <w:rFonts w:hAnsiTheme="minorEastAsia" w:eastAsiaTheme="minorEastAsia"/>
          <w:snapToGrid w:val="0"/>
          <w:kern w:val="0"/>
          <w:sz w:val="24"/>
          <w:highlight w:val="none"/>
        </w:rPr>
        <w:t>）；</w:t>
      </w:r>
    </w:p>
    <w:p w14:paraId="231CCAA3">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7</w:t>
      </w:r>
      <w:r>
        <w:rPr>
          <w:rFonts w:hAnsiTheme="minorEastAsia" w:eastAsiaTheme="minorEastAsia"/>
          <w:snapToGrid w:val="0"/>
          <w:kern w:val="0"/>
          <w:sz w:val="24"/>
          <w:highlight w:val="none"/>
        </w:rPr>
        <w:t>）《环境影响评价技术导则</w:t>
      </w:r>
      <w:r>
        <w:rPr>
          <w:rFonts w:hint="eastAsia" w:hAnsiTheme="minorEastAsia" w:eastAsiaTheme="minorEastAsia"/>
          <w:snapToGrid w:val="0"/>
          <w:kern w:val="0"/>
          <w:sz w:val="24"/>
          <w:highlight w:val="none"/>
          <w:lang w:val="en-US" w:eastAsia="zh-CN"/>
        </w:rPr>
        <w:t xml:space="preserve"> </w:t>
      </w:r>
      <w:r>
        <w:rPr>
          <w:rFonts w:hAnsiTheme="minorEastAsia" w:eastAsiaTheme="minorEastAsia"/>
          <w:snapToGrid w:val="0"/>
          <w:kern w:val="0"/>
          <w:sz w:val="24"/>
          <w:highlight w:val="none"/>
        </w:rPr>
        <w:t>土壤环境（试行）》（</w:t>
      </w:r>
      <w:r>
        <w:rPr>
          <w:rFonts w:eastAsiaTheme="minorEastAsia"/>
          <w:snapToGrid w:val="0"/>
          <w:kern w:val="0"/>
          <w:sz w:val="24"/>
          <w:highlight w:val="none"/>
        </w:rPr>
        <w:t>HJ964-2018</w:t>
      </w:r>
      <w:r>
        <w:rPr>
          <w:rFonts w:hAnsiTheme="minorEastAsia" w:eastAsiaTheme="minorEastAsia"/>
          <w:snapToGrid w:val="0"/>
          <w:kern w:val="0"/>
          <w:sz w:val="24"/>
          <w:highlight w:val="none"/>
        </w:rPr>
        <w:t>）；</w:t>
      </w:r>
    </w:p>
    <w:p w14:paraId="26D85ED4">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8</w:t>
      </w:r>
      <w:r>
        <w:rPr>
          <w:rFonts w:hAnsiTheme="minorEastAsia" w:eastAsiaTheme="minorEastAsia"/>
          <w:snapToGrid w:val="0"/>
          <w:kern w:val="0"/>
          <w:sz w:val="24"/>
          <w:highlight w:val="none"/>
        </w:rPr>
        <w:t>）《建设项目环境风险评价技术导则》（</w:t>
      </w:r>
      <w:r>
        <w:rPr>
          <w:rFonts w:eastAsiaTheme="minorEastAsia"/>
          <w:snapToGrid w:val="0"/>
          <w:kern w:val="0"/>
          <w:sz w:val="24"/>
          <w:highlight w:val="none"/>
        </w:rPr>
        <w:t>HJ169-2018</w:t>
      </w:r>
      <w:r>
        <w:rPr>
          <w:rFonts w:hAnsiTheme="minorEastAsia" w:eastAsiaTheme="minorEastAsia"/>
          <w:snapToGrid w:val="0"/>
          <w:kern w:val="0"/>
          <w:sz w:val="24"/>
          <w:highlight w:val="none"/>
        </w:rPr>
        <w:t>）；</w:t>
      </w:r>
    </w:p>
    <w:p w14:paraId="633D2365">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9</w:t>
      </w:r>
      <w:r>
        <w:rPr>
          <w:rFonts w:hAnsiTheme="minorEastAsia" w:eastAsiaTheme="minorEastAsia"/>
          <w:snapToGrid w:val="0"/>
          <w:kern w:val="0"/>
          <w:sz w:val="24"/>
          <w:highlight w:val="none"/>
        </w:rPr>
        <w:t>）《排污许可证申请与核发技术规范</w:t>
      </w:r>
      <w:r>
        <w:rPr>
          <w:rFonts w:hint="eastAsia" w:eastAsiaTheme="minorEastAsia"/>
          <w:snapToGrid w:val="0"/>
          <w:kern w:val="0"/>
          <w:sz w:val="24"/>
          <w:highlight w:val="none"/>
          <w:lang w:val="en-US" w:eastAsia="zh-CN"/>
        </w:rPr>
        <w:t xml:space="preserve"> </w:t>
      </w:r>
      <w:r>
        <w:rPr>
          <w:rFonts w:hAnsiTheme="minorEastAsia" w:eastAsiaTheme="minorEastAsia"/>
          <w:snapToGrid w:val="0"/>
          <w:kern w:val="0"/>
          <w:sz w:val="24"/>
          <w:highlight w:val="none"/>
        </w:rPr>
        <w:t>汽车制造业》（</w:t>
      </w:r>
      <w:r>
        <w:rPr>
          <w:rFonts w:eastAsiaTheme="minorEastAsia"/>
          <w:snapToGrid w:val="0"/>
          <w:kern w:val="0"/>
          <w:sz w:val="24"/>
          <w:highlight w:val="none"/>
        </w:rPr>
        <w:t>HJ971—2018</w:t>
      </w:r>
      <w:r>
        <w:rPr>
          <w:rFonts w:hAnsiTheme="minorEastAsia" w:eastAsiaTheme="minorEastAsia"/>
          <w:snapToGrid w:val="0"/>
          <w:kern w:val="0"/>
          <w:sz w:val="24"/>
          <w:highlight w:val="none"/>
        </w:rPr>
        <w:t>）；</w:t>
      </w:r>
    </w:p>
    <w:p w14:paraId="1318968F">
      <w:pPr>
        <w:spacing w:line="360" w:lineRule="auto"/>
        <w:ind w:firstLine="480" w:firstLineChars="200"/>
        <w:contextualSpacing/>
        <w:rPr>
          <w:rFonts w:hAnsiTheme="minorEastAsia"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10</w:t>
      </w:r>
      <w:r>
        <w:rPr>
          <w:rFonts w:hAnsiTheme="minorEastAsia" w:eastAsiaTheme="minorEastAsia"/>
          <w:snapToGrid w:val="0"/>
          <w:kern w:val="0"/>
          <w:sz w:val="24"/>
          <w:highlight w:val="none"/>
        </w:rPr>
        <w:t>）《污染源源强核算技术指南汽车制造》（</w:t>
      </w:r>
      <w:r>
        <w:rPr>
          <w:rFonts w:eastAsiaTheme="minorEastAsia"/>
          <w:snapToGrid w:val="0"/>
          <w:kern w:val="0"/>
          <w:sz w:val="24"/>
          <w:highlight w:val="none"/>
        </w:rPr>
        <w:t>HJ1097—2020</w:t>
      </w:r>
      <w:r>
        <w:rPr>
          <w:rFonts w:hAnsiTheme="minorEastAsia" w:eastAsiaTheme="minorEastAsia"/>
          <w:snapToGrid w:val="0"/>
          <w:kern w:val="0"/>
          <w:sz w:val="24"/>
          <w:highlight w:val="none"/>
        </w:rPr>
        <w:t>）；</w:t>
      </w:r>
    </w:p>
    <w:p w14:paraId="6B8B7B38">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hint="eastAsia" w:eastAsiaTheme="minorEastAsia"/>
          <w:snapToGrid w:val="0"/>
          <w:kern w:val="0"/>
          <w:sz w:val="24"/>
          <w:highlight w:val="none"/>
          <w:lang w:val="en-US" w:eastAsia="zh-CN"/>
        </w:rPr>
        <w:t>11</w:t>
      </w:r>
      <w:r>
        <w:rPr>
          <w:rFonts w:hAnsiTheme="minorEastAsia" w:eastAsiaTheme="minorEastAsia"/>
          <w:snapToGrid w:val="0"/>
          <w:kern w:val="0"/>
          <w:sz w:val="24"/>
          <w:highlight w:val="none"/>
        </w:rPr>
        <w:t>）《关于做好环境影响评价制度与排污许可制衔接相关工作的通知》（环办环评</w:t>
      </w:r>
      <w:r>
        <w:rPr>
          <w:rFonts w:eastAsiaTheme="minorEastAsia"/>
          <w:snapToGrid w:val="0"/>
          <w:kern w:val="0"/>
          <w:sz w:val="24"/>
          <w:highlight w:val="none"/>
        </w:rPr>
        <w:t>[2017]84</w:t>
      </w:r>
      <w:r>
        <w:rPr>
          <w:rFonts w:hAnsiTheme="minorEastAsia" w:eastAsiaTheme="minorEastAsia"/>
          <w:snapToGrid w:val="0"/>
          <w:kern w:val="0"/>
          <w:sz w:val="24"/>
          <w:highlight w:val="none"/>
        </w:rPr>
        <w:t>号）；</w:t>
      </w:r>
    </w:p>
    <w:p w14:paraId="1FD7EC13">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w:t>
      </w:r>
      <w:r>
        <w:rPr>
          <w:rFonts w:eastAsiaTheme="minorEastAsia"/>
          <w:snapToGrid w:val="0"/>
          <w:kern w:val="0"/>
          <w:sz w:val="24"/>
          <w:highlight w:val="none"/>
        </w:rPr>
        <w:t>1</w:t>
      </w:r>
      <w:r>
        <w:rPr>
          <w:rFonts w:hint="eastAsia" w:eastAsiaTheme="minorEastAsia"/>
          <w:snapToGrid w:val="0"/>
          <w:kern w:val="0"/>
          <w:sz w:val="24"/>
          <w:highlight w:val="none"/>
          <w:lang w:val="en-US" w:eastAsia="zh-CN"/>
        </w:rPr>
        <w:t>2</w:t>
      </w:r>
      <w:r>
        <w:rPr>
          <w:rFonts w:hAnsiTheme="minorEastAsia" w:eastAsiaTheme="minorEastAsia"/>
          <w:snapToGrid w:val="0"/>
          <w:kern w:val="0"/>
          <w:sz w:val="24"/>
          <w:highlight w:val="none"/>
        </w:rPr>
        <w:t>）</w:t>
      </w:r>
      <w:r>
        <w:rPr>
          <w:rFonts w:hint="eastAsia" w:ascii="Times New Roman" w:hAnsi="Times New Roman" w:eastAsia="宋体" w:cs="Times New Roman"/>
          <w:highlight w:val="none"/>
        </w:rPr>
        <w:t>《固体废物再生利用污染防治技术导则》（HJ1091-2020）</w:t>
      </w:r>
      <w:r>
        <w:rPr>
          <w:rFonts w:hAnsiTheme="minorEastAsia" w:eastAsiaTheme="minorEastAsia"/>
          <w:snapToGrid w:val="0"/>
          <w:kern w:val="0"/>
          <w:sz w:val="24"/>
          <w:highlight w:val="none"/>
        </w:rPr>
        <w:t>；</w:t>
      </w:r>
    </w:p>
    <w:p w14:paraId="60909F2B">
      <w:pPr>
        <w:spacing w:line="360" w:lineRule="auto"/>
        <w:ind w:firstLine="480" w:firstLineChars="200"/>
        <w:contextualSpacing/>
        <w:rPr>
          <w:rFonts w:ascii="Times New Roman" w:cs="Times New Roman" w:hAnsiTheme="minorEastAsia" w:eastAsiaTheme="minorEastAsia"/>
          <w:snapToGrid w:val="0"/>
          <w:kern w:val="0"/>
          <w:sz w:val="24"/>
          <w:highlight w:val="none"/>
        </w:rPr>
      </w:pPr>
      <w:r>
        <w:rPr>
          <w:rFonts w:ascii="Times New Roman" w:cs="Times New Roman" w:hAnsiTheme="minorEastAsia" w:eastAsiaTheme="minorEastAsia"/>
          <w:snapToGrid w:val="0"/>
          <w:kern w:val="0"/>
          <w:sz w:val="24"/>
          <w:highlight w:val="none"/>
        </w:rPr>
        <w:t>（1</w:t>
      </w:r>
      <w:r>
        <w:rPr>
          <w:rFonts w:hint="eastAsia" w:ascii="Times New Roman" w:cs="Times New Roman" w:hAnsiTheme="minorEastAsia" w:eastAsiaTheme="minorEastAsia"/>
          <w:snapToGrid w:val="0"/>
          <w:kern w:val="0"/>
          <w:sz w:val="24"/>
          <w:highlight w:val="none"/>
          <w:lang w:val="en-US" w:eastAsia="zh-CN"/>
        </w:rPr>
        <w:t>3</w:t>
      </w:r>
      <w:r>
        <w:rPr>
          <w:rFonts w:ascii="Times New Roman" w:cs="Times New Roman" w:hAnsiTheme="minorEastAsia" w:eastAsiaTheme="minorEastAsia"/>
          <w:snapToGrid w:val="0"/>
          <w:kern w:val="0"/>
          <w:sz w:val="24"/>
          <w:highlight w:val="none"/>
        </w:rPr>
        <w:t>）《建设项目危险废物环境影响评价指南》，环境保护部公告2017年第43号，2017年10月01日；</w:t>
      </w:r>
    </w:p>
    <w:p w14:paraId="71F0B192">
      <w:pPr>
        <w:spacing w:line="360" w:lineRule="auto"/>
        <w:ind w:firstLine="480" w:firstLineChars="200"/>
        <w:contextualSpacing/>
        <w:rPr>
          <w:rFonts w:hint="eastAsia" w:ascii="Times New Roman" w:cs="Times New Roman" w:hAnsiTheme="minorEastAsia" w:eastAsiaTheme="minorEastAsia"/>
          <w:snapToGrid w:val="0"/>
          <w:kern w:val="0"/>
          <w:sz w:val="24"/>
          <w:highlight w:val="none"/>
        </w:rPr>
      </w:pPr>
      <w:r>
        <w:rPr>
          <w:rFonts w:hint="eastAsia" w:ascii="Times New Roman" w:cs="Times New Roman" w:hAnsiTheme="minorEastAsia" w:eastAsiaTheme="minorEastAsia"/>
          <w:snapToGrid w:val="0"/>
          <w:kern w:val="0"/>
          <w:sz w:val="24"/>
          <w:highlight w:val="none"/>
          <w:lang w:eastAsia="zh-CN"/>
        </w:rPr>
        <w:t>（</w:t>
      </w:r>
      <w:r>
        <w:rPr>
          <w:rFonts w:hint="eastAsia" w:ascii="Times New Roman" w:cs="Times New Roman" w:hAnsiTheme="minorEastAsia" w:eastAsiaTheme="minorEastAsia"/>
          <w:snapToGrid w:val="0"/>
          <w:kern w:val="0"/>
          <w:sz w:val="24"/>
          <w:highlight w:val="none"/>
          <w:lang w:val="en-US" w:eastAsia="zh-CN"/>
        </w:rPr>
        <w:t>14</w:t>
      </w:r>
      <w:r>
        <w:rPr>
          <w:rFonts w:hint="eastAsia" w:ascii="Times New Roman" w:cs="Times New Roman" w:hAnsiTheme="minorEastAsia" w:eastAsiaTheme="minorEastAsia"/>
          <w:snapToGrid w:val="0"/>
          <w:kern w:val="0"/>
          <w:sz w:val="24"/>
          <w:highlight w:val="none"/>
          <w:lang w:eastAsia="zh-CN"/>
        </w:rPr>
        <w:t>）</w:t>
      </w:r>
      <w:r>
        <w:rPr>
          <w:rFonts w:hint="eastAsia" w:ascii="Times New Roman" w:cs="Times New Roman" w:hAnsiTheme="minorEastAsia" w:eastAsiaTheme="minorEastAsia"/>
          <w:snapToGrid w:val="0"/>
          <w:kern w:val="0"/>
          <w:sz w:val="24"/>
          <w:highlight w:val="none"/>
        </w:rPr>
        <w:t>《危险废物污染防治技术政策》（环发[2001]199号）</w:t>
      </w:r>
    </w:p>
    <w:p w14:paraId="128715BB">
      <w:pPr>
        <w:bidi w:val="0"/>
        <w:rPr>
          <w:rFonts w:hint="default"/>
          <w:highlight w:val="none"/>
          <w:lang w:val="en-US" w:eastAsia="zh-CN"/>
        </w:rPr>
      </w:pPr>
      <w:r>
        <w:rPr>
          <w:rFonts w:hint="eastAsia" w:ascii="Times New Roman" w:cs="Times New Roman" w:hAnsiTheme="minorEastAsia" w:eastAsiaTheme="minorEastAsia"/>
          <w:snapToGrid w:val="0"/>
          <w:kern w:val="0"/>
          <w:highlight w:val="none"/>
          <w:lang w:eastAsia="zh-CN"/>
        </w:rPr>
        <w:t>（</w:t>
      </w:r>
      <w:r>
        <w:rPr>
          <w:rFonts w:hint="eastAsia" w:ascii="Times New Roman" w:cs="Times New Roman" w:hAnsiTheme="minorEastAsia" w:eastAsiaTheme="minorEastAsia"/>
          <w:snapToGrid w:val="0"/>
          <w:kern w:val="0"/>
          <w:highlight w:val="none"/>
          <w:lang w:val="en-US" w:eastAsia="zh-CN"/>
        </w:rPr>
        <w:t>15</w:t>
      </w:r>
      <w:r>
        <w:rPr>
          <w:rFonts w:hint="eastAsia" w:ascii="Times New Roman" w:cs="Times New Roman" w:hAnsiTheme="minorEastAsia" w:eastAsiaTheme="minorEastAsia"/>
          <w:snapToGrid w:val="0"/>
          <w:kern w:val="0"/>
          <w:highlight w:val="none"/>
          <w:lang w:eastAsia="zh-CN"/>
        </w:rPr>
        <w:t>）</w:t>
      </w:r>
      <w:r>
        <w:rPr>
          <w:rFonts w:hint="eastAsia" w:ascii="Times New Roman" w:cs="Times New Roman" w:hAnsiTheme="minorEastAsia" w:eastAsiaTheme="minorEastAsia"/>
          <w:snapToGrid w:val="0"/>
          <w:kern w:val="0"/>
          <w:highlight w:val="none"/>
        </w:rPr>
        <w:t>《排污许可证申请与核发技术规范工业固体废物和危险废物治理》</w:t>
      </w:r>
      <w:r>
        <w:rPr>
          <w:rFonts w:hint="eastAsia" w:ascii="Times New Roman" w:cs="Times New Roman" w:hAnsiTheme="minorEastAsia" w:eastAsiaTheme="minorEastAsia"/>
          <w:snapToGrid w:val="0"/>
          <w:kern w:val="0"/>
          <w:highlight w:val="none"/>
          <w:lang w:eastAsia="zh-CN"/>
        </w:rPr>
        <w:t>（</w:t>
      </w:r>
      <w:r>
        <w:rPr>
          <w:rFonts w:hint="eastAsia"/>
          <w:highlight w:val="none"/>
        </w:rPr>
        <w:t>HJ1033-2019</w:t>
      </w:r>
      <w:r>
        <w:rPr>
          <w:rFonts w:hint="eastAsia"/>
          <w:highlight w:val="none"/>
          <w:lang w:eastAsia="zh-CN"/>
        </w:rPr>
        <w:t>）；</w:t>
      </w:r>
    </w:p>
    <w:p w14:paraId="621596CF">
      <w:pPr>
        <w:bidi w:val="0"/>
        <w:rPr>
          <w:highlight w:val="none"/>
        </w:rPr>
      </w:pPr>
      <w:r>
        <w:rPr>
          <w:highlight w:val="none"/>
        </w:rPr>
        <w:t>（1</w:t>
      </w:r>
      <w:r>
        <w:rPr>
          <w:rFonts w:hint="eastAsia"/>
          <w:highlight w:val="none"/>
          <w:lang w:val="en-US" w:eastAsia="zh-CN"/>
        </w:rPr>
        <w:t>6</w:t>
      </w:r>
      <w:r>
        <w:rPr>
          <w:highlight w:val="none"/>
        </w:rPr>
        <w:t>）</w:t>
      </w:r>
      <w:r>
        <w:rPr>
          <w:rFonts w:hint="eastAsia"/>
          <w:highlight w:val="none"/>
        </w:rPr>
        <w:t>《危险废物收集贮存运输技术规范》（HJ2025-2012）</w:t>
      </w:r>
      <w:r>
        <w:rPr>
          <w:highlight w:val="none"/>
        </w:rPr>
        <w:t>；</w:t>
      </w:r>
    </w:p>
    <w:p w14:paraId="593E13D8">
      <w:pPr>
        <w:bidi w:val="0"/>
        <w:rPr>
          <w:rFonts w:ascii="Times New Roman" w:cs="Times New Roman" w:hAnsiTheme="minorEastAsia" w:eastAsiaTheme="minorEastAsia"/>
          <w:snapToGrid w:val="0"/>
          <w:kern w:val="0"/>
          <w:highlight w:val="none"/>
        </w:rPr>
      </w:pPr>
      <w:r>
        <w:rPr>
          <w:highlight w:val="none"/>
        </w:rPr>
        <w:t>（1</w:t>
      </w:r>
      <w:r>
        <w:rPr>
          <w:rFonts w:hint="eastAsia"/>
          <w:highlight w:val="none"/>
          <w:lang w:val="en-US" w:eastAsia="zh-CN"/>
        </w:rPr>
        <w:t>7</w:t>
      </w:r>
      <w:r>
        <w:rPr>
          <w:highlight w:val="none"/>
        </w:rPr>
        <w:t>）《排污许可管理条例》，国令</w:t>
      </w:r>
      <w:r>
        <w:rPr>
          <w:rFonts w:ascii="Times New Roman" w:cs="Times New Roman" w:hAnsiTheme="minorEastAsia" w:eastAsiaTheme="minorEastAsia"/>
          <w:snapToGrid w:val="0"/>
          <w:kern w:val="0"/>
          <w:highlight w:val="none"/>
        </w:rPr>
        <w:t>第736号；</w:t>
      </w:r>
    </w:p>
    <w:p w14:paraId="062458C6">
      <w:pPr>
        <w:spacing w:line="360" w:lineRule="auto"/>
        <w:ind w:firstLine="480" w:firstLineChars="200"/>
        <w:contextualSpacing/>
        <w:rPr>
          <w:rFonts w:hint="eastAsia" w:hAnsiTheme="minorEastAsia" w:eastAsiaTheme="minorEastAsia"/>
          <w:kern w:val="21"/>
          <w:sz w:val="24"/>
          <w:highlight w:val="none"/>
          <w:lang w:eastAsia="zh-CN"/>
        </w:rPr>
      </w:pPr>
      <w:r>
        <w:rPr>
          <w:rFonts w:ascii="Times New Roman" w:cs="Times New Roman" w:hAnsiTheme="minorEastAsia" w:eastAsiaTheme="minorEastAsia"/>
          <w:snapToGrid w:val="0"/>
          <w:kern w:val="0"/>
          <w:sz w:val="24"/>
          <w:highlight w:val="none"/>
        </w:rPr>
        <w:t>（</w:t>
      </w:r>
      <w:r>
        <w:rPr>
          <w:rFonts w:hint="eastAsia" w:ascii="Times New Roman" w:cs="Times New Roman" w:hAnsiTheme="minorEastAsia" w:eastAsiaTheme="minorEastAsia"/>
          <w:snapToGrid w:val="0"/>
          <w:kern w:val="0"/>
          <w:sz w:val="24"/>
          <w:highlight w:val="none"/>
          <w:lang w:val="en-US" w:eastAsia="zh-CN"/>
        </w:rPr>
        <w:t>18</w:t>
      </w:r>
      <w:r>
        <w:rPr>
          <w:rFonts w:ascii="Times New Roman" w:cs="Times New Roman" w:hAnsiTheme="minorEastAsia" w:eastAsiaTheme="minorEastAsia"/>
          <w:snapToGrid w:val="0"/>
          <w:kern w:val="0"/>
          <w:sz w:val="24"/>
          <w:highlight w:val="none"/>
        </w:rPr>
        <w:t>）《危险废物贮存污染控制标准》（GB1859</w:t>
      </w:r>
      <w:r>
        <w:rPr>
          <w:rFonts w:hAnsiTheme="minorEastAsia" w:eastAsiaTheme="minorEastAsia"/>
          <w:kern w:val="21"/>
          <w:sz w:val="24"/>
          <w:highlight w:val="none"/>
        </w:rPr>
        <w:t>7-2023）</w:t>
      </w:r>
      <w:r>
        <w:rPr>
          <w:rFonts w:hint="eastAsia" w:hAnsiTheme="minorEastAsia" w:eastAsiaTheme="minorEastAsia"/>
          <w:kern w:val="21"/>
          <w:sz w:val="24"/>
          <w:highlight w:val="none"/>
          <w:lang w:eastAsia="zh-CN"/>
        </w:rPr>
        <w:t>；</w:t>
      </w:r>
    </w:p>
    <w:p w14:paraId="36247003">
      <w:pPr>
        <w:spacing w:line="360" w:lineRule="auto"/>
        <w:ind w:firstLine="480" w:firstLineChars="200"/>
        <w:contextualSpacing/>
        <w:rPr>
          <w:rFonts w:hint="eastAsia"/>
          <w:highlight w:val="none"/>
        </w:rPr>
      </w:pPr>
      <w:r>
        <w:rPr>
          <w:rFonts w:hint="eastAsia" w:hAnsiTheme="minorEastAsia" w:eastAsiaTheme="minorEastAsia"/>
          <w:kern w:val="21"/>
          <w:sz w:val="24"/>
          <w:highlight w:val="none"/>
          <w:lang w:eastAsia="zh-CN"/>
        </w:rPr>
        <w:t>（</w:t>
      </w:r>
      <w:r>
        <w:rPr>
          <w:rFonts w:hint="eastAsia" w:hAnsiTheme="minorEastAsia" w:eastAsiaTheme="minorEastAsia"/>
          <w:kern w:val="21"/>
          <w:sz w:val="24"/>
          <w:highlight w:val="none"/>
          <w:lang w:val="en-US" w:eastAsia="zh-CN"/>
        </w:rPr>
        <w:t>19</w:t>
      </w:r>
      <w:r>
        <w:rPr>
          <w:rFonts w:hint="eastAsia" w:hAnsiTheme="minorEastAsia" w:eastAsiaTheme="minorEastAsia"/>
          <w:kern w:val="21"/>
          <w:sz w:val="24"/>
          <w:highlight w:val="none"/>
          <w:lang w:eastAsia="zh-CN"/>
        </w:rPr>
        <w:t>）</w:t>
      </w:r>
      <w:r>
        <w:rPr>
          <w:rFonts w:hint="eastAsia"/>
          <w:highlight w:val="none"/>
        </w:rPr>
        <w:t>《水污染防治行动计划》</w:t>
      </w:r>
    </w:p>
    <w:p w14:paraId="5CE7A4F4">
      <w:pPr>
        <w:spacing w:line="360" w:lineRule="auto"/>
        <w:ind w:firstLine="480" w:firstLineChars="200"/>
        <w:contextualSpacing/>
        <w:rPr>
          <w:rFonts w:hint="eastAsia"/>
          <w:highlight w:val="none"/>
        </w:rPr>
      </w:pPr>
      <w:r>
        <w:rPr>
          <w:rFonts w:hint="eastAsia" w:eastAsiaTheme="minorEastAsia"/>
          <w:highlight w:val="none"/>
          <w:lang w:eastAsia="zh-CN"/>
        </w:rPr>
        <w:t>（</w:t>
      </w:r>
      <w:r>
        <w:rPr>
          <w:rFonts w:hint="eastAsia" w:eastAsiaTheme="minorEastAsia"/>
          <w:highlight w:val="none"/>
          <w:lang w:val="en-US" w:eastAsia="zh-CN"/>
        </w:rPr>
        <w:t>20</w:t>
      </w:r>
      <w:r>
        <w:rPr>
          <w:rFonts w:hint="eastAsia" w:eastAsiaTheme="minorEastAsia"/>
          <w:highlight w:val="none"/>
          <w:lang w:eastAsia="zh-CN"/>
        </w:rPr>
        <w:t>）</w:t>
      </w:r>
      <w:r>
        <w:rPr>
          <w:rFonts w:hint="eastAsia"/>
          <w:highlight w:val="none"/>
        </w:rPr>
        <w:t>《土壤污染防治行动计划》</w:t>
      </w:r>
    </w:p>
    <w:p w14:paraId="01704755">
      <w:pPr>
        <w:spacing w:line="360" w:lineRule="auto"/>
        <w:ind w:firstLine="480" w:firstLineChars="200"/>
        <w:contextualSpacing/>
        <w:rPr>
          <w:rFonts w:hint="default"/>
          <w:highlight w:val="none"/>
        </w:rPr>
      </w:pPr>
      <w:r>
        <w:rPr>
          <w:rFonts w:hint="eastAsia" w:eastAsiaTheme="minorEastAsia"/>
          <w:highlight w:val="none"/>
          <w:lang w:eastAsia="zh-CN"/>
        </w:rPr>
        <w:t>（</w:t>
      </w:r>
      <w:r>
        <w:rPr>
          <w:rFonts w:hint="eastAsia" w:eastAsiaTheme="minorEastAsia"/>
          <w:highlight w:val="none"/>
          <w:lang w:val="en-US" w:eastAsia="zh-CN"/>
        </w:rPr>
        <w:t>21</w:t>
      </w:r>
      <w:r>
        <w:rPr>
          <w:rFonts w:hint="eastAsia" w:eastAsiaTheme="minorEastAsia"/>
          <w:highlight w:val="none"/>
          <w:lang w:eastAsia="zh-CN"/>
        </w:rPr>
        <w:t>）</w:t>
      </w:r>
      <w:r>
        <w:rPr>
          <w:rFonts w:hint="default"/>
          <w:highlight w:val="none"/>
        </w:rPr>
        <w:t>《重点行业挥发性有机物综合治理方案》（环大气【2019】53号）</w:t>
      </w:r>
    </w:p>
    <w:p w14:paraId="18F9B172">
      <w:pPr>
        <w:spacing w:line="360" w:lineRule="auto"/>
        <w:ind w:firstLine="480" w:firstLineChars="200"/>
        <w:contextualSpacing/>
        <w:rPr>
          <w:rFonts w:hint="default"/>
          <w:highlight w:val="none"/>
        </w:rPr>
      </w:pPr>
      <w:r>
        <w:rPr>
          <w:rFonts w:hint="eastAsia" w:eastAsiaTheme="minorEastAsia"/>
          <w:highlight w:val="none"/>
          <w:lang w:eastAsia="zh-CN"/>
        </w:rPr>
        <w:t>（</w:t>
      </w:r>
      <w:r>
        <w:rPr>
          <w:rFonts w:hint="eastAsia" w:eastAsiaTheme="minorEastAsia"/>
          <w:highlight w:val="none"/>
          <w:lang w:val="en-US" w:eastAsia="zh-CN"/>
        </w:rPr>
        <w:t>22</w:t>
      </w:r>
      <w:r>
        <w:rPr>
          <w:rFonts w:hint="eastAsia" w:eastAsiaTheme="minorEastAsia"/>
          <w:highlight w:val="none"/>
          <w:lang w:eastAsia="zh-CN"/>
        </w:rPr>
        <w:t>）</w:t>
      </w:r>
      <w:r>
        <w:rPr>
          <w:rFonts w:hint="default"/>
          <w:highlight w:val="none"/>
        </w:rPr>
        <w:t>《</w:t>
      </w:r>
      <w:r>
        <w:rPr>
          <w:rFonts w:hint="eastAsia"/>
          <w:highlight w:val="none"/>
        </w:rPr>
        <w:t>强化危险废物监管和利用处置能力改革实施方案</w:t>
      </w:r>
      <w:r>
        <w:rPr>
          <w:rFonts w:hint="default"/>
          <w:highlight w:val="none"/>
        </w:rPr>
        <w:t>》（</w:t>
      </w:r>
      <w:r>
        <w:rPr>
          <w:rFonts w:hint="eastAsia"/>
          <w:highlight w:val="none"/>
          <w:lang w:val="en-US" w:eastAsia="zh-CN"/>
        </w:rPr>
        <w:t>国办函[2021]47号</w:t>
      </w:r>
      <w:r>
        <w:rPr>
          <w:rFonts w:hint="default"/>
          <w:highlight w:val="none"/>
        </w:rPr>
        <w:t>）</w:t>
      </w:r>
    </w:p>
    <w:p w14:paraId="196029E1">
      <w:pPr>
        <w:spacing w:line="360" w:lineRule="auto"/>
        <w:ind w:firstLine="480" w:firstLineChars="200"/>
        <w:contextualSpacing/>
        <w:rPr>
          <w:rFonts w:hint="eastAsia" w:eastAsiaTheme="minorEastAsia"/>
          <w:highlight w:val="none"/>
          <w:lang w:eastAsia="zh-CN"/>
        </w:rPr>
      </w:pPr>
      <w:r>
        <w:rPr>
          <w:rFonts w:hint="eastAsia" w:eastAsiaTheme="minorEastAsia"/>
          <w:highlight w:val="none"/>
          <w:lang w:eastAsia="zh-CN"/>
        </w:rPr>
        <w:t>（</w:t>
      </w:r>
      <w:r>
        <w:rPr>
          <w:rFonts w:hint="eastAsia" w:eastAsiaTheme="minorEastAsia"/>
          <w:highlight w:val="none"/>
          <w:lang w:val="en-US" w:eastAsia="zh-CN"/>
        </w:rPr>
        <w:t>23</w:t>
      </w:r>
      <w:r>
        <w:rPr>
          <w:rFonts w:hint="eastAsia" w:eastAsiaTheme="minorEastAsia"/>
          <w:highlight w:val="none"/>
          <w:lang w:eastAsia="zh-CN"/>
        </w:rPr>
        <w:t>）</w:t>
      </w:r>
      <w:r>
        <w:rPr>
          <w:rFonts w:hint="default"/>
          <w:highlight w:val="none"/>
        </w:rPr>
        <w:t>《</w:t>
      </w:r>
      <w:r>
        <w:rPr>
          <w:rFonts w:hint="eastAsia"/>
          <w:lang w:val="en-US" w:eastAsia="zh-CN"/>
        </w:rPr>
        <w:t>废电池污染防治技术政策》（公告</w:t>
      </w:r>
      <w:r>
        <w:rPr>
          <w:rFonts w:hint="default"/>
          <w:lang w:val="en-US" w:eastAsia="zh-CN"/>
        </w:rPr>
        <w:t>2016</w:t>
      </w:r>
      <w:r>
        <w:rPr>
          <w:rFonts w:hint="eastAsia"/>
          <w:lang w:val="en-US" w:eastAsia="zh-CN"/>
        </w:rPr>
        <w:t>年第</w:t>
      </w:r>
      <w:r>
        <w:rPr>
          <w:rFonts w:hint="default"/>
          <w:lang w:val="en-US" w:eastAsia="zh-CN"/>
        </w:rPr>
        <w:t>82</w:t>
      </w:r>
      <w:r>
        <w:rPr>
          <w:rFonts w:hint="eastAsia"/>
          <w:lang w:val="en-US" w:eastAsia="zh-CN"/>
        </w:rPr>
        <w:t>号）</w:t>
      </w:r>
    </w:p>
    <w:p w14:paraId="401D4C20">
      <w:pPr>
        <w:spacing w:line="360" w:lineRule="auto"/>
        <w:ind w:firstLine="480" w:firstLineChars="200"/>
        <w:contextualSpacing/>
        <w:rPr>
          <w:rFonts w:hint="eastAsia"/>
          <w:highlight w:val="none"/>
        </w:rPr>
      </w:pPr>
      <w:r>
        <w:rPr>
          <w:rFonts w:hint="eastAsia"/>
          <w:highlight w:val="none"/>
          <w:lang w:eastAsia="zh-CN"/>
        </w:rPr>
        <w:t>（</w:t>
      </w:r>
      <w:r>
        <w:rPr>
          <w:rFonts w:hint="eastAsia"/>
          <w:highlight w:val="none"/>
          <w:lang w:val="en-US" w:eastAsia="zh-CN"/>
        </w:rPr>
        <w:t>24）</w:t>
      </w:r>
      <w:r>
        <w:rPr>
          <w:rFonts w:hint="eastAsia"/>
          <w:highlight w:val="none"/>
        </w:rPr>
        <w:t>《黑龙江省土壤污染防治行动实施方案》</w:t>
      </w:r>
    </w:p>
    <w:p w14:paraId="577E6AD3">
      <w:pPr>
        <w:bidi w:val="0"/>
        <w:rPr>
          <w:rFonts w:hint="eastAsia"/>
          <w:highlight w:val="none"/>
        </w:rPr>
      </w:pPr>
      <w:r>
        <w:rPr>
          <w:rFonts w:hint="eastAsia"/>
          <w:highlight w:val="none"/>
          <w:lang w:eastAsia="zh-CN"/>
        </w:rPr>
        <w:t>（</w:t>
      </w:r>
      <w:r>
        <w:rPr>
          <w:rFonts w:hint="eastAsia"/>
          <w:highlight w:val="none"/>
          <w:lang w:val="en-US" w:eastAsia="zh-CN"/>
        </w:rPr>
        <w:t>25</w:t>
      </w:r>
      <w:r>
        <w:rPr>
          <w:rFonts w:hint="eastAsia"/>
          <w:highlight w:val="none"/>
          <w:lang w:eastAsia="zh-CN"/>
        </w:rPr>
        <w:t>）</w:t>
      </w:r>
      <w:r>
        <w:rPr>
          <w:rFonts w:hint="eastAsia"/>
          <w:highlight w:val="none"/>
        </w:rPr>
        <w:t>《黑龙江省水污染防治条例》</w:t>
      </w:r>
    </w:p>
    <w:p w14:paraId="41505898">
      <w:pPr>
        <w:bidi w:val="0"/>
        <w:rPr>
          <w:rFonts w:hint="eastAsia"/>
          <w:highlight w:val="none"/>
          <w:lang w:val="en-US" w:eastAsia="zh-CN"/>
        </w:rPr>
      </w:pPr>
      <w:r>
        <w:rPr>
          <w:rFonts w:hint="eastAsia"/>
          <w:highlight w:val="none"/>
          <w:lang w:eastAsia="zh-CN"/>
        </w:rPr>
        <w:t>（</w:t>
      </w:r>
      <w:r>
        <w:rPr>
          <w:rFonts w:hint="eastAsia"/>
          <w:highlight w:val="none"/>
          <w:lang w:val="en-US" w:eastAsia="zh-CN"/>
        </w:rPr>
        <w:t>26</w:t>
      </w:r>
      <w:r>
        <w:rPr>
          <w:rFonts w:hint="eastAsia"/>
          <w:highlight w:val="none"/>
          <w:lang w:eastAsia="zh-CN"/>
        </w:rPr>
        <w:t>）</w:t>
      </w:r>
      <w:r>
        <w:rPr>
          <w:rFonts w:hint="eastAsia"/>
          <w:highlight w:val="none"/>
          <w:lang w:val="en-US" w:eastAsia="zh-CN"/>
        </w:rPr>
        <w:t>《黑龙江省“十四五”生态环境保护规划》</w:t>
      </w:r>
    </w:p>
    <w:p w14:paraId="5C7CF38F">
      <w:pPr>
        <w:bidi w:val="0"/>
        <w:rPr>
          <w:highlight w:val="none"/>
        </w:rPr>
      </w:pPr>
      <w:r>
        <w:rPr>
          <w:rFonts w:hint="eastAsia"/>
          <w:highlight w:val="none"/>
          <w:lang w:val="en-US" w:eastAsia="zh-CN"/>
        </w:rPr>
        <w:t>（27）</w:t>
      </w:r>
      <w:r>
        <w:rPr>
          <w:rFonts w:hint="eastAsia"/>
          <w:highlight w:val="none"/>
        </w:rPr>
        <w:t>《黑龙江省强化危险废物监管和利用处置能力改革工作方案》</w:t>
      </w:r>
      <w:r>
        <w:rPr>
          <w:highlight w:val="none"/>
        </w:rPr>
        <w:t>符合性分析</w:t>
      </w:r>
    </w:p>
    <w:p w14:paraId="4D12129E">
      <w:pPr>
        <w:bidi w:val="0"/>
        <w:rPr>
          <w:rFonts w:hint="default"/>
          <w:highlight w:val="none"/>
        </w:rPr>
      </w:pPr>
      <w:r>
        <w:rPr>
          <w:rFonts w:hint="eastAsia"/>
          <w:highlight w:val="none"/>
          <w:lang w:eastAsia="zh-CN"/>
        </w:rPr>
        <w:t>（</w:t>
      </w:r>
      <w:r>
        <w:rPr>
          <w:rFonts w:hint="eastAsia"/>
          <w:highlight w:val="none"/>
          <w:lang w:val="en-US" w:eastAsia="zh-CN"/>
        </w:rPr>
        <w:t>28</w:t>
      </w:r>
      <w:r>
        <w:rPr>
          <w:rFonts w:hint="eastAsia"/>
          <w:highlight w:val="none"/>
          <w:lang w:eastAsia="zh-CN"/>
        </w:rPr>
        <w:t>）</w:t>
      </w:r>
      <w:r>
        <w:rPr>
          <w:rFonts w:hint="default"/>
          <w:highlight w:val="none"/>
        </w:rPr>
        <w:t>《黑龙江省重点行业挥发性有机物综合治理行动方案》（黑环发[2019]153号）</w:t>
      </w:r>
    </w:p>
    <w:p w14:paraId="36B19E5C">
      <w:pPr>
        <w:bidi w:val="0"/>
        <w:rPr>
          <w:rFonts w:hint="eastAsia"/>
          <w:highlight w:val="none"/>
        </w:rPr>
      </w:pPr>
      <w:r>
        <w:rPr>
          <w:rFonts w:hint="eastAsia"/>
          <w:highlight w:val="none"/>
          <w:lang w:eastAsia="zh-CN"/>
        </w:rPr>
        <w:t>（</w:t>
      </w:r>
      <w:r>
        <w:rPr>
          <w:rFonts w:hint="eastAsia"/>
          <w:highlight w:val="none"/>
          <w:lang w:val="en-US" w:eastAsia="zh-CN"/>
        </w:rPr>
        <w:t>29</w:t>
      </w:r>
      <w:r>
        <w:rPr>
          <w:rFonts w:hint="eastAsia"/>
          <w:highlight w:val="none"/>
          <w:lang w:eastAsia="zh-CN"/>
        </w:rPr>
        <w:t>）</w:t>
      </w:r>
      <w:r>
        <w:rPr>
          <w:rFonts w:hint="eastAsia"/>
          <w:highlight w:val="none"/>
        </w:rPr>
        <w:t>《哈尔滨市“十四五”生态环境保护规划》</w:t>
      </w:r>
    </w:p>
    <w:p w14:paraId="2A9710F7">
      <w:pPr>
        <w:bidi w:val="0"/>
        <w:rPr>
          <w:rFonts w:hint="eastAsia"/>
          <w:highlight w:val="none"/>
        </w:rPr>
      </w:pPr>
      <w:r>
        <w:rPr>
          <w:rFonts w:hint="eastAsia"/>
          <w:highlight w:val="none"/>
          <w:lang w:eastAsia="zh-CN"/>
        </w:rPr>
        <w:t>（</w:t>
      </w:r>
      <w:r>
        <w:rPr>
          <w:rFonts w:hint="eastAsia"/>
          <w:highlight w:val="none"/>
          <w:lang w:val="en-US" w:eastAsia="zh-CN"/>
        </w:rPr>
        <w:t>30</w:t>
      </w:r>
      <w:r>
        <w:rPr>
          <w:rFonts w:hint="eastAsia"/>
          <w:highlight w:val="none"/>
          <w:lang w:eastAsia="zh-CN"/>
        </w:rPr>
        <w:t>）</w:t>
      </w:r>
      <w:r>
        <w:rPr>
          <w:rFonts w:hint="eastAsia"/>
          <w:highlight w:val="none"/>
        </w:rPr>
        <w:t>《哈尔滨市大气环境质量限期达标规划（2020-2027）》（哈环发[2021]23号）</w:t>
      </w:r>
    </w:p>
    <w:p w14:paraId="4AD4A4EE">
      <w:pPr>
        <w:bidi w:val="0"/>
        <w:rPr>
          <w:highlight w:val="none"/>
        </w:rPr>
      </w:pPr>
      <w:r>
        <w:rPr>
          <w:rFonts w:hint="eastAsia"/>
          <w:highlight w:val="none"/>
          <w:lang w:eastAsia="zh-CN"/>
        </w:rPr>
        <w:t>（</w:t>
      </w:r>
      <w:r>
        <w:rPr>
          <w:rFonts w:hint="eastAsia"/>
          <w:highlight w:val="none"/>
          <w:lang w:val="en-US" w:eastAsia="zh-CN"/>
        </w:rPr>
        <w:t>31</w:t>
      </w:r>
      <w:r>
        <w:rPr>
          <w:rFonts w:hint="eastAsia"/>
          <w:highlight w:val="none"/>
          <w:lang w:eastAsia="zh-CN"/>
        </w:rPr>
        <w:t>）</w:t>
      </w:r>
      <w:r>
        <w:rPr>
          <w:rFonts w:hint="eastAsia"/>
          <w:highlight w:val="none"/>
        </w:rPr>
        <w:t>哈尔滨市人民政府关于印发哈尔滨市空气质量改善三年行动计划（202</w:t>
      </w:r>
      <w:r>
        <w:rPr>
          <w:rFonts w:hint="eastAsia"/>
          <w:highlight w:val="none"/>
          <w:lang w:val="en-US" w:eastAsia="zh-CN"/>
        </w:rPr>
        <w:t>4</w:t>
      </w:r>
      <w:r>
        <w:rPr>
          <w:rFonts w:hint="eastAsia"/>
          <w:highlight w:val="none"/>
        </w:rPr>
        <w:t>-202</w:t>
      </w:r>
      <w:r>
        <w:rPr>
          <w:rFonts w:hint="eastAsia"/>
          <w:highlight w:val="none"/>
          <w:lang w:val="en-US" w:eastAsia="zh-CN"/>
        </w:rPr>
        <w:t>5</w:t>
      </w:r>
      <w:r>
        <w:rPr>
          <w:rFonts w:hint="eastAsia"/>
          <w:highlight w:val="none"/>
        </w:rPr>
        <w:t>年）的通知》</w:t>
      </w:r>
      <w:r>
        <w:rPr>
          <w:highlight w:val="none"/>
        </w:rPr>
        <w:t>。</w:t>
      </w:r>
    </w:p>
    <w:p w14:paraId="5F57A00B">
      <w:pPr>
        <w:pStyle w:val="5"/>
        <w:bidi w:val="0"/>
        <w:rPr>
          <w:highlight w:val="none"/>
        </w:rPr>
      </w:pPr>
      <w:bookmarkStart w:id="132" w:name="_Toc524431282"/>
      <w:bookmarkStart w:id="133" w:name="_Toc3499"/>
      <w:bookmarkStart w:id="134" w:name="_Toc31816"/>
      <w:bookmarkStart w:id="135" w:name="_Toc15991628"/>
      <w:r>
        <w:rPr>
          <w:highlight w:val="none"/>
        </w:rPr>
        <w:t>2.1.3相关政策及文件</w:t>
      </w:r>
      <w:bookmarkEnd w:id="132"/>
      <w:bookmarkEnd w:id="133"/>
      <w:bookmarkEnd w:id="134"/>
      <w:bookmarkEnd w:id="135"/>
    </w:p>
    <w:bookmarkEnd w:id="126"/>
    <w:p w14:paraId="35637BD3">
      <w:pPr>
        <w:spacing w:line="360" w:lineRule="auto"/>
        <w:ind w:firstLine="480" w:firstLineChars="200"/>
        <w:contextualSpacing/>
        <w:rPr>
          <w:rFonts w:eastAsiaTheme="minorEastAsia"/>
          <w:bCs/>
          <w:snapToGrid w:val="0"/>
          <w:kern w:val="0"/>
          <w:sz w:val="24"/>
          <w:highlight w:val="none"/>
        </w:rPr>
      </w:pPr>
      <w:r>
        <w:rPr>
          <w:rFonts w:hAnsiTheme="minorEastAsia" w:eastAsiaTheme="minorEastAsia"/>
          <w:snapToGrid w:val="0"/>
          <w:kern w:val="0"/>
          <w:sz w:val="24"/>
          <w:highlight w:val="none"/>
        </w:rPr>
        <w:t>（</w:t>
      </w:r>
      <w:r>
        <w:rPr>
          <w:rFonts w:hint="eastAsia" w:eastAsiaTheme="minorEastAsia"/>
          <w:snapToGrid w:val="0"/>
          <w:kern w:val="0"/>
          <w:sz w:val="24"/>
          <w:highlight w:val="none"/>
          <w:lang w:val="en-US" w:eastAsia="zh-CN"/>
        </w:rPr>
        <w:t>1</w:t>
      </w:r>
      <w:r>
        <w:rPr>
          <w:rFonts w:hAnsiTheme="minorEastAsia" w:eastAsiaTheme="minorEastAsia"/>
          <w:snapToGrid w:val="0"/>
          <w:kern w:val="0"/>
          <w:sz w:val="24"/>
          <w:highlight w:val="none"/>
        </w:rPr>
        <w:t>）</w:t>
      </w:r>
      <w:r>
        <w:rPr>
          <w:rFonts w:hint="eastAsia" w:hAnsiTheme="minorEastAsia" w:eastAsiaTheme="minorEastAsia"/>
          <w:bCs/>
          <w:snapToGrid w:val="0"/>
          <w:kern w:val="0"/>
          <w:sz w:val="24"/>
          <w:highlight w:val="none"/>
        </w:rPr>
        <w:t>《黑龙江省城乡固体废物分类治理布局规划（2019-2035年）2021年修订版》</w:t>
      </w:r>
      <w:r>
        <w:rPr>
          <w:rFonts w:hAnsiTheme="minorEastAsia" w:eastAsiaTheme="minorEastAsia"/>
          <w:bCs/>
          <w:snapToGrid w:val="0"/>
          <w:kern w:val="0"/>
          <w:sz w:val="24"/>
          <w:highlight w:val="none"/>
        </w:rPr>
        <w:t>；</w:t>
      </w:r>
    </w:p>
    <w:p w14:paraId="308EA248">
      <w:pPr>
        <w:spacing w:line="360" w:lineRule="auto"/>
        <w:ind w:firstLine="480" w:firstLineChars="200"/>
        <w:contextualSpacing/>
        <w:rPr>
          <w:rFonts w:eastAsiaTheme="minorEastAsia"/>
          <w:bCs/>
          <w:snapToGrid w:val="0"/>
          <w:kern w:val="0"/>
          <w:sz w:val="24"/>
          <w:highlight w:val="none"/>
        </w:rPr>
      </w:pPr>
      <w:r>
        <w:rPr>
          <w:rFonts w:hAnsiTheme="minorEastAsia" w:eastAsiaTheme="minorEastAsia"/>
          <w:bCs/>
          <w:snapToGrid w:val="0"/>
          <w:kern w:val="0"/>
          <w:sz w:val="24"/>
          <w:highlight w:val="none"/>
        </w:rPr>
        <w:t>（</w:t>
      </w:r>
      <w:r>
        <w:rPr>
          <w:rFonts w:hint="eastAsia" w:eastAsiaTheme="minorEastAsia"/>
          <w:bCs/>
          <w:snapToGrid w:val="0"/>
          <w:kern w:val="0"/>
          <w:sz w:val="24"/>
          <w:highlight w:val="none"/>
          <w:lang w:val="en-US" w:eastAsia="zh-CN"/>
        </w:rPr>
        <w:t>2</w:t>
      </w:r>
      <w:r>
        <w:rPr>
          <w:rFonts w:hAnsiTheme="minorEastAsia" w:eastAsiaTheme="minorEastAsia"/>
          <w:bCs/>
          <w:snapToGrid w:val="0"/>
          <w:kern w:val="0"/>
          <w:sz w:val="24"/>
          <w:highlight w:val="none"/>
        </w:rPr>
        <w:t>）《哈尔滨市大气环境质量限期达标规划（</w:t>
      </w:r>
      <w:r>
        <w:rPr>
          <w:rFonts w:eastAsiaTheme="minorEastAsia"/>
          <w:bCs/>
          <w:snapToGrid w:val="0"/>
          <w:kern w:val="0"/>
          <w:sz w:val="24"/>
          <w:highlight w:val="none"/>
        </w:rPr>
        <w:t>2020-2027</w:t>
      </w:r>
      <w:r>
        <w:rPr>
          <w:rFonts w:hAnsiTheme="minorEastAsia" w:eastAsiaTheme="minorEastAsia"/>
          <w:bCs/>
          <w:snapToGrid w:val="0"/>
          <w:kern w:val="0"/>
          <w:sz w:val="24"/>
          <w:highlight w:val="none"/>
        </w:rPr>
        <w:t>年）》（哈环发</w:t>
      </w:r>
      <w:r>
        <w:rPr>
          <w:rFonts w:eastAsiaTheme="minorEastAsia"/>
          <w:bCs/>
          <w:snapToGrid w:val="0"/>
          <w:kern w:val="0"/>
          <w:sz w:val="24"/>
          <w:highlight w:val="none"/>
        </w:rPr>
        <w:t>[2021]23</w:t>
      </w:r>
      <w:r>
        <w:rPr>
          <w:rFonts w:hAnsiTheme="minorEastAsia" w:eastAsiaTheme="minorEastAsia"/>
          <w:bCs/>
          <w:snapToGrid w:val="0"/>
          <w:kern w:val="0"/>
          <w:sz w:val="24"/>
          <w:highlight w:val="none"/>
        </w:rPr>
        <w:t>号）；</w:t>
      </w:r>
    </w:p>
    <w:p w14:paraId="5E5FE20B">
      <w:pPr>
        <w:spacing w:line="360" w:lineRule="auto"/>
        <w:ind w:firstLine="480" w:firstLineChars="200"/>
        <w:contextualSpacing/>
        <w:rPr>
          <w:rFonts w:eastAsiaTheme="minorEastAsia"/>
          <w:kern w:val="24"/>
          <w:sz w:val="24"/>
          <w:highlight w:val="none"/>
        </w:rPr>
      </w:pPr>
      <w:r>
        <w:rPr>
          <w:rFonts w:hAnsiTheme="minorEastAsia" w:eastAsiaTheme="minorEastAsia"/>
          <w:bCs/>
          <w:snapToGrid w:val="0"/>
          <w:kern w:val="0"/>
          <w:sz w:val="24"/>
          <w:highlight w:val="none"/>
        </w:rPr>
        <w:t>（</w:t>
      </w:r>
      <w:r>
        <w:rPr>
          <w:rFonts w:hint="eastAsia" w:eastAsiaTheme="minorEastAsia"/>
          <w:bCs/>
          <w:snapToGrid w:val="0"/>
          <w:kern w:val="0"/>
          <w:sz w:val="24"/>
          <w:highlight w:val="none"/>
          <w:lang w:val="en-US" w:eastAsia="zh-CN"/>
        </w:rPr>
        <w:t>3</w:t>
      </w:r>
      <w:r>
        <w:rPr>
          <w:rFonts w:hAnsiTheme="minorEastAsia" w:eastAsiaTheme="minorEastAsia"/>
          <w:bCs/>
          <w:snapToGrid w:val="0"/>
          <w:kern w:val="0"/>
          <w:sz w:val="24"/>
          <w:highlight w:val="none"/>
        </w:rPr>
        <w:t>）</w:t>
      </w:r>
      <w:r>
        <w:rPr>
          <w:rFonts w:hint="eastAsia" w:hAnsiTheme="minorEastAsia" w:eastAsiaTheme="minorEastAsia"/>
          <w:kern w:val="24"/>
          <w:sz w:val="24"/>
          <w:highlight w:val="none"/>
        </w:rPr>
        <w:t>《黑龙江省哈尔滨市城乡固体废物分类治理专项规划（2019-2035年）修编》</w:t>
      </w:r>
      <w:r>
        <w:rPr>
          <w:rFonts w:hAnsiTheme="minorEastAsia" w:eastAsiaTheme="minorEastAsia"/>
          <w:kern w:val="24"/>
          <w:sz w:val="24"/>
          <w:highlight w:val="none"/>
        </w:rPr>
        <w:t>；</w:t>
      </w:r>
    </w:p>
    <w:p w14:paraId="3F44E7C5">
      <w:pPr>
        <w:spacing w:line="360" w:lineRule="auto"/>
        <w:ind w:firstLine="480" w:firstLineChars="200"/>
        <w:contextualSpacing/>
        <w:rPr>
          <w:rFonts w:eastAsiaTheme="minorEastAsia"/>
          <w:kern w:val="24"/>
          <w:sz w:val="24"/>
          <w:highlight w:val="none"/>
        </w:rPr>
      </w:pPr>
      <w:r>
        <w:rPr>
          <w:rFonts w:hAnsiTheme="minorEastAsia" w:eastAsiaTheme="minorEastAsia"/>
          <w:kern w:val="24"/>
          <w:sz w:val="24"/>
          <w:highlight w:val="none"/>
        </w:rPr>
        <w:t>（</w:t>
      </w:r>
      <w:r>
        <w:rPr>
          <w:rFonts w:hint="eastAsia" w:eastAsiaTheme="minorEastAsia"/>
          <w:kern w:val="24"/>
          <w:sz w:val="24"/>
          <w:highlight w:val="none"/>
          <w:lang w:val="en-US" w:eastAsia="zh-CN"/>
        </w:rPr>
        <w:t>4</w:t>
      </w:r>
      <w:r>
        <w:rPr>
          <w:rFonts w:hAnsiTheme="minorEastAsia" w:eastAsiaTheme="minorEastAsia"/>
          <w:kern w:val="24"/>
          <w:sz w:val="24"/>
          <w:highlight w:val="none"/>
        </w:rPr>
        <w:t>）</w:t>
      </w:r>
      <w:r>
        <w:rPr>
          <w:rFonts w:hint="eastAsia" w:hAnsiTheme="minorEastAsia" w:eastAsiaTheme="minorEastAsia"/>
          <w:kern w:val="24"/>
          <w:sz w:val="24"/>
          <w:highlight w:val="none"/>
        </w:rPr>
        <w:t>《黑龙江省哈尔滨市城乡固体废物分类治理专项规划（2019-2035年）（修编）环境影响报告书》</w:t>
      </w:r>
      <w:r>
        <w:rPr>
          <w:rFonts w:hint="eastAsia" w:hAnsiTheme="minorEastAsia" w:eastAsiaTheme="minorEastAsia"/>
          <w:kern w:val="24"/>
          <w:sz w:val="24"/>
          <w:highlight w:val="none"/>
          <w:lang w:eastAsia="zh-CN"/>
        </w:rPr>
        <w:t>（</w:t>
      </w:r>
      <w:r>
        <w:rPr>
          <w:rFonts w:hint="eastAsia" w:hAnsiTheme="minorEastAsia" w:eastAsiaTheme="minorEastAsia"/>
          <w:kern w:val="24"/>
          <w:sz w:val="24"/>
          <w:highlight w:val="none"/>
          <w:lang w:val="en-US" w:eastAsia="zh-CN"/>
        </w:rPr>
        <w:t>2021年12月</w:t>
      </w:r>
      <w:r>
        <w:rPr>
          <w:rFonts w:hint="eastAsia" w:hAnsiTheme="minorEastAsia" w:eastAsiaTheme="minorEastAsia"/>
          <w:kern w:val="24"/>
          <w:sz w:val="24"/>
          <w:highlight w:val="none"/>
          <w:lang w:eastAsia="zh-CN"/>
        </w:rPr>
        <w:t>）</w:t>
      </w:r>
      <w:r>
        <w:rPr>
          <w:rFonts w:hAnsiTheme="minorEastAsia" w:eastAsiaTheme="minorEastAsia"/>
          <w:kern w:val="24"/>
          <w:sz w:val="24"/>
          <w:highlight w:val="none"/>
        </w:rPr>
        <w:t>；</w:t>
      </w:r>
    </w:p>
    <w:p w14:paraId="2FAE860F">
      <w:pPr>
        <w:spacing w:line="360" w:lineRule="auto"/>
        <w:ind w:firstLine="480" w:firstLineChars="200"/>
        <w:contextualSpacing/>
        <w:rPr>
          <w:rFonts w:hint="eastAsia" w:hAnsiTheme="minorEastAsia" w:eastAsiaTheme="minorEastAsia"/>
          <w:kern w:val="24"/>
          <w:sz w:val="24"/>
          <w:highlight w:val="none"/>
          <w:lang w:eastAsia="zh-CN"/>
        </w:rPr>
      </w:pPr>
      <w:r>
        <w:rPr>
          <w:rFonts w:hAnsiTheme="minorEastAsia" w:eastAsiaTheme="minorEastAsia"/>
          <w:kern w:val="24"/>
          <w:sz w:val="24"/>
          <w:highlight w:val="none"/>
        </w:rPr>
        <w:t>（</w:t>
      </w:r>
      <w:r>
        <w:rPr>
          <w:rFonts w:hint="eastAsia" w:eastAsiaTheme="minorEastAsia"/>
          <w:kern w:val="24"/>
          <w:sz w:val="24"/>
          <w:highlight w:val="none"/>
          <w:lang w:val="en-US" w:eastAsia="zh-CN"/>
        </w:rPr>
        <w:t>5</w:t>
      </w:r>
      <w:r>
        <w:rPr>
          <w:rFonts w:hAnsiTheme="minorEastAsia" w:eastAsiaTheme="minorEastAsia"/>
          <w:kern w:val="24"/>
          <w:sz w:val="24"/>
          <w:highlight w:val="none"/>
        </w:rPr>
        <w:t>）《</w:t>
      </w:r>
      <w:r>
        <w:rPr>
          <w:rFonts w:hint="eastAsia" w:hAnsiTheme="minorEastAsia" w:eastAsiaTheme="minorEastAsia"/>
          <w:kern w:val="24"/>
          <w:sz w:val="24"/>
          <w:highlight w:val="none"/>
        </w:rPr>
        <w:t>哈尔滨市生态环境局关于对黑龙江省哈尔滨市城乡固体废物分类治理专项规划</w:t>
      </w:r>
      <w:r>
        <w:rPr>
          <w:rFonts w:hint="eastAsia" w:hAnsiTheme="minorEastAsia" w:eastAsiaTheme="minorEastAsia"/>
          <w:kern w:val="24"/>
          <w:sz w:val="24"/>
          <w:highlight w:val="none"/>
          <w:lang w:eastAsia="zh-CN"/>
        </w:rPr>
        <w:t>（</w:t>
      </w:r>
      <w:r>
        <w:rPr>
          <w:rFonts w:hint="eastAsia" w:hAnsiTheme="minorEastAsia" w:eastAsiaTheme="minorEastAsia"/>
          <w:kern w:val="24"/>
          <w:sz w:val="24"/>
          <w:highlight w:val="none"/>
        </w:rPr>
        <w:t>2019-2035年</w:t>
      </w:r>
      <w:r>
        <w:rPr>
          <w:rFonts w:hint="eastAsia" w:hAnsiTheme="minorEastAsia" w:eastAsiaTheme="minorEastAsia"/>
          <w:kern w:val="24"/>
          <w:sz w:val="24"/>
          <w:highlight w:val="none"/>
          <w:lang w:eastAsia="zh-CN"/>
        </w:rPr>
        <w:t>）（</w:t>
      </w:r>
      <w:r>
        <w:rPr>
          <w:rFonts w:hint="eastAsia" w:hAnsiTheme="minorEastAsia" w:eastAsiaTheme="minorEastAsia"/>
          <w:kern w:val="24"/>
          <w:sz w:val="24"/>
          <w:highlight w:val="none"/>
        </w:rPr>
        <w:t>修编</w:t>
      </w:r>
      <w:r>
        <w:rPr>
          <w:rFonts w:hint="eastAsia" w:hAnsiTheme="minorEastAsia" w:eastAsiaTheme="minorEastAsia"/>
          <w:kern w:val="24"/>
          <w:sz w:val="24"/>
          <w:highlight w:val="none"/>
          <w:lang w:eastAsia="zh-CN"/>
        </w:rPr>
        <w:t>）</w:t>
      </w:r>
      <w:r>
        <w:rPr>
          <w:rFonts w:hint="eastAsia" w:hAnsiTheme="minorEastAsia" w:eastAsiaTheme="minorEastAsia"/>
          <w:kern w:val="24"/>
          <w:sz w:val="24"/>
          <w:highlight w:val="none"/>
        </w:rPr>
        <w:t>环境影响报告书的审查意见</w:t>
      </w:r>
      <w:r>
        <w:rPr>
          <w:rFonts w:hAnsiTheme="minorEastAsia" w:eastAsiaTheme="minorEastAsia"/>
          <w:kern w:val="24"/>
          <w:sz w:val="24"/>
          <w:highlight w:val="none"/>
        </w:rPr>
        <w:t>》（</w:t>
      </w:r>
      <w:r>
        <w:rPr>
          <w:rFonts w:hint="eastAsia" w:hAnsiTheme="minorEastAsia" w:eastAsiaTheme="minorEastAsia"/>
          <w:kern w:val="24"/>
          <w:sz w:val="24"/>
          <w:highlight w:val="none"/>
          <w:lang w:val="en-US" w:eastAsia="zh-CN"/>
        </w:rPr>
        <w:t>哈环审书（规）[</w:t>
      </w:r>
      <w:r>
        <w:rPr>
          <w:rFonts w:hint="eastAsia" w:eastAsiaTheme="minorEastAsia"/>
          <w:kern w:val="24"/>
          <w:sz w:val="24"/>
          <w:highlight w:val="none"/>
          <w:lang w:val="en-US" w:eastAsia="zh-CN"/>
        </w:rPr>
        <w:t>2021</w:t>
      </w:r>
      <w:r>
        <w:rPr>
          <w:rFonts w:hint="eastAsia" w:hAnsiTheme="minorEastAsia" w:eastAsiaTheme="minorEastAsia"/>
          <w:kern w:val="24"/>
          <w:sz w:val="24"/>
          <w:highlight w:val="none"/>
          <w:lang w:val="en-US" w:eastAsia="zh-CN"/>
        </w:rPr>
        <w:t>]</w:t>
      </w:r>
      <w:r>
        <w:rPr>
          <w:rFonts w:eastAsiaTheme="minorEastAsia"/>
          <w:kern w:val="24"/>
          <w:sz w:val="24"/>
          <w:highlight w:val="none"/>
        </w:rPr>
        <w:t>1</w:t>
      </w:r>
      <w:r>
        <w:rPr>
          <w:rFonts w:hAnsiTheme="minorEastAsia" w:eastAsiaTheme="minorEastAsia"/>
          <w:kern w:val="24"/>
          <w:sz w:val="24"/>
          <w:highlight w:val="none"/>
        </w:rPr>
        <w:t>号）</w:t>
      </w:r>
      <w:r>
        <w:rPr>
          <w:rFonts w:hint="eastAsia" w:hAnsiTheme="minorEastAsia" w:eastAsiaTheme="minorEastAsia"/>
          <w:kern w:val="24"/>
          <w:sz w:val="24"/>
          <w:highlight w:val="none"/>
          <w:lang w:eastAsia="zh-CN"/>
        </w:rPr>
        <w:t>。</w:t>
      </w:r>
    </w:p>
    <w:p w14:paraId="640F6B3E">
      <w:pPr>
        <w:pStyle w:val="5"/>
        <w:bidi w:val="0"/>
        <w:rPr>
          <w:highlight w:val="none"/>
        </w:rPr>
      </w:pPr>
      <w:bookmarkStart w:id="136" w:name="_Toc23097"/>
      <w:bookmarkStart w:id="137" w:name="_Toc15563"/>
      <w:r>
        <w:rPr>
          <w:highlight w:val="none"/>
        </w:rPr>
        <w:t>2.1.4其他技术文件</w:t>
      </w:r>
      <w:bookmarkEnd w:id="136"/>
      <w:bookmarkEnd w:id="137"/>
    </w:p>
    <w:p w14:paraId="0AB6C16A">
      <w:pPr>
        <w:numPr>
          <w:ilvl w:val="0"/>
          <w:numId w:val="8"/>
        </w:numPr>
        <w:bidi w:val="0"/>
        <w:rPr>
          <w:rFonts w:hint="eastAsia"/>
          <w:highlight w:val="none"/>
          <w:lang w:eastAsia="zh-CN"/>
        </w:rPr>
      </w:pPr>
      <w:r>
        <w:rPr>
          <w:highlight w:val="none"/>
        </w:rPr>
        <w:t>建设单位提供的其他</w:t>
      </w:r>
      <w:r>
        <w:rPr>
          <w:rFonts w:hint="eastAsia"/>
          <w:highlight w:val="none"/>
          <w:lang w:val="en-US" w:eastAsia="zh-CN"/>
        </w:rPr>
        <w:t>设计</w:t>
      </w:r>
      <w:r>
        <w:rPr>
          <w:highlight w:val="none"/>
        </w:rPr>
        <w:t>资料</w:t>
      </w:r>
      <w:r>
        <w:rPr>
          <w:rFonts w:hint="eastAsia"/>
          <w:highlight w:val="none"/>
          <w:lang w:eastAsia="zh-CN"/>
        </w:rPr>
        <w:t>；</w:t>
      </w:r>
    </w:p>
    <w:p w14:paraId="5984A1E9">
      <w:pPr>
        <w:pStyle w:val="4"/>
        <w:bidi w:val="0"/>
        <w:rPr>
          <w:highlight w:val="none"/>
        </w:rPr>
      </w:pPr>
      <w:bookmarkStart w:id="138" w:name="_Toc29696"/>
      <w:bookmarkStart w:id="139" w:name="_Toc21641"/>
      <w:r>
        <w:rPr>
          <w:highlight w:val="none"/>
        </w:rPr>
        <w:t>2.2环境影响因素识别与评价因子筛选</w:t>
      </w:r>
      <w:bookmarkEnd w:id="138"/>
      <w:bookmarkEnd w:id="139"/>
    </w:p>
    <w:p w14:paraId="7FA8F84A">
      <w:pPr>
        <w:pStyle w:val="5"/>
        <w:bidi w:val="0"/>
        <w:rPr>
          <w:highlight w:val="none"/>
        </w:rPr>
      </w:pPr>
      <w:bookmarkStart w:id="140" w:name="_Toc11177"/>
      <w:bookmarkStart w:id="141" w:name="_Toc20070"/>
      <w:r>
        <w:rPr>
          <w:highlight w:val="none"/>
        </w:rPr>
        <w:t>2.2.1环境影响因素识别</w:t>
      </w:r>
      <w:bookmarkEnd w:id="140"/>
      <w:bookmarkEnd w:id="141"/>
    </w:p>
    <w:p w14:paraId="4884336B">
      <w:pPr>
        <w:spacing w:line="360" w:lineRule="auto"/>
        <w:ind w:firstLine="480" w:firstLineChars="200"/>
        <w:contextualSpacing/>
        <w:rPr>
          <w:rFonts w:eastAsiaTheme="minorEastAsia"/>
          <w:sz w:val="24"/>
          <w:highlight w:val="none"/>
        </w:rPr>
      </w:pPr>
      <w:r>
        <w:rPr>
          <w:rFonts w:hAnsiTheme="minorEastAsia" w:eastAsiaTheme="minorEastAsia"/>
          <w:sz w:val="24"/>
          <w:highlight w:val="none"/>
        </w:rPr>
        <w:t>根据本项目营运期的生产特点和污染物的排放种类、排放量以及对环境的影响，将生产过程中产生的污染</w:t>
      </w:r>
      <w:r>
        <w:rPr>
          <w:rFonts w:hint="eastAsia" w:hAnsiTheme="minorEastAsia" w:eastAsiaTheme="minorEastAsia"/>
          <w:sz w:val="24"/>
          <w:highlight w:val="none"/>
          <w:lang w:eastAsia="zh-CN"/>
        </w:rPr>
        <w:t>物对</w:t>
      </w:r>
      <w:r>
        <w:rPr>
          <w:rFonts w:hAnsiTheme="minorEastAsia" w:eastAsiaTheme="minorEastAsia"/>
          <w:sz w:val="24"/>
          <w:highlight w:val="none"/>
        </w:rPr>
        <w:t>环境的影响见表</w:t>
      </w:r>
      <w:r>
        <w:rPr>
          <w:rFonts w:eastAsiaTheme="minorEastAsia"/>
          <w:sz w:val="24"/>
          <w:highlight w:val="none"/>
        </w:rPr>
        <w:t>2-2-1</w:t>
      </w:r>
      <w:r>
        <w:rPr>
          <w:rFonts w:hAnsiTheme="minorEastAsia" w:eastAsiaTheme="minorEastAsia"/>
          <w:sz w:val="24"/>
          <w:highlight w:val="none"/>
        </w:rPr>
        <w:t>。</w:t>
      </w:r>
    </w:p>
    <w:p w14:paraId="06396639">
      <w:pPr>
        <w:pStyle w:val="7"/>
        <w:bidi w:val="0"/>
        <w:rPr>
          <w:highlight w:val="none"/>
        </w:rPr>
      </w:pPr>
      <w:r>
        <w:rPr>
          <w:highlight w:val="none"/>
        </w:rPr>
        <w:t>表2-2-1环境影响识别</w:t>
      </w:r>
    </w:p>
    <w:tbl>
      <w:tblPr>
        <w:tblStyle w:val="45"/>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315"/>
        <w:gridCol w:w="434"/>
        <w:gridCol w:w="534"/>
        <w:gridCol w:w="446"/>
        <w:gridCol w:w="484"/>
        <w:gridCol w:w="446"/>
        <w:gridCol w:w="446"/>
        <w:gridCol w:w="446"/>
        <w:gridCol w:w="446"/>
        <w:gridCol w:w="474"/>
        <w:gridCol w:w="446"/>
        <w:gridCol w:w="446"/>
        <w:gridCol w:w="499"/>
        <w:gridCol w:w="519"/>
        <w:gridCol w:w="541"/>
        <w:gridCol w:w="548"/>
      </w:tblGrid>
      <w:tr w14:paraId="2EB0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685" w:type="dxa"/>
            <w:gridSpan w:val="2"/>
            <w:vMerge w:val="restart"/>
            <w:tcBorders>
              <w:top w:val="single" w:color="auto" w:sz="12" w:space="0"/>
              <w:left w:val="nil"/>
              <w:tl2br w:val="single" w:color="auto" w:sz="4" w:space="0"/>
            </w:tcBorders>
          </w:tcPr>
          <w:p w14:paraId="26FB3928">
            <w:pPr>
              <w:pStyle w:val="8"/>
              <w:suppressLineNumbers w:val="0"/>
              <w:bidi w:val="0"/>
              <w:spacing w:before="0" w:beforeAutospacing="0" w:after="0" w:afterAutospacing="0"/>
              <w:ind w:left="0" w:right="0"/>
              <w:rPr>
                <w:rFonts w:hint="default"/>
                <w:highlight w:val="none"/>
              </w:rPr>
            </w:pPr>
            <w:r>
              <w:rPr>
                <w:rFonts w:hint="default"/>
                <w:highlight w:val="none"/>
              </w:rPr>
              <w:t>影响特点</w:t>
            </w:r>
          </w:p>
          <w:p w14:paraId="1F5862E5">
            <w:pPr>
              <w:pStyle w:val="8"/>
              <w:suppressLineNumbers w:val="0"/>
              <w:bidi w:val="0"/>
              <w:spacing w:before="0" w:beforeAutospacing="0" w:after="0" w:afterAutospacing="0"/>
              <w:ind w:left="0" w:right="0"/>
              <w:rPr>
                <w:rFonts w:hint="default"/>
                <w:highlight w:val="none"/>
              </w:rPr>
            </w:pPr>
          </w:p>
          <w:p w14:paraId="7D4809E3">
            <w:pPr>
              <w:pStyle w:val="8"/>
              <w:suppressLineNumbers w:val="0"/>
              <w:bidi w:val="0"/>
              <w:spacing w:before="0" w:beforeAutospacing="0" w:after="0" w:afterAutospacing="0"/>
              <w:ind w:left="0" w:right="0"/>
              <w:jc w:val="both"/>
              <w:rPr>
                <w:rFonts w:hint="default"/>
                <w:highlight w:val="none"/>
              </w:rPr>
            </w:pPr>
            <w:r>
              <w:rPr>
                <w:rFonts w:hint="default"/>
                <w:highlight w:val="none"/>
              </w:rPr>
              <w:t>影响阶段</w:t>
            </w:r>
          </w:p>
        </w:tc>
        <w:tc>
          <w:tcPr>
            <w:tcW w:w="5547" w:type="dxa"/>
            <w:gridSpan w:val="12"/>
            <w:tcBorders>
              <w:top w:val="single" w:color="auto" w:sz="12" w:space="0"/>
            </w:tcBorders>
          </w:tcPr>
          <w:p w14:paraId="699A982D">
            <w:pPr>
              <w:pStyle w:val="8"/>
              <w:suppressLineNumbers w:val="0"/>
              <w:bidi w:val="0"/>
              <w:spacing w:before="0" w:beforeAutospacing="0" w:after="0" w:afterAutospacing="0"/>
              <w:ind w:left="0" w:right="0"/>
              <w:rPr>
                <w:rFonts w:hint="default"/>
                <w:highlight w:val="none"/>
              </w:rPr>
            </w:pPr>
            <w:r>
              <w:rPr>
                <w:rFonts w:hint="default"/>
                <w:highlight w:val="none"/>
              </w:rPr>
              <w:t>影响类型、影响性质、影响范围</w:t>
            </w:r>
          </w:p>
        </w:tc>
        <w:tc>
          <w:tcPr>
            <w:tcW w:w="1608" w:type="dxa"/>
            <w:gridSpan w:val="3"/>
            <w:tcBorders>
              <w:top w:val="single" w:color="auto" w:sz="12" w:space="0"/>
              <w:right w:val="nil"/>
            </w:tcBorders>
          </w:tcPr>
          <w:p w14:paraId="02551E48">
            <w:pPr>
              <w:pStyle w:val="8"/>
              <w:suppressLineNumbers w:val="0"/>
              <w:bidi w:val="0"/>
              <w:spacing w:before="0" w:beforeAutospacing="0" w:after="0" w:afterAutospacing="0"/>
              <w:ind w:left="0" w:right="0"/>
              <w:rPr>
                <w:rFonts w:hint="default"/>
                <w:highlight w:val="none"/>
              </w:rPr>
            </w:pPr>
            <w:r>
              <w:rPr>
                <w:rFonts w:hint="default"/>
                <w:highlight w:val="none"/>
              </w:rPr>
              <w:t>影响程度</w:t>
            </w:r>
          </w:p>
        </w:tc>
      </w:tr>
      <w:tr w14:paraId="4E54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685" w:type="dxa"/>
            <w:gridSpan w:val="2"/>
            <w:vMerge w:val="continue"/>
            <w:tcBorders>
              <w:left w:val="nil"/>
              <w:tl2br w:val="single" w:color="auto" w:sz="4" w:space="0"/>
            </w:tcBorders>
          </w:tcPr>
          <w:p w14:paraId="48E81DCB">
            <w:pPr>
              <w:pStyle w:val="8"/>
              <w:suppressLineNumbers w:val="0"/>
              <w:bidi w:val="0"/>
              <w:spacing w:before="0" w:beforeAutospacing="0" w:after="0" w:afterAutospacing="0"/>
              <w:ind w:left="0" w:right="0"/>
              <w:rPr>
                <w:rFonts w:hint="default"/>
                <w:highlight w:val="none"/>
              </w:rPr>
            </w:pPr>
          </w:p>
        </w:tc>
        <w:tc>
          <w:tcPr>
            <w:tcW w:w="434" w:type="dxa"/>
            <w:vAlign w:val="center"/>
          </w:tcPr>
          <w:p w14:paraId="412135C5">
            <w:pPr>
              <w:pStyle w:val="8"/>
              <w:suppressLineNumbers w:val="0"/>
              <w:bidi w:val="0"/>
              <w:spacing w:before="0" w:beforeAutospacing="0" w:after="0" w:afterAutospacing="0"/>
              <w:ind w:left="0" w:right="0"/>
              <w:rPr>
                <w:rFonts w:hint="default"/>
                <w:highlight w:val="none"/>
              </w:rPr>
            </w:pPr>
            <w:r>
              <w:rPr>
                <w:rFonts w:hint="default"/>
                <w:highlight w:val="none"/>
              </w:rPr>
              <w:t>有利</w:t>
            </w:r>
          </w:p>
        </w:tc>
        <w:tc>
          <w:tcPr>
            <w:tcW w:w="534" w:type="dxa"/>
            <w:vAlign w:val="center"/>
          </w:tcPr>
          <w:p w14:paraId="52EDBB24">
            <w:pPr>
              <w:pStyle w:val="8"/>
              <w:suppressLineNumbers w:val="0"/>
              <w:bidi w:val="0"/>
              <w:spacing w:before="0" w:beforeAutospacing="0" w:after="0" w:afterAutospacing="0"/>
              <w:ind w:left="0" w:right="0"/>
              <w:rPr>
                <w:rFonts w:hint="default"/>
                <w:highlight w:val="none"/>
              </w:rPr>
            </w:pPr>
            <w:r>
              <w:rPr>
                <w:rFonts w:hint="default"/>
                <w:highlight w:val="none"/>
              </w:rPr>
              <w:t>不利</w:t>
            </w:r>
          </w:p>
        </w:tc>
        <w:tc>
          <w:tcPr>
            <w:tcW w:w="446" w:type="dxa"/>
            <w:vAlign w:val="center"/>
          </w:tcPr>
          <w:p w14:paraId="1B29E971">
            <w:pPr>
              <w:pStyle w:val="8"/>
              <w:suppressLineNumbers w:val="0"/>
              <w:bidi w:val="0"/>
              <w:spacing w:before="0" w:beforeAutospacing="0" w:after="0" w:afterAutospacing="0"/>
              <w:ind w:left="0" w:right="0"/>
              <w:rPr>
                <w:rFonts w:hint="default"/>
                <w:highlight w:val="none"/>
              </w:rPr>
            </w:pPr>
            <w:r>
              <w:rPr>
                <w:rFonts w:hint="default"/>
                <w:highlight w:val="none"/>
              </w:rPr>
              <w:t>可逆</w:t>
            </w:r>
          </w:p>
        </w:tc>
        <w:tc>
          <w:tcPr>
            <w:tcW w:w="484" w:type="dxa"/>
            <w:vAlign w:val="center"/>
          </w:tcPr>
          <w:p w14:paraId="023E8A3F">
            <w:pPr>
              <w:pStyle w:val="8"/>
              <w:suppressLineNumbers w:val="0"/>
              <w:bidi w:val="0"/>
              <w:spacing w:before="0" w:beforeAutospacing="0" w:after="0" w:afterAutospacing="0"/>
              <w:ind w:left="0" w:right="0"/>
              <w:rPr>
                <w:rFonts w:hint="default"/>
                <w:highlight w:val="none"/>
              </w:rPr>
            </w:pPr>
            <w:r>
              <w:rPr>
                <w:rFonts w:hint="default"/>
                <w:highlight w:val="none"/>
              </w:rPr>
              <w:t>不可逆</w:t>
            </w:r>
          </w:p>
        </w:tc>
        <w:tc>
          <w:tcPr>
            <w:tcW w:w="446" w:type="dxa"/>
            <w:vAlign w:val="center"/>
          </w:tcPr>
          <w:p w14:paraId="24544E69">
            <w:pPr>
              <w:pStyle w:val="8"/>
              <w:suppressLineNumbers w:val="0"/>
              <w:bidi w:val="0"/>
              <w:spacing w:before="0" w:beforeAutospacing="0" w:after="0" w:afterAutospacing="0"/>
              <w:ind w:left="0" w:right="0"/>
              <w:rPr>
                <w:rFonts w:hint="default"/>
                <w:highlight w:val="none"/>
              </w:rPr>
            </w:pPr>
            <w:r>
              <w:rPr>
                <w:rFonts w:hint="default"/>
                <w:highlight w:val="none"/>
              </w:rPr>
              <w:t>短期</w:t>
            </w:r>
          </w:p>
        </w:tc>
        <w:tc>
          <w:tcPr>
            <w:tcW w:w="446" w:type="dxa"/>
            <w:vAlign w:val="center"/>
          </w:tcPr>
          <w:p w14:paraId="1D84D8BC">
            <w:pPr>
              <w:pStyle w:val="8"/>
              <w:suppressLineNumbers w:val="0"/>
              <w:bidi w:val="0"/>
              <w:spacing w:before="0" w:beforeAutospacing="0" w:after="0" w:afterAutospacing="0"/>
              <w:ind w:left="0" w:right="0"/>
              <w:rPr>
                <w:rFonts w:hint="default"/>
                <w:highlight w:val="none"/>
              </w:rPr>
            </w:pPr>
            <w:r>
              <w:rPr>
                <w:rFonts w:hint="default"/>
                <w:highlight w:val="none"/>
              </w:rPr>
              <w:t>长期</w:t>
            </w:r>
          </w:p>
        </w:tc>
        <w:tc>
          <w:tcPr>
            <w:tcW w:w="446" w:type="dxa"/>
            <w:vAlign w:val="center"/>
          </w:tcPr>
          <w:p w14:paraId="1F259563">
            <w:pPr>
              <w:pStyle w:val="8"/>
              <w:suppressLineNumbers w:val="0"/>
              <w:bidi w:val="0"/>
              <w:spacing w:before="0" w:beforeAutospacing="0" w:after="0" w:afterAutospacing="0"/>
              <w:ind w:left="0" w:right="0"/>
              <w:rPr>
                <w:rFonts w:hint="default"/>
                <w:highlight w:val="none"/>
              </w:rPr>
            </w:pPr>
            <w:r>
              <w:rPr>
                <w:rFonts w:hint="default"/>
                <w:highlight w:val="none"/>
              </w:rPr>
              <w:t>直接</w:t>
            </w:r>
          </w:p>
        </w:tc>
        <w:tc>
          <w:tcPr>
            <w:tcW w:w="446" w:type="dxa"/>
            <w:vAlign w:val="center"/>
          </w:tcPr>
          <w:p w14:paraId="3BD8D041">
            <w:pPr>
              <w:pStyle w:val="8"/>
              <w:suppressLineNumbers w:val="0"/>
              <w:bidi w:val="0"/>
              <w:spacing w:before="0" w:beforeAutospacing="0" w:after="0" w:afterAutospacing="0"/>
              <w:ind w:left="0" w:right="0"/>
              <w:rPr>
                <w:rFonts w:hint="default"/>
                <w:highlight w:val="none"/>
              </w:rPr>
            </w:pPr>
            <w:r>
              <w:rPr>
                <w:rFonts w:hint="default"/>
                <w:highlight w:val="none"/>
              </w:rPr>
              <w:t>间接</w:t>
            </w:r>
          </w:p>
        </w:tc>
        <w:tc>
          <w:tcPr>
            <w:tcW w:w="474" w:type="dxa"/>
            <w:vAlign w:val="center"/>
          </w:tcPr>
          <w:p w14:paraId="303A3D7B">
            <w:pPr>
              <w:pStyle w:val="8"/>
              <w:suppressLineNumbers w:val="0"/>
              <w:bidi w:val="0"/>
              <w:spacing w:before="0" w:beforeAutospacing="0" w:after="0" w:afterAutospacing="0"/>
              <w:ind w:left="0" w:right="0"/>
              <w:rPr>
                <w:rFonts w:hint="default"/>
                <w:highlight w:val="none"/>
              </w:rPr>
            </w:pPr>
            <w:r>
              <w:rPr>
                <w:rFonts w:hint="default"/>
                <w:highlight w:val="none"/>
              </w:rPr>
              <w:t>局部</w:t>
            </w:r>
          </w:p>
        </w:tc>
        <w:tc>
          <w:tcPr>
            <w:tcW w:w="446" w:type="dxa"/>
            <w:vAlign w:val="center"/>
          </w:tcPr>
          <w:p w14:paraId="064B5649">
            <w:pPr>
              <w:pStyle w:val="8"/>
              <w:suppressLineNumbers w:val="0"/>
              <w:bidi w:val="0"/>
              <w:spacing w:before="0" w:beforeAutospacing="0" w:after="0" w:afterAutospacing="0"/>
              <w:ind w:left="0" w:right="0"/>
              <w:rPr>
                <w:rFonts w:hint="default"/>
                <w:highlight w:val="none"/>
              </w:rPr>
            </w:pPr>
            <w:r>
              <w:rPr>
                <w:rFonts w:hint="default"/>
                <w:highlight w:val="none"/>
              </w:rPr>
              <w:t>区域</w:t>
            </w:r>
          </w:p>
        </w:tc>
        <w:tc>
          <w:tcPr>
            <w:tcW w:w="446" w:type="dxa"/>
            <w:vAlign w:val="center"/>
          </w:tcPr>
          <w:p w14:paraId="1D5DD267">
            <w:pPr>
              <w:pStyle w:val="8"/>
              <w:suppressLineNumbers w:val="0"/>
              <w:bidi w:val="0"/>
              <w:spacing w:before="0" w:beforeAutospacing="0" w:after="0" w:afterAutospacing="0"/>
              <w:ind w:left="0" w:right="0"/>
              <w:rPr>
                <w:rFonts w:hint="default"/>
                <w:highlight w:val="none"/>
              </w:rPr>
            </w:pPr>
            <w:r>
              <w:rPr>
                <w:rFonts w:hint="default"/>
                <w:highlight w:val="none"/>
              </w:rPr>
              <w:t>累积</w:t>
            </w:r>
          </w:p>
        </w:tc>
        <w:tc>
          <w:tcPr>
            <w:tcW w:w="499" w:type="dxa"/>
            <w:vAlign w:val="center"/>
          </w:tcPr>
          <w:p w14:paraId="3493ED70">
            <w:pPr>
              <w:pStyle w:val="8"/>
              <w:suppressLineNumbers w:val="0"/>
              <w:bidi w:val="0"/>
              <w:spacing w:before="0" w:beforeAutospacing="0" w:after="0" w:afterAutospacing="0"/>
              <w:ind w:left="0" w:right="0"/>
              <w:rPr>
                <w:rFonts w:hint="default"/>
                <w:highlight w:val="none"/>
              </w:rPr>
            </w:pPr>
            <w:r>
              <w:rPr>
                <w:rFonts w:hint="default"/>
                <w:highlight w:val="none"/>
              </w:rPr>
              <w:t>非累积</w:t>
            </w:r>
          </w:p>
        </w:tc>
        <w:tc>
          <w:tcPr>
            <w:tcW w:w="519" w:type="dxa"/>
            <w:vAlign w:val="center"/>
          </w:tcPr>
          <w:p w14:paraId="373C659D">
            <w:pPr>
              <w:pStyle w:val="8"/>
              <w:suppressLineNumbers w:val="0"/>
              <w:bidi w:val="0"/>
              <w:spacing w:before="0" w:beforeAutospacing="0" w:after="0" w:afterAutospacing="0"/>
              <w:ind w:left="0" w:right="0"/>
              <w:rPr>
                <w:rFonts w:hint="default"/>
                <w:highlight w:val="none"/>
              </w:rPr>
            </w:pPr>
            <w:r>
              <w:rPr>
                <w:rFonts w:hint="default"/>
                <w:highlight w:val="none"/>
              </w:rPr>
              <w:t>大</w:t>
            </w:r>
          </w:p>
        </w:tc>
        <w:tc>
          <w:tcPr>
            <w:tcW w:w="541" w:type="dxa"/>
            <w:vAlign w:val="center"/>
          </w:tcPr>
          <w:p w14:paraId="104E0EFB">
            <w:pPr>
              <w:pStyle w:val="8"/>
              <w:suppressLineNumbers w:val="0"/>
              <w:bidi w:val="0"/>
              <w:spacing w:before="0" w:beforeAutospacing="0" w:after="0" w:afterAutospacing="0"/>
              <w:ind w:left="0" w:right="0"/>
              <w:rPr>
                <w:rFonts w:hint="default"/>
                <w:highlight w:val="none"/>
              </w:rPr>
            </w:pPr>
            <w:r>
              <w:rPr>
                <w:rFonts w:hint="default"/>
                <w:highlight w:val="none"/>
              </w:rPr>
              <w:t>中</w:t>
            </w:r>
          </w:p>
        </w:tc>
        <w:tc>
          <w:tcPr>
            <w:tcW w:w="548" w:type="dxa"/>
            <w:tcBorders>
              <w:right w:val="nil"/>
            </w:tcBorders>
            <w:vAlign w:val="center"/>
          </w:tcPr>
          <w:p w14:paraId="1E35D36E">
            <w:pPr>
              <w:pStyle w:val="8"/>
              <w:suppressLineNumbers w:val="0"/>
              <w:bidi w:val="0"/>
              <w:spacing w:before="0" w:beforeAutospacing="0" w:after="0" w:afterAutospacing="0"/>
              <w:ind w:left="0" w:right="0"/>
              <w:rPr>
                <w:rFonts w:hint="default"/>
                <w:highlight w:val="none"/>
              </w:rPr>
            </w:pPr>
            <w:r>
              <w:rPr>
                <w:rFonts w:hint="default"/>
                <w:highlight w:val="none"/>
              </w:rPr>
              <w:t>小</w:t>
            </w:r>
          </w:p>
        </w:tc>
      </w:tr>
      <w:tr w14:paraId="172A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70" w:type="dxa"/>
            <w:vMerge w:val="restart"/>
            <w:tcBorders>
              <w:left w:val="nil"/>
            </w:tcBorders>
            <w:vAlign w:val="center"/>
          </w:tcPr>
          <w:p w14:paraId="4CEA45BB">
            <w:pPr>
              <w:pStyle w:val="8"/>
              <w:suppressLineNumbers w:val="0"/>
              <w:bidi w:val="0"/>
              <w:spacing w:before="0" w:beforeAutospacing="0" w:after="0" w:afterAutospacing="0"/>
              <w:ind w:left="0" w:right="0"/>
              <w:rPr>
                <w:rFonts w:hint="default"/>
                <w:highlight w:val="none"/>
              </w:rPr>
            </w:pPr>
            <w:r>
              <w:rPr>
                <w:rFonts w:hint="default"/>
                <w:highlight w:val="none"/>
              </w:rPr>
              <w:t>施工期</w:t>
            </w:r>
          </w:p>
        </w:tc>
        <w:tc>
          <w:tcPr>
            <w:tcW w:w="1315" w:type="dxa"/>
            <w:vAlign w:val="center"/>
          </w:tcPr>
          <w:p w14:paraId="6EEFDC78">
            <w:pPr>
              <w:pStyle w:val="8"/>
              <w:suppressLineNumbers w:val="0"/>
              <w:bidi w:val="0"/>
              <w:spacing w:before="0" w:beforeAutospacing="0" w:after="0" w:afterAutospacing="0"/>
              <w:ind w:left="0" w:right="0"/>
              <w:rPr>
                <w:rFonts w:hint="default"/>
                <w:highlight w:val="none"/>
              </w:rPr>
            </w:pPr>
            <w:r>
              <w:rPr>
                <w:rFonts w:hint="default"/>
                <w:highlight w:val="none"/>
              </w:rPr>
              <w:t>地表水环境</w:t>
            </w:r>
          </w:p>
        </w:tc>
        <w:tc>
          <w:tcPr>
            <w:tcW w:w="434" w:type="dxa"/>
            <w:vAlign w:val="center"/>
          </w:tcPr>
          <w:p w14:paraId="35EFD2BE">
            <w:pPr>
              <w:pStyle w:val="8"/>
              <w:suppressLineNumbers w:val="0"/>
              <w:bidi w:val="0"/>
              <w:spacing w:before="0" w:beforeAutospacing="0" w:after="0" w:afterAutospacing="0"/>
              <w:ind w:left="0" w:right="0"/>
              <w:rPr>
                <w:rFonts w:hint="default"/>
                <w:highlight w:val="none"/>
              </w:rPr>
            </w:pPr>
          </w:p>
        </w:tc>
        <w:tc>
          <w:tcPr>
            <w:tcW w:w="534" w:type="dxa"/>
            <w:vAlign w:val="center"/>
          </w:tcPr>
          <w:p w14:paraId="6C480532">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vAlign w:val="center"/>
          </w:tcPr>
          <w:p w14:paraId="239A832A">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84" w:type="dxa"/>
            <w:vAlign w:val="center"/>
          </w:tcPr>
          <w:p w14:paraId="52A972C7">
            <w:pPr>
              <w:pStyle w:val="8"/>
              <w:suppressLineNumbers w:val="0"/>
              <w:bidi w:val="0"/>
              <w:spacing w:before="0" w:beforeAutospacing="0" w:after="0" w:afterAutospacing="0"/>
              <w:ind w:left="0" w:right="0"/>
              <w:rPr>
                <w:rFonts w:hint="default"/>
                <w:highlight w:val="none"/>
              </w:rPr>
            </w:pPr>
          </w:p>
        </w:tc>
        <w:tc>
          <w:tcPr>
            <w:tcW w:w="446" w:type="dxa"/>
            <w:vAlign w:val="center"/>
          </w:tcPr>
          <w:p w14:paraId="352632BE">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vAlign w:val="center"/>
          </w:tcPr>
          <w:p w14:paraId="3AB803DC">
            <w:pPr>
              <w:pStyle w:val="8"/>
              <w:suppressLineNumbers w:val="0"/>
              <w:bidi w:val="0"/>
              <w:spacing w:before="0" w:beforeAutospacing="0" w:after="0" w:afterAutospacing="0"/>
              <w:ind w:left="0" w:right="0"/>
              <w:rPr>
                <w:rFonts w:hint="default"/>
                <w:highlight w:val="none"/>
              </w:rPr>
            </w:pPr>
          </w:p>
        </w:tc>
        <w:tc>
          <w:tcPr>
            <w:tcW w:w="446" w:type="dxa"/>
            <w:vAlign w:val="center"/>
          </w:tcPr>
          <w:p w14:paraId="20FBC870">
            <w:pPr>
              <w:pStyle w:val="8"/>
              <w:suppressLineNumbers w:val="0"/>
              <w:bidi w:val="0"/>
              <w:spacing w:before="0" w:beforeAutospacing="0" w:after="0" w:afterAutospacing="0"/>
              <w:ind w:left="0" w:right="0"/>
              <w:rPr>
                <w:rFonts w:hint="default"/>
                <w:highlight w:val="none"/>
              </w:rPr>
            </w:pPr>
          </w:p>
        </w:tc>
        <w:tc>
          <w:tcPr>
            <w:tcW w:w="446" w:type="dxa"/>
            <w:vAlign w:val="center"/>
          </w:tcPr>
          <w:p w14:paraId="6DC4ACB9">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74" w:type="dxa"/>
            <w:vAlign w:val="center"/>
          </w:tcPr>
          <w:p w14:paraId="3937E604">
            <w:pPr>
              <w:pStyle w:val="8"/>
              <w:suppressLineNumbers w:val="0"/>
              <w:bidi w:val="0"/>
              <w:spacing w:before="0" w:beforeAutospacing="0" w:after="0" w:afterAutospacing="0"/>
              <w:ind w:left="0" w:right="0"/>
              <w:rPr>
                <w:rFonts w:hint="default"/>
                <w:highlight w:val="none"/>
              </w:rPr>
            </w:pPr>
          </w:p>
        </w:tc>
        <w:tc>
          <w:tcPr>
            <w:tcW w:w="446" w:type="dxa"/>
            <w:vAlign w:val="center"/>
          </w:tcPr>
          <w:p w14:paraId="54BC43E2">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vAlign w:val="center"/>
          </w:tcPr>
          <w:p w14:paraId="56284525">
            <w:pPr>
              <w:pStyle w:val="8"/>
              <w:suppressLineNumbers w:val="0"/>
              <w:bidi w:val="0"/>
              <w:spacing w:before="0" w:beforeAutospacing="0" w:after="0" w:afterAutospacing="0"/>
              <w:ind w:left="0" w:right="0"/>
              <w:rPr>
                <w:rFonts w:hint="default"/>
                <w:highlight w:val="none"/>
              </w:rPr>
            </w:pPr>
          </w:p>
        </w:tc>
        <w:tc>
          <w:tcPr>
            <w:tcW w:w="499" w:type="dxa"/>
            <w:vAlign w:val="center"/>
          </w:tcPr>
          <w:p w14:paraId="1C8765F4">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519" w:type="dxa"/>
            <w:vAlign w:val="center"/>
          </w:tcPr>
          <w:p w14:paraId="0E2D847E">
            <w:pPr>
              <w:pStyle w:val="8"/>
              <w:suppressLineNumbers w:val="0"/>
              <w:bidi w:val="0"/>
              <w:spacing w:before="0" w:beforeAutospacing="0" w:after="0" w:afterAutospacing="0"/>
              <w:ind w:left="0" w:right="0"/>
              <w:rPr>
                <w:rFonts w:hint="default"/>
                <w:highlight w:val="none"/>
              </w:rPr>
            </w:pPr>
          </w:p>
        </w:tc>
        <w:tc>
          <w:tcPr>
            <w:tcW w:w="541" w:type="dxa"/>
            <w:vAlign w:val="center"/>
          </w:tcPr>
          <w:p w14:paraId="56856C2F">
            <w:pPr>
              <w:pStyle w:val="8"/>
              <w:suppressLineNumbers w:val="0"/>
              <w:bidi w:val="0"/>
              <w:spacing w:before="0" w:beforeAutospacing="0" w:after="0" w:afterAutospacing="0"/>
              <w:ind w:left="0" w:right="0"/>
              <w:rPr>
                <w:rFonts w:hint="default"/>
                <w:highlight w:val="none"/>
              </w:rPr>
            </w:pPr>
          </w:p>
        </w:tc>
        <w:tc>
          <w:tcPr>
            <w:tcW w:w="548" w:type="dxa"/>
            <w:tcBorders>
              <w:right w:val="nil"/>
            </w:tcBorders>
            <w:vAlign w:val="center"/>
          </w:tcPr>
          <w:p w14:paraId="3E5535FF">
            <w:pPr>
              <w:pStyle w:val="8"/>
              <w:suppressLineNumbers w:val="0"/>
              <w:bidi w:val="0"/>
              <w:spacing w:before="0" w:beforeAutospacing="0" w:after="0" w:afterAutospacing="0"/>
              <w:ind w:left="0" w:right="0"/>
              <w:rPr>
                <w:rFonts w:hint="default"/>
                <w:highlight w:val="none"/>
              </w:rPr>
            </w:pPr>
            <w:r>
              <w:rPr>
                <w:rFonts w:hint="default"/>
                <w:highlight w:val="none"/>
              </w:rPr>
              <w:t>√</w:t>
            </w:r>
          </w:p>
        </w:tc>
      </w:tr>
      <w:tr w14:paraId="0AF5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70" w:type="dxa"/>
            <w:vMerge w:val="continue"/>
            <w:tcBorders>
              <w:left w:val="nil"/>
            </w:tcBorders>
            <w:vAlign w:val="center"/>
          </w:tcPr>
          <w:p w14:paraId="1128D3BF">
            <w:pPr>
              <w:pStyle w:val="8"/>
              <w:suppressLineNumbers w:val="0"/>
              <w:bidi w:val="0"/>
              <w:spacing w:before="0" w:beforeAutospacing="0" w:after="0" w:afterAutospacing="0"/>
              <w:ind w:left="0" w:right="0"/>
              <w:rPr>
                <w:rFonts w:hint="default"/>
                <w:highlight w:val="none"/>
              </w:rPr>
            </w:pPr>
          </w:p>
        </w:tc>
        <w:tc>
          <w:tcPr>
            <w:tcW w:w="1315" w:type="dxa"/>
            <w:vAlign w:val="center"/>
          </w:tcPr>
          <w:p w14:paraId="36661EDC">
            <w:pPr>
              <w:pStyle w:val="8"/>
              <w:suppressLineNumbers w:val="0"/>
              <w:bidi w:val="0"/>
              <w:spacing w:before="0" w:beforeAutospacing="0" w:after="0" w:afterAutospacing="0"/>
              <w:ind w:left="0" w:right="0"/>
              <w:rPr>
                <w:rFonts w:hint="default"/>
                <w:highlight w:val="none"/>
              </w:rPr>
            </w:pPr>
            <w:r>
              <w:rPr>
                <w:rFonts w:hint="default"/>
                <w:highlight w:val="none"/>
              </w:rPr>
              <w:t>声环境</w:t>
            </w:r>
          </w:p>
        </w:tc>
        <w:tc>
          <w:tcPr>
            <w:tcW w:w="434" w:type="dxa"/>
            <w:vAlign w:val="center"/>
          </w:tcPr>
          <w:p w14:paraId="4E3FC09D">
            <w:pPr>
              <w:pStyle w:val="8"/>
              <w:suppressLineNumbers w:val="0"/>
              <w:bidi w:val="0"/>
              <w:spacing w:before="0" w:beforeAutospacing="0" w:after="0" w:afterAutospacing="0"/>
              <w:ind w:left="0" w:right="0"/>
              <w:rPr>
                <w:rFonts w:hint="default"/>
                <w:highlight w:val="none"/>
              </w:rPr>
            </w:pPr>
          </w:p>
        </w:tc>
        <w:tc>
          <w:tcPr>
            <w:tcW w:w="534" w:type="dxa"/>
            <w:vAlign w:val="center"/>
          </w:tcPr>
          <w:p w14:paraId="09440C43">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vAlign w:val="center"/>
          </w:tcPr>
          <w:p w14:paraId="68EA2B9B">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84" w:type="dxa"/>
            <w:vAlign w:val="center"/>
          </w:tcPr>
          <w:p w14:paraId="325BE7DB">
            <w:pPr>
              <w:pStyle w:val="8"/>
              <w:suppressLineNumbers w:val="0"/>
              <w:bidi w:val="0"/>
              <w:spacing w:before="0" w:beforeAutospacing="0" w:after="0" w:afterAutospacing="0"/>
              <w:ind w:left="0" w:right="0"/>
              <w:rPr>
                <w:rFonts w:hint="default"/>
                <w:highlight w:val="none"/>
              </w:rPr>
            </w:pPr>
          </w:p>
        </w:tc>
        <w:tc>
          <w:tcPr>
            <w:tcW w:w="446" w:type="dxa"/>
            <w:vAlign w:val="center"/>
          </w:tcPr>
          <w:p w14:paraId="3336133F">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vAlign w:val="center"/>
          </w:tcPr>
          <w:p w14:paraId="2F0D3C1B">
            <w:pPr>
              <w:pStyle w:val="8"/>
              <w:suppressLineNumbers w:val="0"/>
              <w:bidi w:val="0"/>
              <w:spacing w:before="0" w:beforeAutospacing="0" w:after="0" w:afterAutospacing="0"/>
              <w:ind w:left="0" w:right="0"/>
              <w:rPr>
                <w:rFonts w:hint="default"/>
                <w:highlight w:val="none"/>
              </w:rPr>
            </w:pPr>
          </w:p>
        </w:tc>
        <w:tc>
          <w:tcPr>
            <w:tcW w:w="446" w:type="dxa"/>
            <w:vAlign w:val="center"/>
          </w:tcPr>
          <w:p w14:paraId="4861FE5E">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vAlign w:val="center"/>
          </w:tcPr>
          <w:p w14:paraId="20AB3ABF">
            <w:pPr>
              <w:pStyle w:val="8"/>
              <w:suppressLineNumbers w:val="0"/>
              <w:bidi w:val="0"/>
              <w:spacing w:before="0" w:beforeAutospacing="0" w:after="0" w:afterAutospacing="0"/>
              <w:ind w:left="0" w:right="0"/>
              <w:rPr>
                <w:rFonts w:hint="default"/>
                <w:highlight w:val="none"/>
              </w:rPr>
            </w:pPr>
          </w:p>
        </w:tc>
        <w:tc>
          <w:tcPr>
            <w:tcW w:w="474" w:type="dxa"/>
            <w:vAlign w:val="center"/>
          </w:tcPr>
          <w:p w14:paraId="014538DA">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vAlign w:val="center"/>
          </w:tcPr>
          <w:p w14:paraId="45B32A23">
            <w:pPr>
              <w:pStyle w:val="8"/>
              <w:suppressLineNumbers w:val="0"/>
              <w:bidi w:val="0"/>
              <w:spacing w:before="0" w:beforeAutospacing="0" w:after="0" w:afterAutospacing="0"/>
              <w:ind w:left="0" w:right="0"/>
              <w:rPr>
                <w:rFonts w:hint="default"/>
                <w:highlight w:val="none"/>
              </w:rPr>
            </w:pPr>
          </w:p>
        </w:tc>
        <w:tc>
          <w:tcPr>
            <w:tcW w:w="446" w:type="dxa"/>
            <w:vAlign w:val="center"/>
          </w:tcPr>
          <w:p w14:paraId="0D59A6DF">
            <w:pPr>
              <w:pStyle w:val="8"/>
              <w:suppressLineNumbers w:val="0"/>
              <w:bidi w:val="0"/>
              <w:spacing w:before="0" w:beforeAutospacing="0" w:after="0" w:afterAutospacing="0"/>
              <w:ind w:left="0" w:right="0"/>
              <w:rPr>
                <w:rFonts w:hint="default"/>
                <w:highlight w:val="none"/>
              </w:rPr>
            </w:pPr>
          </w:p>
        </w:tc>
        <w:tc>
          <w:tcPr>
            <w:tcW w:w="499" w:type="dxa"/>
            <w:vAlign w:val="center"/>
          </w:tcPr>
          <w:p w14:paraId="4A51D4A0">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519" w:type="dxa"/>
            <w:vAlign w:val="center"/>
          </w:tcPr>
          <w:p w14:paraId="77F10138">
            <w:pPr>
              <w:pStyle w:val="8"/>
              <w:suppressLineNumbers w:val="0"/>
              <w:bidi w:val="0"/>
              <w:spacing w:before="0" w:beforeAutospacing="0" w:after="0" w:afterAutospacing="0"/>
              <w:ind w:left="0" w:right="0"/>
              <w:rPr>
                <w:rFonts w:hint="default"/>
                <w:highlight w:val="none"/>
              </w:rPr>
            </w:pPr>
          </w:p>
        </w:tc>
        <w:tc>
          <w:tcPr>
            <w:tcW w:w="541" w:type="dxa"/>
            <w:vAlign w:val="center"/>
          </w:tcPr>
          <w:p w14:paraId="54AD1F83">
            <w:pPr>
              <w:pStyle w:val="8"/>
              <w:suppressLineNumbers w:val="0"/>
              <w:bidi w:val="0"/>
              <w:spacing w:before="0" w:beforeAutospacing="0" w:after="0" w:afterAutospacing="0"/>
              <w:ind w:left="0" w:right="0"/>
              <w:rPr>
                <w:rFonts w:hint="default"/>
                <w:highlight w:val="none"/>
              </w:rPr>
            </w:pPr>
          </w:p>
        </w:tc>
        <w:tc>
          <w:tcPr>
            <w:tcW w:w="548" w:type="dxa"/>
            <w:tcBorders>
              <w:right w:val="nil"/>
            </w:tcBorders>
            <w:vAlign w:val="center"/>
          </w:tcPr>
          <w:p w14:paraId="78503E7A">
            <w:pPr>
              <w:pStyle w:val="8"/>
              <w:suppressLineNumbers w:val="0"/>
              <w:bidi w:val="0"/>
              <w:spacing w:before="0" w:beforeAutospacing="0" w:after="0" w:afterAutospacing="0"/>
              <w:ind w:left="0" w:right="0"/>
              <w:rPr>
                <w:rFonts w:hint="default"/>
                <w:highlight w:val="none"/>
              </w:rPr>
            </w:pPr>
            <w:r>
              <w:rPr>
                <w:rFonts w:hint="default"/>
                <w:highlight w:val="none"/>
              </w:rPr>
              <w:t>√</w:t>
            </w:r>
          </w:p>
        </w:tc>
      </w:tr>
      <w:tr w14:paraId="377F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370" w:type="dxa"/>
            <w:vMerge w:val="restart"/>
            <w:tcBorders>
              <w:left w:val="nil"/>
            </w:tcBorders>
            <w:vAlign w:val="center"/>
          </w:tcPr>
          <w:p w14:paraId="5F539F40">
            <w:pPr>
              <w:pStyle w:val="8"/>
              <w:suppressLineNumbers w:val="0"/>
              <w:bidi w:val="0"/>
              <w:spacing w:before="0" w:beforeAutospacing="0" w:after="0" w:afterAutospacing="0"/>
              <w:ind w:left="0" w:right="0"/>
              <w:rPr>
                <w:rFonts w:hint="default"/>
                <w:highlight w:val="none"/>
              </w:rPr>
            </w:pPr>
            <w:r>
              <w:rPr>
                <w:rFonts w:hint="default"/>
                <w:highlight w:val="none"/>
              </w:rPr>
              <w:t>运行期</w:t>
            </w:r>
          </w:p>
        </w:tc>
        <w:tc>
          <w:tcPr>
            <w:tcW w:w="1315" w:type="dxa"/>
            <w:vAlign w:val="center"/>
          </w:tcPr>
          <w:p w14:paraId="0E2CDC44">
            <w:pPr>
              <w:pStyle w:val="8"/>
              <w:suppressLineNumbers w:val="0"/>
              <w:bidi w:val="0"/>
              <w:spacing w:before="0" w:beforeAutospacing="0" w:after="0" w:afterAutospacing="0"/>
              <w:ind w:left="0" w:right="0"/>
              <w:rPr>
                <w:rFonts w:hint="default"/>
                <w:highlight w:val="none"/>
              </w:rPr>
            </w:pPr>
            <w:r>
              <w:rPr>
                <w:rFonts w:hint="default"/>
                <w:highlight w:val="none"/>
              </w:rPr>
              <w:t>环境空气</w:t>
            </w:r>
          </w:p>
        </w:tc>
        <w:tc>
          <w:tcPr>
            <w:tcW w:w="434" w:type="dxa"/>
          </w:tcPr>
          <w:p w14:paraId="25C0A4C4">
            <w:pPr>
              <w:pStyle w:val="8"/>
              <w:suppressLineNumbers w:val="0"/>
              <w:bidi w:val="0"/>
              <w:spacing w:before="0" w:beforeAutospacing="0" w:after="0" w:afterAutospacing="0"/>
              <w:ind w:left="0" w:right="0"/>
              <w:rPr>
                <w:rFonts w:hint="default"/>
                <w:highlight w:val="none"/>
              </w:rPr>
            </w:pPr>
          </w:p>
        </w:tc>
        <w:tc>
          <w:tcPr>
            <w:tcW w:w="534" w:type="dxa"/>
          </w:tcPr>
          <w:p w14:paraId="4B503999">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0187A1AD">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84" w:type="dxa"/>
          </w:tcPr>
          <w:p w14:paraId="6F5B02E3">
            <w:pPr>
              <w:pStyle w:val="8"/>
              <w:suppressLineNumbers w:val="0"/>
              <w:bidi w:val="0"/>
              <w:spacing w:before="0" w:beforeAutospacing="0" w:after="0" w:afterAutospacing="0"/>
              <w:ind w:left="0" w:right="0"/>
              <w:rPr>
                <w:rFonts w:hint="default"/>
                <w:highlight w:val="none"/>
              </w:rPr>
            </w:pPr>
          </w:p>
        </w:tc>
        <w:tc>
          <w:tcPr>
            <w:tcW w:w="446" w:type="dxa"/>
          </w:tcPr>
          <w:p w14:paraId="5C476361">
            <w:pPr>
              <w:pStyle w:val="8"/>
              <w:suppressLineNumbers w:val="0"/>
              <w:bidi w:val="0"/>
              <w:spacing w:before="0" w:beforeAutospacing="0" w:after="0" w:afterAutospacing="0"/>
              <w:ind w:left="0" w:right="0"/>
              <w:rPr>
                <w:rFonts w:hint="default"/>
                <w:highlight w:val="none"/>
              </w:rPr>
            </w:pPr>
          </w:p>
        </w:tc>
        <w:tc>
          <w:tcPr>
            <w:tcW w:w="446" w:type="dxa"/>
          </w:tcPr>
          <w:p w14:paraId="2A839E3B">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789017F7">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50FD36C2">
            <w:pPr>
              <w:pStyle w:val="8"/>
              <w:suppressLineNumbers w:val="0"/>
              <w:bidi w:val="0"/>
              <w:spacing w:before="0" w:beforeAutospacing="0" w:after="0" w:afterAutospacing="0"/>
              <w:ind w:left="0" w:right="0"/>
              <w:rPr>
                <w:rFonts w:hint="default"/>
                <w:highlight w:val="none"/>
              </w:rPr>
            </w:pPr>
          </w:p>
        </w:tc>
        <w:tc>
          <w:tcPr>
            <w:tcW w:w="474" w:type="dxa"/>
          </w:tcPr>
          <w:p w14:paraId="1BEDBEE2">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5C1BF591">
            <w:pPr>
              <w:pStyle w:val="8"/>
              <w:suppressLineNumbers w:val="0"/>
              <w:bidi w:val="0"/>
              <w:spacing w:before="0" w:beforeAutospacing="0" w:after="0" w:afterAutospacing="0"/>
              <w:ind w:left="0" w:right="0"/>
              <w:rPr>
                <w:rFonts w:hint="default"/>
                <w:highlight w:val="none"/>
              </w:rPr>
            </w:pPr>
          </w:p>
        </w:tc>
        <w:tc>
          <w:tcPr>
            <w:tcW w:w="446" w:type="dxa"/>
          </w:tcPr>
          <w:p w14:paraId="4B47CB9C">
            <w:pPr>
              <w:pStyle w:val="8"/>
              <w:suppressLineNumbers w:val="0"/>
              <w:bidi w:val="0"/>
              <w:spacing w:before="0" w:beforeAutospacing="0" w:after="0" w:afterAutospacing="0"/>
              <w:ind w:left="0" w:right="0"/>
              <w:rPr>
                <w:rFonts w:hint="default"/>
                <w:highlight w:val="none"/>
              </w:rPr>
            </w:pPr>
          </w:p>
        </w:tc>
        <w:tc>
          <w:tcPr>
            <w:tcW w:w="499" w:type="dxa"/>
          </w:tcPr>
          <w:p w14:paraId="6F0991A5">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519" w:type="dxa"/>
          </w:tcPr>
          <w:p w14:paraId="40EB891B">
            <w:pPr>
              <w:pStyle w:val="8"/>
              <w:suppressLineNumbers w:val="0"/>
              <w:bidi w:val="0"/>
              <w:spacing w:before="0" w:beforeAutospacing="0" w:after="0" w:afterAutospacing="0"/>
              <w:ind w:left="0" w:right="0"/>
              <w:rPr>
                <w:rFonts w:hint="default"/>
                <w:highlight w:val="none"/>
              </w:rPr>
            </w:pPr>
          </w:p>
        </w:tc>
        <w:tc>
          <w:tcPr>
            <w:tcW w:w="541" w:type="dxa"/>
          </w:tcPr>
          <w:p w14:paraId="5A4B4B19">
            <w:pPr>
              <w:pStyle w:val="8"/>
              <w:suppressLineNumbers w:val="0"/>
              <w:bidi w:val="0"/>
              <w:spacing w:before="0" w:beforeAutospacing="0" w:after="0" w:afterAutospacing="0"/>
              <w:ind w:left="0" w:right="0"/>
              <w:rPr>
                <w:rFonts w:hint="default"/>
                <w:highlight w:val="none"/>
              </w:rPr>
            </w:pPr>
          </w:p>
        </w:tc>
        <w:tc>
          <w:tcPr>
            <w:tcW w:w="548" w:type="dxa"/>
            <w:tcBorders>
              <w:right w:val="nil"/>
            </w:tcBorders>
          </w:tcPr>
          <w:p w14:paraId="53E1A61B">
            <w:pPr>
              <w:pStyle w:val="8"/>
              <w:suppressLineNumbers w:val="0"/>
              <w:bidi w:val="0"/>
              <w:spacing w:before="0" w:beforeAutospacing="0" w:after="0" w:afterAutospacing="0"/>
              <w:ind w:left="0" w:right="0"/>
              <w:rPr>
                <w:rFonts w:hint="default"/>
                <w:highlight w:val="none"/>
              </w:rPr>
            </w:pPr>
            <w:r>
              <w:rPr>
                <w:rFonts w:hint="default"/>
                <w:highlight w:val="none"/>
              </w:rPr>
              <w:t>√</w:t>
            </w:r>
          </w:p>
        </w:tc>
      </w:tr>
      <w:tr w14:paraId="547E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70" w:type="dxa"/>
            <w:vMerge w:val="continue"/>
            <w:tcBorders>
              <w:left w:val="nil"/>
            </w:tcBorders>
            <w:vAlign w:val="center"/>
          </w:tcPr>
          <w:p w14:paraId="57141A3A">
            <w:pPr>
              <w:pStyle w:val="8"/>
              <w:suppressLineNumbers w:val="0"/>
              <w:bidi w:val="0"/>
              <w:spacing w:before="0" w:beforeAutospacing="0" w:after="0" w:afterAutospacing="0"/>
              <w:ind w:left="0" w:right="0"/>
              <w:rPr>
                <w:rFonts w:hint="default"/>
                <w:highlight w:val="none"/>
              </w:rPr>
            </w:pPr>
          </w:p>
        </w:tc>
        <w:tc>
          <w:tcPr>
            <w:tcW w:w="1315" w:type="dxa"/>
            <w:vAlign w:val="center"/>
          </w:tcPr>
          <w:p w14:paraId="1D8DA8A7">
            <w:pPr>
              <w:pStyle w:val="8"/>
              <w:suppressLineNumbers w:val="0"/>
              <w:bidi w:val="0"/>
              <w:spacing w:before="0" w:beforeAutospacing="0" w:after="0" w:afterAutospacing="0"/>
              <w:ind w:left="0" w:right="0"/>
              <w:rPr>
                <w:rFonts w:hint="default"/>
                <w:highlight w:val="none"/>
              </w:rPr>
            </w:pPr>
            <w:r>
              <w:rPr>
                <w:rFonts w:hint="default"/>
                <w:highlight w:val="none"/>
              </w:rPr>
              <w:t>地表水环境</w:t>
            </w:r>
          </w:p>
        </w:tc>
        <w:tc>
          <w:tcPr>
            <w:tcW w:w="434" w:type="dxa"/>
          </w:tcPr>
          <w:p w14:paraId="7421FA32">
            <w:pPr>
              <w:pStyle w:val="8"/>
              <w:suppressLineNumbers w:val="0"/>
              <w:bidi w:val="0"/>
              <w:spacing w:before="0" w:beforeAutospacing="0" w:after="0" w:afterAutospacing="0"/>
              <w:ind w:left="0" w:right="0"/>
              <w:rPr>
                <w:rFonts w:hint="default"/>
                <w:highlight w:val="none"/>
              </w:rPr>
            </w:pPr>
          </w:p>
        </w:tc>
        <w:tc>
          <w:tcPr>
            <w:tcW w:w="534" w:type="dxa"/>
          </w:tcPr>
          <w:p w14:paraId="6D1558E0">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5B411471">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84" w:type="dxa"/>
          </w:tcPr>
          <w:p w14:paraId="16894B4E">
            <w:pPr>
              <w:pStyle w:val="8"/>
              <w:suppressLineNumbers w:val="0"/>
              <w:bidi w:val="0"/>
              <w:spacing w:before="0" w:beforeAutospacing="0" w:after="0" w:afterAutospacing="0"/>
              <w:ind w:left="0" w:right="0"/>
              <w:rPr>
                <w:rFonts w:hint="default"/>
                <w:highlight w:val="none"/>
              </w:rPr>
            </w:pPr>
          </w:p>
        </w:tc>
        <w:tc>
          <w:tcPr>
            <w:tcW w:w="446" w:type="dxa"/>
          </w:tcPr>
          <w:p w14:paraId="24C9E041">
            <w:pPr>
              <w:pStyle w:val="8"/>
              <w:suppressLineNumbers w:val="0"/>
              <w:bidi w:val="0"/>
              <w:spacing w:before="0" w:beforeAutospacing="0" w:after="0" w:afterAutospacing="0"/>
              <w:ind w:left="0" w:right="0"/>
              <w:rPr>
                <w:rFonts w:hint="default"/>
                <w:highlight w:val="none"/>
              </w:rPr>
            </w:pPr>
          </w:p>
        </w:tc>
        <w:tc>
          <w:tcPr>
            <w:tcW w:w="446" w:type="dxa"/>
          </w:tcPr>
          <w:p w14:paraId="1E406EBB">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3C4B2862">
            <w:pPr>
              <w:pStyle w:val="8"/>
              <w:suppressLineNumbers w:val="0"/>
              <w:bidi w:val="0"/>
              <w:spacing w:before="0" w:beforeAutospacing="0" w:after="0" w:afterAutospacing="0"/>
              <w:ind w:left="0" w:right="0"/>
              <w:rPr>
                <w:rFonts w:hint="default"/>
                <w:highlight w:val="none"/>
              </w:rPr>
            </w:pPr>
          </w:p>
        </w:tc>
        <w:tc>
          <w:tcPr>
            <w:tcW w:w="446" w:type="dxa"/>
          </w:tcPr>
          <w:p w14:paraId="59BFB6AD">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74" w:type="dxa"/>
          </w:tcPr>
          <w:p w14:paraId="6287EE54">
            <w:pPr>
              <w:pStyle w:val="8"/>
              <w:suppressLineNumbers w:val="0"/>
              <w:bidi w:val="0"/>
              <w:spacing w:before="0" w:beforeAutospacing="0" w:after="0" w:afterAutospacing="0"/>
              <w:ind w:left="0" w:right="0"/>
              <w:rPr>
                <w:rFonts w:hint="default"/>
                <w:highlight w:val="none"/>
              </w:rPr>
            </w:pPr>
          </w:p>
        </w:tc>
        <w:tc>
          <w:tcPr>
            <w:tcW w:w="446" w:type="dxa"/>
          </w:tcPr>
          <w:p w14:paraId="2CD1100C">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58DC3439">
            <w:pPr>
              <w:pStyle w:val="8"/>
              <w:suppressLineNumbers w:val="0"/>
              <w:bidi w:val="0"/>
              <w:spacing w:before="0" w:beforeAutospacing="0" w:after="0" w:afterAutospacing="0"/>
              <w:ind w:left="0" w:right="0"/>
              <w:rPr>
                <w:rFonts w:hint="default"/>
                <w:highlight w:val="none"/>
              </w:rPr>
            </w:pPr>
          </w:p>
        </w:tc>
        <w:tc>
          <w:tcPr>
            <w:tcW w:w="499" w:type="dxa"/>
          </w:tcPr>
          <w:p w14:paraId="781FA926">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519" w:type="dxa"/>
          </w:tcPr>
          <w:p w14:paraId="6EC4FBDA">
            <w:pPr>
              <w:pStyle w:val="8"/>
              <w:suppressLineNumbers w:val="0"/>
              <w:bidi w:val="0"/>
              <w:spacing w:before="0" w:beforeAutospacing="0" w:after="0" w:afterAutospacing="0"/>
              <w:ind w:left="0" w:right="0"/>
              <w:rPr>
                <w:rFonts w:hint="default"/>
                <w:highlight w:val="none"/>
              </w:rPr>
            </w:pPr>
          </w:p>
        </w:tc>
        <w:tc>
          <w:tcPr>
            <w:tcW w:w="541" w:type="dxa"/>
          </w:tcPr>
          <w:p w14:paraId="60DB2EBA">
            <w:pPr>
              <w:pStyle w:val="8"/>
              <w:suppressLineNumbers w:val="0"/>
              <w:bidi w:val="0"/>
              <w:spacing w:before="0" w:beforeAutospacing="0" w:after="0" w:afterAutospacing="0"/>
              <w:ind w:left="0" w:right="0"/>
              <w:rPr>
                <w:rFonts w:hint="default"/>
                <w:highlight w:val="none"/>
              </w:rPr>
            </w:pPr>
          </w:p>
        </w:tc>
        <w:tc>
          <w:tcPr>
            <w:tcW w:w="548" w:type="dxa"/>
            <w:tcBorders>
              <w:right w:val="nil"/>
            </w:tcBorders>
          </w:tcPr>
          <w:p w14:paraId="133D66F1">
            <w:pPr>
              <w:pStyle w:val="8"/>
              <w:suppressLineNumbers w:val="0"/>
              <w:bidi w:val="0"/>
              <w:spacing w:before="0" w:beforeAutospacing="0" w:after="0" w:afterAutospacing="0"/>
              <w:ind w:left="0" w:right="0"/>
              <w:rPr>
                <w:rFonts w:hint="default"/>
                <w:highlight w:val="none"/>
              </w:rPr>
            </w:pPr>
            <w:r>
              <w:rPr>
                <w:rFonts w:hint="default"/>
                <w:highlight w:val="none"/>
              </w:rPr>
              <w:t>√</w:t>
            </w:r>
          </w:p>
        </w:tc>
      </w:tr>
      <w:tr w14:paraId="5E73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70" w:type="dxa"/>
            <w:vMerge w:val="continue"/>
            <w:tcBorders>
              <w:left w:val="nil"/>
            </w:tcBorders>
            <w:vAlign w:val="center"/>
          </w:tcPr>
          <w:p w14:paraId="4B91F2CF">
            <w:pPr>
              <w:pStyle w:val="8"/>
              <w:suppressLineNumbers w:val="0"/>
              <w:bidi w:val="0"/>
              <w:spacing w:before="0" w:beforeAutospacing="0" w:after="0" w:afterAutospacing="0"/>
              <w:ind w:left="0" w:right="0"/>
              <w:rPr>
                <w:rFonts w:hint="default"/>
                <w:highlight w:val="none"/>
              </w:rPr>
            </w:pPr>
          </w:p>
        </w:tc>
        <w:tc>
          <w:tcPr>
            <w:tcW w:w="1315" w:type="dxa"/>
            <w:vAlign w:val="center"/>
          </w:tcPr>
          <w:p w14:paraId="6DE76AFC">
            <w:pPr>
              <w:pStyle w:val="8"/>
              <w:suppressLineNumbers w:val="0"/>
              <w:bidi w:val="0"/>
              <w:spacing w:before="0" w:beforeAutospacing="0" w:after="0" w:afterAutospacing="0"/>
              <w:ind w:left="0" w:right="0"/>
              <w:rPr>
                <w:rFonts w:hint="default"/>
                <w:highlight w:val="none"/>
              </w:rPr>
            </w:pPr>
            <w:r>
              <w:rPr>
                <w:rFonts w:hint="default"/>
                <w:highlight w:val="none"/>
              </w:rPr>
              <w:t>地下水环境</w:t>
            </w:r>
          </w:p>
        </w:tc>
        <w:tc>
          <w:tcPr>
            <w:tcW w:w="434" w:type="dxa"/>
          </w:tcPr>
          <w:p w14:paraId="0B478C44">
            <w:pPr>
              <w:pStyle w:val="8"/>
              <w:suppressLineNumbers w:val="0"/>
              <w:bidi w:val="0"/>
              <w:spacing w:before="0" w:beforeAutospacing="0" w:after="0" w:afterAutospacing="0"/>
              <w:ind w:left="0" w:right="0"/>
              <w:rPr>
                <w:rFonts w:hint="default"/>
                <w:highlight w:val="none"/>
              </w:rPr>
            </w:pPr>
          </w:p>
        </w:tc>
        <w:tc>
          <w:tcPr>
            <w:tcW w:w="534" w:type="dxa"/>
          </w:tcPr>
          <w:p w14:paraId="6215F7CD">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2D3640C3">
            <w:pPr>
              <w:pStyle w:val="8"/>
              <w:suppressLineNumbers w:val="0"/>
              <w:bidi w:val="0"/>
              <w:spacing w:before="0" w:beforeAutospacing="0" w:after="0" w:afterAutospacing="0"/>
              <w:ind w:left="0" w:right="0"/>
              <w:rPr>
                <w:rFonts w:hint="default"/>
                <w:highlight w:val="none"/>
              </w:rPr>
            </w:pPr>
          </w:p>
        </w:tc>
        <w:tc>
          <w:tcPr>
            <w:tcW w:w="484" w:type="dxa"/>
          </w:tcPr>
          <w:p w14:paraId="013309C9">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3C9E0B0D">
            <w:pPr>
              <w:pStyle w:val="8"/>
              <w:suppressLineNumbers w:val="0"/>
              <w:bidi w:val="0"/>
              <w:spacing w:before="0" w:beforeAutospacing="0" w:after="0" w:afterAutospacing="0"/>
              <w:ind w:left="0" w:right="0"/>
              <w:rPr>
                <w:rFonts w:hint="default"/>
                <w:highlight w:val="none"/>
              </w:rPr>
            </w:pPr>
          </w:p>
        </w:tc>
        <w:tc>
          <w:tcPr>
            <w:tcW w:w="446" w:type="dxa"/>
          </w:tcPr>
          <w:p w14:paraId="6BC32BD7">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65E3E176">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4503A105">
            <w:pPr>
              <w:pStyle w:val="8"/>
              <w:suppressLineNumbers w:val="0"/>
              <w:bidi w:val="0"/>
              <w:spacing w:before="0" w:beforeAutospacing="0" w:after="0" w:afterAutospacing="0"/>
              <w:ind w:left="0" w:right="0"/>
              <w:rPr>
                <w:rFonts w:hint="default"/>
                <w:highlight w:val="none"/>
              </w:rPr>
            </w:pPr>
          </w:p>
        </w:tc>
        <w:tc>
          <w:tcPr>
            <w:tcW w:w="474" w:type="dxa"/>
          </w:tcPr>
          <w:p w14:paraId="6F4A9E49">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2AC36D5B">
            <w:pPr>
              <w:pStyle w:val="8"/>
              <w:suppressLineNumbers w:val="0"/>
              <w:bidi w:val="0"/>
              <w:spacing w:before="0" w:beforeAutospacing="0" w:after="0" w:afterAutospacing="0"/>
              <w:ind w:left="0" w:right="0"/>
              <w:rPr>
                <w:rFonts w:hint="default"/>
                <w:highlight w:val="none"/>
              </w:rPr>
            </w:pPr>
          </w:p>
        </w:tc>
        <w:tc>
          <w:tcPr>
            <w:tcW w:w="446" w:type="dxa"/>
          </w:tcPr>
          <w:p w14:paraId="2B348F42">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99" w:type="dxa"/>
          </w:tcPr>
          <w:p w14:paraId="6138F5EA">
            <w:pPr>
              <w:pStyle w:val="8"/>
              <w:suppressLineNumbers w:val="0"/>
              <w:bidi w:val="0"/>
              <w:spacing w:before="0" w:beforeAutospacing="0" w:after="0" w:afterAutospacing="0"/>
              <w:ind w:left="0" w:right="0"/>
              <w:rPr>
                <w:rFonts w:hint="default"/>
                <w:highlight w:val="none"/>
              </w:rPr>
            </w:pPr>
          </w:p>
        </w:tc>
        <w:tc>
          <w:tcPr>
            <w:tcW w:w="519" w:type="dxa"/>
          </w:tcPr>
          <w:p w14:paraId="0C204D85">
            <w:pPr>
              <w:pStyle w:val="8"/>
              <w:suppressLineNumbers w:val="0"/>
              <w:bidi w:val="0"/>
              <w:spacing w:before="0" w:beforeAutospacing="0" w:after="0" w:afterAutospacing="0"/>
              <w:ind w:left="0" w:right="0"/>
              <w:rPr>
                <w:rFonts w:hint="default"/>
                <w:highlight w:val="none"/>
              </w:rPr>
            </w:pPr>
          </w:p>
        </w:tc>
        <w:tc>
          <w:tcPr>
            <w:tcW w:w="541" w:type="dxa"/>
          </w:tcPr>
          <w:p w14:paraId="20C00266">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548" w:type="dxa"/>
            <w:tcBorders>
              <w:right w:val="nil"/>
            </w:tcBorders>
          </w:tcPr>
          <w:p w14:paraId="22207298">
            <w:pPr>
              <w:pStyle w:val="8"/>
              <w:suppressLineNumbers w:val="0"/>
              <w:bidi w:val="0"/>
              <w:spacing w:before="0" w:beforeAutospacing="0" w:after="0" w:afterAutospacing="0"/>
              <w:ind w:left="0" w:right="0"/>
              <w:rPr>
                <w:rFonts w:hint="default"/>
                <w:highlight w:val="none"/>
              </w:rPr>
            </w:pPr>
          </w:p>
        </w:tc>
      </w:tr>
      <w:tr w14:paraId="384F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70" w:type="dxa"/>
            <w:vMerge w:val="continue"/>
            <w:tcBorders>
              <w:left w:val="nil"/>
            </w:tcBorders>
            <w:vAlign w:val="center"/>
          </w:tcPr>
          <w:p w14:paraId="5F19BAD1">
            <w:pPr>
              <w:pStyle w:val="8"/>
              <w:suppressLineNumbers w:val="0"/>
              <w:bidi w:val="0"/>
              <w:spacing w:before="0" w:beforeAutospacing="0" w:after="0" w:afterAutospacing="0"/>
              <w:ind w:left="0" w:right="0"/>
              <w:rPr>
                <w:rFonts w:hint="default"/>
                <w:highlight w:val="none"/>
              </w:rPr>
            </w:pPr>
          </w:p>
        </w:tc>
        <w:tc>
          <w:tcPr>
            <w:tcW w:w="1315" w:type="dxa"/>
            <w:vAlign w:val="center"/>
          </w:tcPr>
          <w:p w14:paraId="1C58DCDB">
            <w:pPr>
              <w:pStyle w:val="8"/>
              <w:suppressLineNumbers w:val="0"/>
              <w:bidi w:val="0"/>
              <w:spacing w:before="0" w:beforeAutospacing="0" w:after="0" w:afterAutospacing="0"/>
              <w:ind w:left="0" w:right="0"/>
              <w:rPr>
                <w:rFonts w:hint="default"/>
                <w:highlight w:val="none"/>
              </w:rPr>
            </w:pPr>
            <w:r>
              <w:rPr>
                <w:rFonts w:hint="default"/>
                <w:highlight w:val="none"/>
              </w:rPr>
              <w:t>声环境</w:t>
            </w:r>
          </w:p>
        </w:tc>
        <w:tc>
          <w:tcPr>
            <w:tcW w:w="434" w:type="dxa"/>
          </w:tcPr>
          <w:p w14:paraId="6CC4DA6A">
            <w:pPr>
              <w:pStyle w:val="8"/>
              <w:suppressLineNumbers w:val="0"/>
              <w:bidi w:val="0"/>
              <w:spacing w:before="0" w:beforeAutospacing="0" w:after="0" w:afterAutospacing="0"/>
              <w:ind w:left="0" w:right="0"/>
              <w:rPr>
                <w:rFonts w:hint="default"/>
                <w:highlight w:val="none"/>
              </w:rPr>
            </w:pPr>
          </w:p>
        </w:tc>
        <w:tc>
          <w:tcPr>
            <w:tcW w:w="534" w:type="dxa"/>
          </w:tcPr>
          <w:p w14:paraId="40CED2E0">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087517ED">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84" w:type="dxa"/>
          </w:tcPr>
          <w:p w14:paraId="7319E377">
            <w:pPr>
              <w:pStyle w:val="8"/>
              <w:suppressLineNumbers w:val="0"/>
              <w:bidi w:val="0"/>
              <w:spacing w:before="0" w:beforeAutospacing="0" w:after="0" w:afterAutospacing="0"/>
              <w:ind w:left="0" w:right="0"/>
              <w:rPr>
                <w:rFonts w:hint="default"/>
                <w:highlight w:val="none"/>
              </w:rPr>
            </w:pPr>
          </w:p>
        </w:tc>
        <w:tc>
          <w:tcPr>
            <w:tcW w:w="446" w:type="dxa"/>
          </w:tcPr>
          <w:p w14:paraId="30718F3F">
            <w:pPr>
              <w:pStyle w:val="8"/>
              <w:suppressLineNumbers w:val="0"/>
              <w:bidi w:val="0"/>
              <w:spacing w:before="0" w:beforeAutospacing="0" w:after="0" w:afterAutospacing="0"/>
              <w:ind w:left="0" w:right="0"/>
              <w:rPr>
                <w:rFonts w:hint="default"/>
                <w:highlight w:val="none"/>
              </w:rPr>
            </w:pPr>
          </w:p>
        </w:tc>
        <w:tc>
          <w:tcPr>
            <w:tcW w:w="446" w:type="dxa"/>
          </w:tcPr>
          <w:p w14:paraId="095CC9A3">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13B125FA">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6B4CB9E6">
            <w:pPr>
              <w:pStyle w:val="8"/>
              <w:suppressLineNumbers w:val="0"/>
              <w:bidi w:val="0"/>
              <w:spacing w:before="0" w:beforeAutospacing="0" w:after="0" w:afterAutospacing="0"/>
              <w:ind w:left="0" w:right="0"/>
              <w:rPr>
                <w:rFonts w:hint="default"/>
                <w:highlight w:val="none"/>
              </w:rPr>
            </w:pPr>
          </w:p>
        </w:tc>
        <w:tc>
          <w:tcPr>
            <w:tcW w:w="474" w:type="dxa"/>
          </w:tcPr>
          <w:p w14:paraId="554C3540">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01454918">
            <w:pPr>
              <w:pStyle w:val="8"/>
              <w:suppressLineNumbers w:val="0"/>
              <w:bidi w:val="0"/>
              <w:spacing w:before="0" w:beforeAutospacing="0" w:after="0" w:afterAutospacing="0"/>
              <w:ind w:left="0" w:right="0"/>
              <w:rPr>
                <w:rFonts w:hint="default"/>
                <w:highlight w:val="none"/>
              </w:rPr>
            </w:pPr>
          </w:p>
        </w:tc>
        <w:tc>
          <w:tcPr>
            <w:tcW w:w="446" w:type="dxa"/>
          </w:tcPr>
          <w:p w14:paraId="669F1439">
            <w:pPr>
              <w:pStyle w:val="8"/>
              <w:suppressLineNumbers w:val="0"/>
              <w:bidi w:val="0"/>
              <w:spacing w:before="0" w:beforeAutospacing="0" w:after="0" w:afterAutospacing="0"/>
              <w:ind w:left="0" w:right="0"/>
              <w:rPr>
                <w:rFonts w:hint="default"/>
                <w:highlight w:val="none"/>
              </w:rPr>
            </w:pPr>
          </w:p>
        </w:tc>
        <w:tc>
          <w:tcPr>
            <w:tcW w:w="499" w:type="dxa"/>
          </w:tcPr>
          <w:p w14:paraId="16B882D0">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519" w:type="dxa"/>
          </w:tcPr>
          <w:p w14:paraId="4C4A6E02">
            <w:pPr>
              <w:pStyle w:val="8"/>
              <w:suppressLineNumbers w:val="0"/>
              <w:bidi w:val="0"/>
              <w:spacing w:before="0" w:beforeAutospacing="0" w:after="0" w:afterAutospacing="0"/>
              <w:ind w:left="0" w:right="0"/>
              <w:rPr>
                <w:rFonts w:hint="default"/>
                <w:highlight w:val="none"/>
              </w:rPr>
            </w:pPr>
          </w:p>
        </w:tc>
        <w:tc>
          <w:tcPr>
            <w:tcW w:w="541" w:type="dxa"/>
          </w:tcPr>
          <w:p w14:paraId="7AFDC7AD">
            <w:pPr>
              <w:pStyle w:val="8"/>
              <w:suppressLineNumbers w:val="0"/>
              <w:bidi w:val="0"/>
              <w:spacing w:before="0" w:beforeAutospacing="0" w:after="0" w:afterAutospacing="0"/>
              <w:ind w:left="0" w:right="0"/>
              <w:rPr>
                <w:rFonts w:hint="default"/>
                <w:highlight w:val="none"/>
              </w:rPr>
            </w:pPr>
          </w:p>
        </w:tc>
        <w:tc>
          <w:tcPr>
            <w:tcW w:w="548" w:type="dxa"/>
            <w:tcBorders>
              <w:right w:val="nil"/>
            </w:tcBorders>
          </w:tcPr>
          <w:p w14:paraId="5A0901CA">
            <w:pPr>
              <w:pStyle w:val="8"/>
              <w:suppressLineNumbers w:val="0"/>
              <w:bidi w:val="0"/>
              <w:spacing w:before="0" w:beforeAutospacing="0" w:after="0" w:afterAutospacing="0"/>
              <w:ind w:left="0" w:right="0"/>
              <w:rPr>
                <w:rFonts w:hint="default"/>
                <w:highlight w:val="none"/>
              </w:rPr>
            </w:pPr>
            <w:r>
              <w:rPr>
                <w:rFonts w:hint="default"/>
                <w:highlight w:val="none"/>
              </w:rPr>
              <w:t>√</w:t>
            </w:r>
          </w:p>
        </w:tc>
      </w:tr>
      <w:tr w14:paraId="56E7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70" w:type="dxa"/>
            <w:vMerge w:val="continue"/>
            <w:tcBorders>
              <w:left w:val="nil"/>
            </w:tcBorders>
            <w:vAlign w:val="center"/>
          </w:tcPr>
          <w:p w14:paraId="253636B4">
            <w:pPr>
              <w:pStyle w:val="8"/>
              <w:suppressLineNumbers w:val="0"/>
              <w:bidi w:val="0"/>
              <w:spacing w:before="0" w:beforeAutospacing="0" w:after="0" w:afterAutospacing="0"/>
              <w:ind w:left="0" w:right="0"/>
              <w:rPr>
                <w:rFonts w:hint="default"/>
                <w:highlight w:val="none"/>
              </w:rPr>
            </w:pPr>
          </w:p>
        </w:tc>
        <w:tc>
          <w:tcPr>
            <w:tcW w:w="1315" w:type="dxa"/>
            <w:vAlign w:val="center"/>
          </w:tcPr>
          <w:p w14:paraId="48A23516">
            <w:pPr>
              <w:pStyle w:val="8"/>
              <w:suppressLineNumbers w:val="0"/>
              <w:bidi w:val="0"/>
              <w:spacing w:before="0" w:beforeAutospacing="0" w:after="0" w:afterAutospacing="0"/>
              <w:ind w:left="0" w:right="0"/>
              <w:rPr>
                <w:rFonts w:hint="default"/>
                <w:highlight w:val="none"/>
              </w:rPr>
            </w:pPr>
            <w:r>
              <w:rPr>
                <w:rFonts w:hint="default"/>
                <w:highlight w:val="none"/>
              </w:rPr>
              <w:t>土壤</w:t>
            </w:r>
          </w:p>
        </w:tc>
        <w:tc>
          <w:tcPr>
            <w:tcW w:w="434" w:type="dxa"/>
          </w:tcPr>
          <w:p w14:paraId="0D90C2FD">
            <w:pPr>
              <w:pStyle w:val="8"/>
              <w:suppressLineNumbers w:val="0"/>
              <w:bidi w:val="0"/>
              <w:spacing w:before="0" w:beforeAutospacing="0" w:after="0" w:afterAutospacing="0"/>
              <w:ind w:left="0" w:right="0"/>
              <w:rPr>
                <w:rFonts w:hint="default"/>
                <w:highlight w:val="none"/>
              </w:rPr>
            </w:pPr>
          </w:p>
        </w:tc>
        <w:tc>
          <w:tcPr>
            <w:tcW w:w="534" w:type="dxa"/>
          </w:tcPr>
          <w:p w14:paraId="4A9F22EB">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6B84B0E9">
            <w:pPr>
              <w:pStyle w:val="8"/>
              <w:suppressLineNumbers w:val="0"/>
              <w:bidi w:val="0"/>
              <w:spacing w:before="0" w:beforeAutospacing="0" w:after="0" w:afterAutospacing="0"/>
              <w:ind w:left="0" w:right="0"/>
              <w:rPr>
                <w:rFonts w:hint="default"/>
                <w:highlight w:val="none"/>
              </w:rPr>
            </w:pPr>
          </w:p>
        </w:tc>
        <w:tc>
          <w:tcPr>
            <w:tcW w:w="484" w:type="dxa"/>
          </w:tcPr>
          <w:p w14:paraId="51B83F90">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6C3ACB77">
            <w:pPr>
              <w:pStyle w:val="8"/>
              <w:suppressLineNumbers w:val="0"/>
              <w:bidi w:val="0"/>
              <w:spacing w:before="0" w:beforeAutospacing="0" w:after="0" w:afterAutospacing="0"/>
              <w:ind w:left="0" w:right="0"/>
              <w:rPr>
                <w:rFonts w:hint="default"/>
                <w:highlight w:val="none"/>
              </w:rPr>
            </w:pPr>
          </w:p>
        </w:tc>
        <w:tc>
          <w:tcPr>
            <w:tcW w:w="446" w:type="dxa"/>
          </w:tcPr>
          <w:p w14:paraId="6950C005">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2FBF91AE">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3455C86A">
            <w:pPr>
              <w:pStyle w:val="8"/>
              <w:suppressLineNumbers w:val="0"/>
              <w:bidi w:val="0"/>
              <w:spacing w:before="0" w:beforeAutospacing="0" w:after="0" w:afterAutospacing="0"/>
              <w:ind w:left="0" w:right="0"/>
              <w:rPr>
                <w:rFonts w:hint="default"/>
                <w:highlight w:val="none"/>
              </w:rPr>
            </w:pPr>
          </w:p>
        </w:tc>
        <w:tc>
          <w:tcPr>
            <w:tcW w:w="474" w:type="dxa"/>
          </w:tcPr>
          <w:p w14:paraId="38EFF469">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Pr>
          <w:p w14:paraId="3B63A630">
            <w:pPr>
              <w:pStyle w:val="8"/>
              <w:suppressLineNumbers w:val="0"/>
              <w:bidi w:val="0"/>
              <w:spacing w:before="0" w:beforeAutospacing="0" w:after="0" w:afterAutospacing="0"/>
              <w:ind w:left="0" w:right="0"/>
              <w:rPr>
                <w:rFonts w:hint="default"/>
                <w:highlight w:val="none"/>
              </w:rPr>
            </w:pPr>
          </w:p>
        </w:tc>
        <w:tc>
          <w:tcPr>
            <w:tcW w:w="446" w:type="dxa"/>
          </w:tcPr>
          <w:p w14:paraId="73D5857E">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99" w:type="dxa"/>
          </w:tcPr>
          <w:p w14:paraId="55BC08F2">
            <w:pPr>
              <w:pStyle w:val="8"/>
              <w:suppressLineNumbers w:val="0"/>
              <w:bidi w:val="0"/>
              <w:spacing w:before="0" w:beforeAutospacing="0" w:after="0" w:afterAutospacing="0"/>
              <w:ind w:left="0" w:right="0"/>
              <w:rPr>
                <w:rFonts w:hint="default"/>
                <w:highlight w:val="none"/>
              </w:rPr>
            </w:pPr>
          </w:p>
        </w:tc>
        <w:tc>
          <w:tcPr>
            <w:tcW w:w="519" w:type="dxa"/>
          </w:tcPr>
          <w:p w14:paraId="63A02773">
            <w:pPr>
              <w:pStyle w:val="8"/>
              <w:suppressLineNumbers w:val="0"/>
              <w:bidi w:val="0"/>
              <w:spacing w:before="0" w:beforeAutospacing="0" w:after="0" w:afterAutospacing="0"/>
              <w:ind w:left="0" w:right="0"/>
              <w:rPr>
                <w:rFonts w:hint="default"/>
                <w:highlight w:val="none"/>
              </w:rPr>
            </w:pPr>
          </w:p>
        </w:tc>
        <w:tc>
          <w:tcPr>
            <w:tcW w:w="541" w:type="dxa"/>
          </w:tcPr>
          <w:p w14:paraId="16071A7D">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548" w:type="dxa"/>
            <w:tcBorders>
              <w:right w:val="nil"/>
            </w:tcBorders>
          </w:tcPr>
          <w:p w14:paraId="2018340D">
            <w:pPr>
              <w:pStyle w:val="8"/>
              <w:suppressLineNumbers w:val="0"/>
              <w:bidi w:val="0"/>
              <w:spacing w:before="0" w:beforeAutospacing="0" w:after="0" w:afterAutospacing="0"/>
              <w:ind w:left="0" w:right="0"/>
              <w:rPr>
                <w:rFonts w:hint="default"/>
                <w:highlight w:val="none"/>
              </w:rPr>
            </w:pPr>
          </w:p>
        </w:tc>
      </w:tr>
      <w:tr w14:paraId="6BC7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70" w:type="dxa"/>
            <w:vMerge w:val="continue"/>
            <w:tcBorders>
              <w:left w:val="nil"/>
              <w:bottom w:val="single" w:color="auto" w:sz="12" w:space="0"/>
            </w:tcBorders>
            <w:vAlign w:val="center"/>
          </w:tcPr>
          <w:p w14:paraId="1D73F7B4">
            <w:pPr>
              <w:pStyle w:val="8"/>
              <w:suppressLineNumbers w:val="0"/>
              <w:bidi w:val="0"/>
              <w:spacing w:before="0" w:beforeAutospacing="0" w:after="0" w:afterAutospacing="0"/>
              <w:ind w:left="0" w:right="0"/>
              <w:rPr>
                <w:rFonts w:hint="default"/>
                <w:highlight w:val="none"/>
              </w:rPr>
            </w:pPr>
          </w:p>
        </w:tc>
        <w:tc>
          <w:tcPr>
            <w:tcW w:w="1315" w:type="dxa"/>
            <w:tcBorders>
              <w:bottom w:val="single" w:color="auto" w:sz="12" w:space="0"/>
            </w:tcBorders>
            <w:vAlign w:val="center"/>
          </w:tcPr>
          <w:p w14:paraId="66C4E5A3">
            <w:pPr>
              <w:pStyle w:val="8"/>
              <w:suppressLineNumbers w:val="0"/>
              <w:bidi w:val="0"/>
              <w:spacing w:before="0" w:beforeAutospacing="0" w:after="0" w:afterAutospacing="0"/>
              <w:ind w:left="0" w:right="0"/>
              <w:rPr>
                <w:rFonts w:hint="default"/>
                <w:highlight w:val="none"/>
              </w:rPr>
            </w:pPr>
            <w:r>
              <w:rPr>
                <w:rFonts w:hint="default"/>
                <w:highlight w:val="none"/>
              </w:rPr>
              <w:t>环境风险</w:t>
            </w:r>
          </w:p>
        </w:tc>
        <w:tc>
          <w:tcPr>
            <w:tcW w:w="434" w:type="dxa"/>
            <w:tcBorders>
              <w:bottom w:val="single" w:color="auto" w:sz="12" w:space="0"/>
            </w:tcBorders>
          </w:tcPr>
          <w:p w14:paraId="3D9AEF0F">
            <w:pPr>
              <w:pStyle w:val="8"/>
              <w:suppressLineNumbers w:val="0"/>
              <w:bidi w:val="0"/>
              <w:spacing w:before="0" w:beforeAutospacing="0" w:after="0" w:afterAutospacing="0"/>
              <w:ind w:left="0" w:right="0"/>
              <w:rPr>
                <w:rFonts w:hint="default"/>
                <w:highlight w:val="none"/>
              </w:rPr>
            </w:pPr>
          </w:p>
        </w:tc>
        <w:tc>
          <w:tcPr>
            <w:tcW w:w="534" w:type="dxa"/>
            <w:tcBorders>
              <w:bottom w:val="single" w:color="auto" w:sz="12" w:space="0"/>
            </w:tcBorders>
          </w:tcPr>
          <w:p w14:paraId="36EF0E41">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Borders>
              <w:bottom w:val="single" w:color="auto" w:sz="12" w:space="0"/>
            </w:tcBorders>
          </w:tcPr>
          <w:p w14:paraId="36952B10">
            <w:pPr>
              <w:pStyle w:val="8"/>
              <w:suppressLineNumbers w:val="0"/>
              <w:bidi w:val="0"/>
              <w:spacing w:before="0" w:beforeAutospacing="0" w:after="0" w:afterAutospacing="0"/>
              <w:ind w:left="0" w:right="0"/>
              <w:rPr>
                <w:rFonts w:hint="default"/>
                <w:highlight w:val="none"/>
              </w:rPr>
            </w:pPr>
          </w:p>
        </w:tc>
        <w:tc>
          <w:tcPr>
            <w:tcW w:w="484" w:type="dxa"/>
            <w:tcBorders>
              <w:bottom w:val="single" w:color="auto" w:sz="12" w:space="0"/>
            </w:tcBorders>
          </w:tcPr>
          <w:p w14:paraId="2F381814">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Borders>
              <w:bottom w:val="single" w:color="auto" w:sz="12" w:space="0"/>
            </w:tcBorders>
          </w:tcPr>
          <w:p w14:paraId="66B248A4">
            <w:pPr>
              <w:pStyle w:val="8"/>
              <w:suppressLineNumbers w:val="0"/>
              <w:bidi w:val="0"/>
              <w:spacing w:before="0" w:beforeAutospacing="0" w:after="0" w:afterAutospacing="0"/>
              <w:ind w:left="0" w:right="0"/>
              <w:rPr>
                <w:rFonts w:hint="default"/>
                <w:highlight w:val="none"/>
              </w:rPr>
            </w:pPr>
          </w:p>
        </w:tc>
        <w:tc>
          <w:tcPr>
            <w:tcW w:w="446" w:type="dxa"/>
            <w:tcBorders>
              <w:bottom w:val="single" w:color="auto" w:sz="12" w:space="0"/>
            </w:tcBorders>
          </w:tcPr>
          <w:p w14:paraId="67AEF030">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Borders>
              <w:bottom w:val="single" w:color="auto" w:sz="12" w:space="0"/>
            </w:tcBorders>
          </w:tcPr>
          <w:p w14:paraId="2707E80D">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Borders>
              <w:bottom w:val="single" w:color="auto" w:sz="12" w:space="0"/>
            </w:tcBorders>
          </w:tcPr>
          <w:p w14:paraId="4911B958">
            <w:pPr>
              <w:pStyle w:val="8"/>
              <w:suppressLineNumbers w:val="0"/>
              <w:bidi w:val="0"/>
              <w:spacing w:before="0" w:beforeAutospacing="0" w:after="0" w:afterAutospacing="0"/>
              <w:ind w:left="0" w:right="0"/>
              <w:rPr>
                <w:rFonts w:hint="default"/>
                <w:highlight w:val="none"/>
              </w:rPr>
            </w:pPr>
          </w:p>
        </w:tc>
        <w:tc>
          <w:tcPr>
            <w:tcW w:w="474" w:type="dxa"/>
            <w:tcBorders>
              <w:bottom w:val="single" w:color="auto" w:sz="12" w:space="0"/>
            </w:tcBorders>
          </w:tcPr>
          <w:p w14:paraId="2B00562A">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46" w:type="dxa"/>
            <w:tcBorders>
              <w:bottom w:val="single" w:color="auto" w:sz="12" w:space="0"/>
            </w:tcBorders>
          </w:tcPr>
          <w:p w14:paraId="2AE92C00">
            <w:pPr>
              <w:pStyle w:val="8"/>
              <w:suppressLineNumbers w:val="0"/>
              <w:bidi w:val="0"/>
              <w:spacing w:before="0" w:beforeAutospacing="0" w:after="0" w:afterAutospacing="0"/>
              <w:ind w:left="0" w:right="0"/>
              <w:rPr>
                <w:rFonts w:hint="default"/>
                <w:highlight w:val="none"/>
              </w:rPr>
            </w:pPr>
          </w:p>
        </w:tc>
        <w:tc>
          <w:tcPr>
            <w:tcW w:w="446" w:type="dxa"/>
            <w:tcBorders>
              <w:bottom w:val="single" w:color="auto" w:sz="12" w:space="0"/>
            </w:tcBorders>
          </w:tcPr>
          <w:p w14:paraId="1635C801">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499" w:type="dxa"/>
            <w:tcBorders>
              <w:bottom w:val="single" w:color="auto" w:sz="12" w:space="0"/>
            </w:tcBorders>
          </w:tcPr>
          <w:p w14:paraId="64900E25">
            <w:pPr>
              <w:pStyle w:val="8"/>
              <w:suppressLineNumbers w:val="0"/>
              <w:bidi w:val="0"/>
              <w:spacing w:before="0" w:beforeAutospacing="0" w:after="0" w:afterAutospacing="0"/>
              <w:ind w:left="0" w:right="0"/>
              <w:rPr>
                <w:rFonts w:hint="default"/>
                <w:highlight w:val="none"/>
              </w:rPr>
            </w:pPr>
          </w:p>
        </w:tc>
        <w:tc>
          <w:tcPr>
            <w:tcW w:w="519" w:type="dxa"/>
            <w:tcBorders>
              <w:bottom w:val="single" w:color="auto" w:sz="12" w:space="0"/>
            </w:tcBorders>
          </w:tcPr>
          <w:p w14:paraId="69C80BED">
            <w:pPr>
              <w:pStyle w:val="8"/>
              <w:suppressLineNumbers w:val="0"/>
              <w:bidi w:val="0"/>
              <w:spacing w:before="0" w:beforeAutospacing="0" w:after="0" w:afterAutospacing="0"/>
              <w:ind w:left="0" w:right="0"/>
              <w:rPr>
                <w:rFonts w:hint="default"/>
                <w:highlight w:val="none"/>
              </w:rPr>
            </w:pPr>
          </w:p>
        </w:tc>
        <w:tc>
          <w:tcPr>
            <w:tcW w:w="541" w:type="dxa"/>
            <w:tcBorders>
              <w:bottom w:val="single" w:color="auto" w:sz="12" w:space="0"/>
            </w:tcBorders>
          </w:tcPr>
          <w:p w14:paraId="15A23364">
            <w:pPr>
              <w:pStyle w:val="8"/>
              <w:suppressLineNumbers w:val="0"/>
              <w:bidi w:val="0"/>
              <w:spacing w:before="0" w:beforeAutospacing="0" w:after="0" w:afterAutospacing="0"/>
              <w:ind w:left="0" w:right="0"/>
              <w:rPr>
                <w:rFonts w:hint="default"/>
                <w:highlight w:val="none"/>
              </w:rPr>
            </w:pPr>
          </w:p>
        </w:tc>
        <w:tc>
          <w:tcPr>
            <w:tcW w:w="548" w:type="dxa"/>
            <w:tcBorders>
              <w:bottom w:val="single" w:color="auto" w:sz="12" w:space="0"/>
              <w:right w:val="nil"/>
            </w:tcBorders>
          </w:tcPr>
          <w:p w14:paraId="7133BC84">
            <w:pPr>
              <w:pStyle w:val="8"/>
              <w:suppressLineNumbers w:val="0"/>
              <w:bidi w:val="0"/>
              <w:spacing w:before="0" w:beforeAutospacing="0" w:after="0" w:afterAutospacing="0"/>
              <w:ind w:left="0" w:right="0"/>
              <w:rPr>
                <w:rFonts w:hint="default"/>
                <w:highlight w:val="none"/>
              </w:rPr>
            </w:pPr>
            <w:r>
              <w:rPr>
                <w:rFonts w:hint="default"/>
                <w:highlight w:val="none"/>
              </w:rPr>
              <w:t>√</w:t>
            </w:r>
          </w:p>
        </w:tc>
      </w:tr>
    </w:tbl>
    <w:p w14:paraId="31DE124E">
      <w:pPr>
        <w:pStyle w:val="5"/>
        <w:bidi w:val="0"/>
        <w:rPr>
          <w:highlight w:val="none"/>
        </w:rPr>
      </w:pPr>
      <w:bookmarkStart w:id="142" w:name="_Toc30654"/>
      <w:bookmarkStart w:id="143" w:name="_Toc4931"/>
      <w:r>
        <w:rPr>
          <w:highlight w:val="none"/>
        </w:rPr>
        <w:t>2.2.2评价因子筛选</w:t>
      </w:r>
      <w:bookmarkEnd w:id="142"/>
      <w:bookmarkEnd w:id="143"/>
    </w:p>
    <w:p w14:paraId="6A40E685">
      <w:pPr>
        <w:bidi w:val="0"/>
        <w:rPr>
          <w:rFonts w:hAnsiTheme="minorEastAsia" w:eastAsiaTheme="minorEastAsia"/>
          <w:sz w:val="24"/>
          <w:highlight w:val="none"/>
        </w:rPr>
      </w:pPr>
      <w:r>
        <w:rPr>
          <w:rFonts w:hAnsiTheme="minorEastAsia" w:eastAsiaTheme="minorEastAsia"/>
          <w:sz w:val="24"/>
          <w:highlight w:val="none"/>
        </w:rPr>
        <w:t>根据本项目周边环境及项目特征，确定本项目评价现状因子和预测评价因子，具体见表</w:t>
      </w:r>
      <w:r>
        <w:rPr>
          <w:rFonts w:eastAsiaTheme="minorEastAsia"/>
          <w:sz w:val="24"/>
          <w:highlight w:val="none"/>
        </w:rPr>
        <w:t>2-2-2</w:t>
      </w:r>
      <w:r>
        <w:rPr>
          <w:rFonts w:hAnsiTheme="minorEastAsia" w:eastAsiaTheme="minorEastAsia"/>
          <w:sz w:val="24"/>
          <w:highlight w:val="none"/>
        </w:rPr>
        <w:t>。</w:t>
      </w:r>
    </w:p>
    <w:p w14:paraId="6C50114B">
      <w:pPr>
        <w:pStyle w:val="7"/>
        <w:bidi w:val="0"/>
        <w:rPr>
          <w:highlight w:val="none"/>
        </w:rPr>
      </w:pPr>
      <w:r>
        <w:rPr>
          <w:highlight w:val="none"/>
        </w:rPr>
        <w:t>表2-2-2本项目环境影响评价因子筛选结果</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171"/>
        <w:gridCol w:w="1318"/>
        <w:gridCol w:w="5183"/>
      </w:tblGrid>
      <w:tr w14:paraId="653C73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3" w:hRule="atLeast"/>
          <w:jc w:val="center"/>
        </w:trPr>
        <w:tc>
          <w:tcPr>
            <w:tcW w:w="850" w:type="dxa"/>
            <w:vAlign w:val="center"/>
          </w:tcPr>
          <w:p w14:paraId="6FE901A2">
            <w:pPr>
              <w:pStyle w:val="8"/>
              <w:suppressLineNumbers w:val="0"/>
              <w:bidi w:val="0"/>
              <w:spacing w:before="0" w:beforeAutospacing="0" w:after="0" w:afterAutospacing="0"/>
              <w:ind w:left="0" w:right="0"/>
              <w:rPr>
                <w:rFonts w:hint="default"/>
                <w:highlight w:val="none"/>
              </w:rPr>
            </w:pPr>
            <w:r>
              <w:rPr>
                <w:rFonts w:hint="default"/>
                <w:highlight w:val="none"/>
              </w:rPr>
              <w:t>评价阶段</w:t>
            </w:r>
          </w:p>
        </w:tc>
        <w:tc>
          <w:tcPr>
            <w:tcW w:w="1171" w:type="dxa"/>
            <w:vAlign w:val="center"/>
          </w:tcPr>
          <w:p w14:paraId="659B9A1F">
            <w:pPr>
              <w:pStyle w:val="8"/>
              <w:suppressLineNumbers w:val="0"/>
              <w:bidi w:val="0"/>
              <w:spacing w:before="0" w:beforeAutospacing="0" w:after="0" w:afterAutospacing="0"/>
              <w:ind w:left="0" w:right="0"/>
              <w:rPr>
                <w:rFonts w:hint="default"/>
                <w:highlight w:val="none"/>
              </w:rPr>
            </w:pPr>
            <w:r>
              <w:rPr>
                <w:rFonts w:hint="default"/>
                <w:highlight w:val="none"/>
              </w:rPr>
              <w:t>环境要素</w:t>
            </w:r>
          </w:p>
        </w:tc>
        <w:tc>
          <w:tcPr>
            <w:tcW w:w="1318" w:type="dxa"/>
            <w:vAlign w:val="center"/>
          </w:tcPr>
          <w:p w14:paraId="222FA588">
            <w:pPr>
              <w:pStyle w:val="8"/>
              <w:suppressLineNumbers w:val="0"/>
              <w:bidi w:val="0"/>
              <w:spacing w:before="0" w:beforeAutospacing="0" w:after="0" w:afterAutospacing="0"/>
              <w:ind w:left="0" w:right="0"/>
              <w:rPr>
                <w:rFonts w:hint="default"/>
                <w:highlight w:val="none"/>
              </w:rPr>
            </w:pPr>
            <w:r>
              <w:rPr>
                <w:rFonts w:hint="default"/>
                <w:highlight w:val="none"/>
              </w:rPr>
              <w:t>评价类别</w:t>
            </w:r>
          </w:p>
        </w:tc>
        <w:tc>
          <w:tcPr>
            <w:tcW w:w="5183" w:type="dxa"/>
            <w:vAlign w:val="center"/>
          </w:tcPr>
          <w:p w14:paraId="406346D8">
            <w:pPr>
              <w:pStyle w:val="8"/>
              <w:suppressLineNumbers w:val="0"/>
              <w:bidi w:val="0"/>
              <w:spacing w:before="0" w:beforeAutospacing="0" w:after="0" w:afterAutospacing="0"/>
              <w:ind w:left="0" w:right="0"/>
              <w:rPr>
                <w:rFonts w:hint="default"/>
                <w:highlight w:val="none"/>
              </w:rPr>
            </w:pPr>
            <w:r>
              <w:rPr>
                <w:rFonts w:hint="default"/>
                <w:highlight w:val="none"/>
              </w:rPr>
              <w:t>评价因子</w:t>
            </w:r>
          </w:p>
        </w:tc>
      </w:tr>
      <w:tr w14:paraId="3617FB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Merge w:val="restart"/>
            <w:vAlign w:val="center"/>
          </w:tcPr>
          <w:p w14:paraId="4096D81F">
            <w:pPr>
              <w:pStyle w:val="8"/>
              <w:suppressLineNumbers w:val="0"/>
              <w:bidi w:val="0"/>
              <w:spacing w:before="0" w:beforeAutospacing="0" w:after="0" w:afterAutospacing="0"/>
              <w:ind w:left="0" w:right="0"/>
              <w:rPr>
                <w:rFonts w:hint="default"/>
                <w:highlight w:val="none"/>
              </w:rPr>
            </w:pPr>
            <w:r>
              <w:rPr>
                <w:rFonts w:hint="default"/>
                <w:highlight w:val="none"/>
              </w:rPr>
              <w:t>营运期</w:t>
            </w:r>
          </w:p>
          <w:p w14:paraId="0DFCC730">
            <w:pPr>
              <w:pStyle w:val="8"/>
              <w:suppressLineNumbers w:val="0"/>
              <w:bidi w:val="0"/>
              <w:spacing w:before="0" w:beforeAutospacing="0" w:after="0" w:afterAutospacing="0"/>
              <w:ind w:left="0" w:right="0"/>
              <w:jc w:val="both"/>
              <w:rPr>
                <w:rFonts w:hint="default"/>
                <w:highlight w:val="none"/>
              </w:rPr>
            </w:pPr>
          </w:p>
        </w:tc>
        <w:tc>
          <w:tcPr>
            <w:tcW w:w="1171" w:type="dxa"/>
            <w:vMerge w:val="restart"/>
            <w:vAlign w:val="center"/>
          </w:tcPr>
          <w:p w14:paraId="1CDD2F7E">
            <w:pPr>
              <w:pStyle w:val="8"/>
              <w:suppressLineNumbers w:val="0"/>
              <w:bidi w:val="0"/>
              <w:spacing w:before="0" w:beforeAutospacing="0" w:after="0" w:afterAutospacing="0"/>
              <w:ind w:left="0" w:right="0"/>
              <w:rPr>
                <w:rFonts w:hint="default"/>
                <w:highlight w:val="none"/>
              </w:rPr>
            </w:pPr>
            <w:r>
              <w:rPr>
                <w:rFonts w:hint="default"/>
                <w:highlight w:val="none"/>
              </w:rPr>
              <w:t>环境空气</w:t>
            </w:r>
          </w:p>
        </w:tc>
        <w:tc>
          <w:tcPr>
            <w:tcW w:w="1318" w:type="dxa"/>
            <w:vAlign w:val="center"/>
          </w:tcPr>
          <w:p w14:paraId="1C2F623C">
            <w:pPr>
              <w:pStyle w:val="8"/>
              <w:suppressLineNumbers w:val="0"/>
              <w:bidi w:val="0"/>
              <w:spacing w:before="0" w:beforeAutospacing="0" w:after="0" w:afterAutospacing="0"/>
              <w:ind w:left="0" w:right="0"/>
              <w:rPr>
                <w:rFonts w:hint="default"/>
                <w:highlight w:val="none"/>
              </w:rPr>
            </w:pPr>
            <w:r>
              <w:rPr>
                <w:rFonts w:hint="default"/>
                <w:highlight w:val="none"/>
              </w:rPr>
              <w:t>现状评价</w:t>
            </w:r>
          </w:p>
        </w:tc>
        <w:tc>
          <w:tcPr>
            <w:tcW w:w="5183" w:type="dxa"/>
            <w:vAlign w:val="center"/>
          </w:tcPr>
          <w:p w14:paraId="57224D6F">
            <w:pPr>
              <w:pStyle w:val="8"/>
              <w:suppressLineNumbers w:val="0"/>
              <w:bidi w:val="0"/>
              <w:spacing w:before="0" w:beforeAutospacing="0" w:after="0" w:afterAutospacing="0"/>
              <w:ind w:left="0" w:right="0"/>
              <w:rPr>
                <w:rFonts w:hint="default" w:eastAsiaTheme="minorEastAsia"/>
                <w:highlight w:val="none"/>
                <w:lang w:val="en-US" w:eastAsia="zh-CN"/>
              </w:rPr>
            </w:pPr>
            <w:r>
              <w:rPr>
                <w:rFonts w:hint="default"/>
                <w:highlight w:val="none"/>
              </w:rPr>
              <w:t>PM</w:t>
            </w:r>
            <w:r>
              <w:rPr>
                <w:rFonts w:hint="default"/>
                <w:highlight w:val="none"/>
                <w:vertAlign w:val="subscript"/>
              </w:rPr>
              <w:t>10</w:t>
            </w:r>
            <w:r>
              <w:rPr>
                <w:rFonts w:hint="default"/>
                <w:highlight w:val="none"/>
              </w:rPr>
              <w:t>、PM</w:t>
            </w:r>
            <w:r>
              <w:rPr>
                <w:rFonts w:hint="default"/>
                <w:highlight w:val="none"/>
                <w:vertAlign w:val="subscript"/>
              </w:rPr>
              <w:t>2.5</w:t>
            </w:r>
            <w:r>
              <w:rPr>
                <w:rFonts w:hint="default"/>
                <w:highlight w:val="none"/>
              </w:rPr>
              <w:t>、NO</w:t>
            </w:r>
            <w:r>
              <w:rPr>
                <w:rFonts w:hint="default"/>
                <w:highlight w:val="none"/>
                <w:vertAlign w:val="subscript"/>
              </w:rPr>
              <w:t>2</w:t>
            </w:r>
            <w:r>
              <w:rPr>
                <w:rFonts w:hint="default"/>
                <w:highlight w:val="none"/>
              </w:rPr>
              <w:t>、SO</w:t>
            </w:r>
            <w:r>
              <w:rPr>
                <w:rFonts w:hint="default"/>
                <w:highlight w:val="none"/>
                <w:vertAlign w:val="subscript"/>
              </w:rPr>
              <w:t>2</w:t>
            </w:r>
            <w:r>
              <w:rPr>
                <w:rFonts w:hint="default"/>
                <w:highlight w:val="none"/>
              </w:rPr>
              <w:t>、CO、O</w:t>
            </w:r>
            <w:r>
              <w:rPr>
                <w:rFonts w:hint="default"/>
                <w:highlight w:val="none"/>
                <w:vertAlign w:val="subscript"/>
              </w:rPr>
              <w:t>3</w:t>
            </w:r>
            <w:r>
              <w:rPr>
                <w:rFonts w:hint="eastAsia"/>
                <w:highlight w:val="none"/>
                <w:vertAlign w:val="baseline"/>
                <w:lang w:eastAsia="zh-CN"/>
              </w:rPr>
              <w:t>、</w:t>
            </w:r>
            <w:r>
              <w:rPr>
                <w:rFonts w:hint="eastAsia" w:hAnsiTheme="minorEastAsia" w:eastAsiaTheme="minorEastAsia"/>
                <w:spacing w:val="22"/>
                <w:kern w:val="0"/>
                <w:szCs w:val="21"/>
                <w:highlight w:val="none"/>
              </w:rPr>
              <w:t>NO</w:t>
            </w:r>
            <w:r>
              <w:rPr>
                <w:rFonts w:hint="eastAsia" w:hAnsiTheme="minorEastAsia" w:eastAsiaTheme="minorEastAsia"/>
                <w:spacing w:val="22"/>
                <w:kern w:val="0"/>
                <w:szCs w:val="21"/>
                <w:highlight w:val="none"/>
                <w:vertAlign w:val="subscript"/>
              </w:rPr>
              <w:t>X</w:t>
            </w:r>
            <w:r>
              <w:rPr>
                <w:rFonts w:hint="eastAsia" w:hAnsiTheme="minorEastAsia" w:eastAsiaTheme="minorEastAsia"/>
                <w:spacing w:val="22"/>
                <w:kern w:val="0"/>
                <w:szCs w:val="21"/>
                <w:highlight w:val="none"/>
              </w:rPr>
              <w:t>、</w:t>
            </w:r>
            <w:r>
              <w:rPr>
                <w:rFonts w:hint="default" w:eastAsiaTheme="minorEastAsia"/>
                <w:spacing w:val="22"/>
                <w:kern w:val="0"/>
                <w:szCs w:val="21"/>
                <w:highlight w:val="none"/>
              </w:rPr>
              <w:t>VOCs</w:t>
            </w:r>
            <w:r>
              <w:rPr>
                <w:rFonts w:hint="default" w:hAnsiTheme="minorEastAsia" w:eastAsiaTheme="minorEastAsia"/>
                <w:spacing w:val="22"/>
                <w:kern w:val="0"/>
                <w:szCs w:val="21"/>
                <w:highlight w:val="none"/>
              </w:rPr>
              <w:t>（以非甲烷总烃计）</w:t>
            </w:r>
            <w:r>
              <w:rPr>
                <w:rFonts w:hint="eastAsia" w:hAnsiTheme="minorEastAsia" w:eastAsiaTheme="minorEastAsia"/>
                <w:spacing w:val="22"/>
                <w:kern w:val="0"/>
                <w:szCs w:val="21"/>
                <w:highlight w:val="none"/>
                <w:lang w:eastAsia="zh-CN"/>
              </w:rPr>
              <w:t>、</w:t>
            </w:r>
            <w:r>
              <w:rPr>
                <w:rFonts w:hint="eastAsia" w:hAnsiTheme="minorEastAsia" w:eastAsiaTheme="minorEastAsia"/>
                <w:spacing w:val="22"/>
                <w:kern w:val="0"/>
                <w:szCs w:val="21"/>
                <w:highlight w:val="none"/>
                <w:lang w:val="en-US" w:eastAsia="zh-CN"/>
              </w:rPr>
              <w:t>TSP</w:t>
            </w:r>
          </w:p>
        </w:tc>
      </w:tr>
      <w:tr w14:paraId="65DC13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Merge w:val="continue"/>
            <w:vAlign w:val="center"/>
          </w:tcPr>
          <w:p w14:paraId="30FF7927">
            <w:pPr>
              <w:pStyle w:val="8"/>
              <w:suppressLineNumbers w:val="0"/>
              <w:bidi w:val="0"/>
              <w:spacing w:before="0" w:beforeAutospacing="0" w:after="0" w:afterAutospacing="0"/>
              <w:ind w:left="0" w:right="0"/>
              <w:rPr>
                <w:rFonts w:hint="default"/>
                <w:highlight w:val="none"/>
              </w:rPr>
            </w:pPr>
          </w:p>
        </w:tc>
        <w:tc>
          <w:tcPr>
            <w:tcW w:w="1171" w:type="dxa"/>
            <w:vMerge w:val="continue"/>
            <w:vAlign w:val="center"/>
          </w:tcPr>
          <w:p w14:paraId="1AD286E7">
            <w:pPr>
              <w:pStyle w:val="8"/>
              <w:suppressLineNumbers w:val="0"/>
              <w:bidi w:val="0"/>
              <w:spacing w:before="0" w:beforeAutospacing="0" w:after="0" w:afterAutospacing="0"/>
              <w:ind w:left="0" w:right="0"/>
              <w:rPr>
                <w:rFonts w:hint="default"/>
                <w:highlight w:val="none"/>
              </w:rPr>
            </w:pPr>
          </w:p>
        </w:tc>
        <w:tc>
          <w:tcPr>
            <w:tcW w:w="1318" w:type="dxa"/>
            <w:vAlign w:val="center"/>
          </w:tcPr>
          <w:p w14:paraId="40755A8A">
            <w:pPr>
              <w:pStyle w:val="8"/>
              <w:suppressLineNumbers w:val="0"/>
              <w:bidi w:val="0"/>
              <w:spacing w:before="0" w:beforeAutospacing="0" w:after="0" w:afterAutospacing="0"/>
              <w:ind w:left="0" w:right="0"/>
              <w:rPr>
                <w:rFonts w:hint="default"/>
                <w:highlight w:val="none"/>
              </w:rPr>
            </w:pPr>
            <w:r>
              <w:rPr>
                <w:rFonts w:hint="default"/>
                <w:highlight w:val="none"/>
              </w:rPr>
              <w:t>影响评价</w:t>
            </w:r>
          </w:p>
        </w:tc>
        <w:tc>
          <w:tcPr>
            <w:tcW w:w="5183" w:type="dxa"/>
            <w:vAlign w:val="center"/>
          </w:tcPr>
          <w:p w14:paraId="354A58D8">
            <w:pPr>
              <w:pStyle w:val="8"/>
              <w:suppressLineNumbers w:val="0"/>
              <w:bidi w:val="0"/>
              <w:spacing w:before="0" w:beforeAutospacing="0" w:after="0" w:afterAutospacing="0"/>
              <w:ind w:left="0" w:right="0"/>
              <w:rPr>
                <w:rFonts w:hint="default" w:eastAsia="宋体"/>
                <w:highlight w:val="none"/>
                <w:lang w:val="en-US" w:eastAsia="zh-CN"/>
              </w:rPr>
            </w:pPr>
            <w:r>
              <w:rPr>
                <w:rFonts w:hint="default" w:eastAsiaTheme="minorEastAsia"/>
                <w:spacing w:val="22"/>
                <w:kern w:val="0"/>
                <w:szCs w:val="21"/>
                <w:highlight w:val="none"/>
              </w:rPr>
              <w:t>VOCs</w:t>
            </w:r>
            <w:r>
              <w:rPr>
                <w:rFonts w:hint="default" w:hAnsiTheme="minorEastAsia" w:eastAsiaTheme="minorEastAsia"/>
                <w:spacing w:val="22"/>
                <w:kern w:val="0"/>
                <w:szCs w:val="21"/>
                <w:highlight w:val="none"/>
              </w:rPr>
              <w:t>（以非甲烷总烃计）</w:t>
            </w:r>
            <w:r>
              <w:rPr>
                <w:rFonts w:hint="eastAsia" w:eastAsiaTheme="minorEastAsia"/>
                <w:spacing w:val="22"/>
                <w:kern w:val="0"/>
                <w:szCs w:val="21"/>
                <w:highlight w:val="none"/>
                <w:lang w:val="en-US" w:eastAsia="zh-CN"/>
              </w:rPr>
              <w:t>颗粒物</w:t>
            </w:r>
            <w:r>
              <w:rPr>
                <w:rFonts w:hint="default" w:hAnsiTheme="minorEastAsia" w:eastAsiaTheme="minorEastAsia"/>
                <w:spacing w:val="22"/>
                <w:kern w:val="0"/>
                <w:szCs w:val="21"/>
                <w:highlight w:val="none"/>
              </w:rPr>
              <w:t>、</w:t>
            </w:r>
            <w:r>
              <w:rPr>
                <w:rFonts w:hint="eastAsia" w:hAnsiTheme="minorEastAsia" w:eastAsiaTheme="minorEastAsia"/>
                <w:spacing w:val="22"/>
                <w:kern w:val="0"/>
                <w:szCs w:val="21"/>
                <w:highlight w:val="none"/>
                <w:lang w:val="en-US" w:eastAsia="zh-CN"/>
              </w:rPr>
              <w:t>臭气浓度</w:t>
            </w:r>
          </w:p>
        </w:tc>
      </w:tr>
      <w:tr w14:paraId="641D22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Merge w:val="continue"/>
            <w:vAlign w:val="center"/>
          </w:tcPr>
          <w:p w14:paraId="064E1FF0">
            <w:pPr>
              <w:pStyle w:val="8"/>
              <w:suppressLineNumbers w:val="0"/>
              <w:bidi w:val="0"/>
              <w:spacing w:before="0" w:beforeAutospacing="0" w:after="0" w:afterAutospacing="0"/>
              <w:ind w:left="0" w:right="0"/>
              <w:rPr>
                <w:rFonts w:hint="default"/>
                <w:highlight w:val="none"/>
              </w:rPr>
            </w:pPr>
          </w:p>
        </w:tc>
        <w:tc>
          <w:tcPr>
            <w:tcW w:w="1171" w:type="dxa"/>
            <w:vMerge w:val="restart"/>
            <w:vAlign w:val="center"/>
          </w:tcPr>
          <w:p w14:paraId="0646F7A9">
            <w:pPr>
              <w:pStyle w:val="8"/>
              <w:suppressLineNumbers w:val="0"/>
              <w:bidi w:val="0"/>
              <w:spacing w:before="0" w:beforeAutospacing="0" w:after="0" w:afterAutospacing="0"/>
              <w:ind w:left="0" w:right="0"/>
              <w:rPr>
                <w:rFonts w:hint="default"/>
                <w:highlight w:val="none"/>
              </w:rPr>
            </w:pPr>
            <w:r>
              <w:rPr>
                <w:rFonts w:hint="default"/>
                <w:highlight w:val="none"/>
              </w:rPr>
              <w:t>声环境</w:t>
            </w:r>
          </w:p>
        </w:tc>
        <w:tc>
          <w:tcPr>
            <w:tcW w:w="1318" w:type="dxa"/>
            <w:vAlign w:val="center"/>
          </w:tcPr>
          <w:p w14:paraId="190FF954">
            <w:pPr>
              <w:pStyle w:val="8"/>
              <w:suppressLineNumbers w:val="0"/>
              <w:bidi w:val="0"/>
              <w:spacing w:before="0" w:beforeAutospacing="0" w:after="0" w:afterAutospacing="0"/>
              <w:ind w:left="0" w:right="0"/>
              <w:rPr>
                <w:rFonts w:hint="default"/>
                <w:highlight w:val="none"/>
              </w:rPr>
            </w:pPr>
            <w:r>
              <w:rPr>
                <w:rFonts w:hint="default"/>
                <w:highlight w:val="none"/>
              </w:rPr>
              <w:t>现状评价</w:t>
            </w:r>
          </w:p>
        </w:tc>
        <w:tc>
          <w:tcPr>
            <w:tcW w:w="5183" w:type="dxa"/>
            <w:vMerge w:val="restart"/>
            <w:vAlign w:val="center"/>
          </w:tcPr>
          <w:p w14:paraId="0EFA438F">
            <w:pPr>
              <w:pStyle w:val="8"/>
              <w:suppressLineNumbers w:val="0"/>
              <w:bidi w:val="0"/>
              <w:spacing w:before="0" w:beforeAutospacing="0" w:after="0" w:afterAutospacing="0"/>
              <w:ind w:left="0" w:right="0"/>
              <w:rPr>
                <w:rFonts w:hint="default"/>
                <w:highlight w:val="none"/>
              </w:rPr>
            </w:pPr>
            <w:r>
              <w:rPr>
                <w:rFonts w:hint="default"/>
                <w:highlight w:val="none"/>
                <w:lang w:val="zh-CN"/>
              </w:rPr>
              <w:t>等效连续A声级Leq（A）</w:t>
            </w:r>
          </w:p>
        </w:tc>
      </w:tr>
      <w:tr w14:paraId="57AF8E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0" w:type="dxa"/>
            <w:vMerge w:val="continue"/>
            <w:vAlign w:val="center"/>
          </w:tcPr>
          <w:p w14:paraId="19F8374F">
            <w:pPr>
              <w:pStyle w:val="8"/>
              <w:suppressLineNumbers w:val="0"/>
              <w:bidi w:val="0"/>
              <w:spacing w:before="0" w:beforeAutospacing="0" w:after="0" w:afterAutospacing="0"/>
              <w:ind w:left="0" w:right="0"/>
              <w:rPr>
                <w:rFonts w:hint="default"/>
                <w:highlight w:val="none"/>
              </w:rPr>
            </w:pPr>
          </w:p>
        </w:tc>
        <w:tc>
          <w:tcPr>
            <w:tcW w:w="1171" w:type="dxa"/>
            <w:vMerge w:val="continue"/>
            <w:vAlign w:val="center"/>
          </w:tcPr>
          <w:p w14:paraId="305C3E50">
            <w:pPr>
              <w:pStyle w:val="8"/>
              <w:suppressLineNumbers w:val="0"/>
              <w:bidi w:val="0"/>
              <w:spacing w:before="0" w:beforeAutospacing="0" w:after="0" w:afterAutospacing="0"/>
              <w:ind w:left="0" w:right="0"/>
              <w:rPr>
                <w:rFonts w:hint="default"/>
                <w:highlight w:val="none"/>
              </w:rPr>
            </w:pPr>
          </w:p>
        </w:tc>
        <w:tc>
          <w:tcPr>
            <w:tcW w:w="1318" w:type="dxa"/>
            <w:vAlign w:val="center"/>
          </w:tcPr>
          <w:p w14:paraId="1BC97CAA">
            <w:pPr>
              <w:pStyle w:val="8"/>
              <w:suppressLineNumbers w:val="0"/>
              <w:bidi w:val="0"/>
              <w:spacing w:before="0" w:beforeAutospacing="0" w:after="0" w:afterAutospacing="0"/>
              <w:ind w:left="0" w:right="0"/>
              <w:rPr>
                <w:rFonts w:hint="default"/>
                <w:highlight w:val="none"/>
              </w:rPr>
            </w:pPr>
            <w:r>
              <w:rPr>
                <w:rFonts w:hint="default"/>
                <w:highlight w:val="none"/>
              </w:rPr>
              <w:t>影响评价</w:t>
            </w:r>
          </w:p>
        </w:tc>
        <w:tc>
          <w:tcPr>
            <w:tcW w:w="5183" w:type="dxa"/>
            <w:vMerge w:val="continue"/>
            <w:vAlign w:val="center"/>
          </w:tcPr>
          <w:p w14:paraId="191C8192">
            <w:pPr>
              <w:pStyle w:val="8"/>
              <w:suppressLineNumbers w:val="0"/>
              <w:bidi w:val="0"/>
              <w:spacing w:before="0" w:beforeAutospacing="0" w:after="0" w:afterAutospacing="0"/>
              <w:ind w:left="0" w:right="0"/>
              <w:rPr>
                <w:rFonts w:hint="default"/>
                <w:highlight w:val="none"/>
              </w:rPr>
            </w:pPr>
          </w:p>
        </w:tc>
      </w:tr>
      <w:tr w14:paraId="67254E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0" w:type="dxa"/>
            <w:vMerge w:val="continue"/>
            <w:vAlign w:val="center"/>
          </w:tcPr>
          <w:p w14:paraId="50A6E5E1">
            <w:pPr>
              <w:pStyle w:val="8"/>
              <w:suppressLineNumbers w:val="0"/>
              <w:bidi w:val="0"/>
              <w:spacing w:before="0" w:beforeAutospacing="0" w:after="0" w:afterAutospacing="0"/>
              <w:ind w:left="0" w:right="0"/>
              <w:rPr>
                <w:rFonts w:hint="default"/>
                <w:highlight w:val="none"/>
              </w:rPr>
            </w:pPr>
          </w:p>
        </w:tc>
        <w:tc>
          <w:tcPr>
            <w:tcW w:w="1171" w:type="dxa"/>
            <w:vAlign w:val="center"/>
          </w:tcPr>
          <w:p w14:paraId="22FA8686">
            <w:pPr>
              <w:pStyle w:val="8"/>
              <w:suppressLineNumbers w:val="0"/>
              <w:bidi w:val="0"/>
              <w:spacing w:before="0" w:beforeAutospacing="0" w:after="0" w:afterAutospacing="0"/>
              <w:ind w:left="0" w:right="0"/>
              <w:rPr>
                <w:rFonts w:hint="default"/>
                <w:highlight w:val="none"/>
              </w:rPr>
            </w:pPr>
            <w:r>
              <w:rPr>
                <w:rFonts w:hint="default"/>
                <w:highlight w:val="none"/>
              </w:rPr>
              <w:t>地表水</w:t>
            </w:r>
          </w:p>
        </w:tc>
        <w:tc>
          <w:tcPr>
            <w:tcW w:w="1318" w:type="dxa"/>
            <w:vAlign w:val="center"/>
          </w:tcPr>
          <w:p w14:paraId="0D77FF49">
            <w:pPr>
              <w:pStyle w:val="8"/>
              <w:suppressLineNumbers w:val="0"/>
              <w:bidi w:val="0"/>
              <w:spacing w:before="0" w:beforeAutospacing="0" w:after="0" w:afterAutospacing="0"/>
              <w:ind w:left="0" w:right="0"/>
              <w:rPr>
                <w:rFonts w:hint="default"/>
                <w:highlight w:val="none"/>
              </w:rPr>
            </w:pPr>
            <w:r>
              <w:rPr>
                <w:rFonts w:hint="default"/>
                <w:highlight w:val="none"/>
              </w:rPr>
              <w:t>现状评价</w:t>
            </w:r>
          </w:p>
        </w:tc>
        <w:tc>
          <w:tcPr>
            <w:tcW w:w="5183" w:type="dxa"/>
            <w:vAlign w:val="center"/>
          </w:tcPr>
          <w:p w14:paraId="3F0B9EA8">
            <w:pPr>
              <w:pStyle w:val="8"/>
              <w:suppressLineNumbers w:val="0"/>
              <w:bidi w:val="0"/>
              <w:spacing w:before="0" w:beforeAutospacing="0" w:after="0" w:afterAutospacing="0"/>
              <w:ind w:left="0" w:right="0"/>
              <w:rPr>
                <w:rFonts w:hint="default"/>
                <w:highlight w:val="none"/>
              </w:rPr>
            </w:pPr>
            <w:r>
              <w:rPr>
                <w:rFonts w:hint="default"/>
                <w:highlight w:val="none"/>
              </w:rPr>
              <w:t>pH、溶解氧、COD、高锰酸盐指数、BOD</w:t>
            </w:r>
            <w:r>
              <w:rPr>
                <w:rFonts w:hint="default"/>
                <w:highlight w:val="none"/>
                <w:vertAlign w:val="subscript"/>
              </w:rPr>
              <w:t>5</w:t>
            </w:r>
            <w:r>
              <w:rPr>
                <w:rFonts w:hint="default"/>
                <w:highlight w:val="none"/>
              </w:rPr>
              <w:t>、氨氮、总氮、SS、总磷、粪大肠菌群</w:t>
            </w:r>
          </w:p>
        </w:tc>
      </w:tr>
      <w:tr w14:paraId="752D37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Merge w:val="continue"/>
            <w:vAlign w:val="center"/>
          </w:tcPr>
          <w:p w14:paraId="15D61304">
            <w:pPr>
              <w:pStyle w:val="8"/>
              <w:suppressLineNumbers w:val="0"/>
              <w:bidi w:val="0"/>
              <w:spacing w:before="0" w:beforeAutospacing="0" w:after="0" w:afterAutospacing="0"/>
              <w:ind w:left="0" w:right="0"/>
              <w:rPr>
                <w:rFonts w:hint="default"/>
                <w:highlight w:val="none"/>
              </w:rPr>
            </w:pPr>
          </w:p>
        </w:tc>
        <w:tc>
          <w:tcPr>
            <w:tcW w:w="1171" w:type="dxa"/>
            <w:vMerge w:val="restart"/>
            <w:vAlign w:val="center"/>
          </w:tcPr>
          <w:p w14:paraId="15521FE5">
            <w:pPr>
              <w:pStyle w:val="8"/>
              <w:suppressLineNumbers w:val="0"/>
              <w:bidi w:val="0"/>
              <w:spacing w:before="0" w:beforeAutospacing="0" w:after="0" w:afterAutospacing="0"/>
              <w:ind w:left="0" w:right="0"/>
              <w:rPr>
                <w:rFonts w:hint="default"/>
                <w:highlight w:val="none"/>
              </w:rPr>
            </w:pPr>
            <w:r>
              <w:rPr>
                <w:rFonts w:hint="default"/>
                <w:highlight w:val="none"/>
              </w:rPr>
              <w:t>地下水</w:t>
            </w:r>
          </w:p>
        </w:tc>
        <w:tc>
          <w:tcPr>
            <w:tcW w:w="1318" w:type="dxa"/>
            <w:vAlign w:val="center"/>
          </w:tcPr>
          <w:p w14:paraId="2A49009C">
            <w:pPr>
              <w:pStyle w:val="8"/>
              <w:suppressLineNumbers w:val="0"/>
              <w:bidi w:val="0"/>
              <w:spacing w:before="0" w:beforeAutospacing="0" w:after="0" w:afterAutospacing="0"/>
              <w:ind w:left="0" w:right="0"/>
              <w:rPr>
                <w:rFonts w:hint="default"/>
                <w:highlight w:val="none"/>
              </w:rPr>
            </w:pPr>
            <w:r>
              <w:rPr>
                <w:rFonts w:hint="default"/>
                <w:highlight w:val="none"/>
              </w:rPr>
              <w:t>现状评价</w:t>
            </w:r>
          </w:p>
        </w:tc>
        <w:tc>
          <w:tcPr>
            <w:tcW w:w="5183" w:type="dxa"/>
            <w:vAlign w:val="center"/>
          </w:tcPr>
          <w:p w14:paraId="73E4D958">
            <w:pPr>
              <w:pStyle w:val="8"/>
              <w:suppressLineNumbers w:val="0"/>
              <w:bidi w:val="0"/>
              <w:spacing w:before="0" w:beforeAutospacing="0" w:after="0" w:afterAutospacing="0"/>
              <w:ind w:left="0" w:right="0"/>
              <w:rPr>
                <w:rFonts w:hint="default"/>
                <w:highlight w:val="none"/>
              </w:rPr>
            </w:pPr>
            <w:r>
              <w:rPr>
                <w:rFonts w:hint="default"/>
                <w:highlight w:val="none"/>
              </w:rPr>
              <w:t>K</w:t>
            </w:r>
            <w:r>
              <w:rPr>
                <w:rFonts w:hint="default"/>
                <w:highlight w:val="none"/>
                <w:vertAlign w:val="superscript"/>
              </w:rPr>
              <w:t>+</w:t>
            </w:r>
            <w:r>
              <w:rPr>
                <w:rFonts w:hint="default"/>
                <w:highlight w:val="none"/>
              </w:rPr>
              <w:t>、Na</w:t>
            </w:r>
            <w:r>
              <w:rPr>
                <w:rFonts w:hint="default"/>
                <w:highlight w:val="none"/>
                <w:vertAlign w:val="superscript"/>
              </w:rPr>
              <w:t>+</w:t>
            </w:r>
            <w:r>
              <w:rPr>
                <w:rFonts w:hint="default"/>
                <w:highlight w:val="none"/>
              </w:rPr>
              <w:t>、Ca</w:t>
            </w:r>
            <w:r>
              <w:rPr>
                <w:rFonts w:hint="default"/>
                <w:highlight w:val="none"/>
                <w:vertAlign w:val="superscript"/>
              </w:rPr>
              <w:t>2+</w:t>
            </w:r>
            <w:r>
              <w:rPr>
                <w:rFonts w:hint="default"/>
                <w:highlight w:val="none"/>
              </w:rPr>
              <w:t>、Mg</w:t>
            </w:r>
            <w:r>
              <w:rPr>
                <w:rFonts w:hint="default"/>
                <w:highlight w:val="none"/>
                <w:vertAlign w:val="superscript"/>
              </w:rPr>
              <w:t>2+</w:t>
            </w:r>
            <w:r>
              <w:rPr>
                <w:rFonts w:hint="default"/>
                <w:highlight w:val="none"/>
              </w:rPr>
              <w:t>、CO</w:t>
            </w:r>
            <w:r>
              <w:rPr>
                <w:rFonts w:hint="default"/>
                <w:highlight w:val="none"/>
                <w:vertAlign w:val="subscript"/>
              </w:rPr>
              <w:t>3</w:t>
            </w:r>
            <w:r>
              <w:rPr>
                <w:rFonts w:hint="default"/>
                <w:highlight w:val="none"/>
                <w:vertAlign w:val="superscript"/>
              </w:rPr>
              <w:t>2-</w:t>
            </w:r>
            <w:r>
              <w:rPr>
                <w:rFonts w:hint="default"/>
                <w:highlight w:val="none"/>
              </w:rPr>
              <w:t>、HCO</w:t>
            </w:r>
            <w:r>
              <w:rPr>
                <w:rFonts w:hint="default"/>
                <w:highlight w:val="none"/>
                <w:vertAlign w:val="superscript"/>
              </w:rPr>
              <w:t>3-</w:t>
            </w:r>
            <w:r>
              <w:rPr>
                <w:rFonts w:hint="default"/>
                <w:highlight w:val="none"/>
              </w:rPr>
              <w:t>、Cl-、SO</w:t>
            </w:r>
            <w:r>
              <w:rPr>
                <w:rFonts w:hint="default"/>
                <w:highlight w:val="none"/>
                <w:vertAlign w:val="subscript"/>
              </w:rPr>
              <w:t>4</w:t>
            </w:r>
            <w:r>
              <w:rPr>
                <w:rFonts w:hint="default"/>
                <w:highlight w:val="none"/>
                <w:vertAlign w:val="superscript"/>
              </w:rPr>
              <w:t>2-</w:t>
            </w:r>
            <w:r>
              <w:rPr>
                <w:rFonts w:hint="default"/>
                <w:highlight w:val="none"/>
              </w:rPr>
              <w:t>；pH、氨氮、硝酸盐、亚硝酸盐、挥发性酚类、氰化物、砷、汞、铬（六价）、总硬度、铅、氟、镉、铁、锰、溶解性总固体、高锰酸盐指数、硫酸盐、氯化物、总大肠菌群、细菌总数、石油类</w:t>
            </w:r>
          </w:p>
        </w:tc>
      </w:tr>
      <w:tr w14:paraId="4F25A1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Merge w:val="continue"/>
            <w:vAlign w:val="center"/>
          </w:tcPr>
          <w:p w14:paraId="5450CF60">
            <w:pPr>
              <w:pStyle w:val="8"/>
              <w:suppressLineNumbers w:val="0"/>
              <w:bidi w:val="0"/>
              <w:spacing w:before="0" w:beforeAutospacing="0" w:after="0" w:afterAutospacing="0"/>
              <w:ind w:left="0" w:right="0"/>
              <w:rPr>
                <w:rFonts w:hint="default"/>
                <w:highlight w:val="none"/>
              </w:rPr>
            </w:pPr>
          </w:p>
        </w:tc>
        <w:tc>
          <w:tcPr>
            <w:tcW w:w="1171" w:type="dxa"/>
            <w:vMerge w:val="continue"/>
            <w:vAlign w:val="center"/>
          </w:tcPr>
          <w:p w14:paraId="62968359">
            <w:pPr>
              <w:pStyle w:val="8"/>
              <w:suppressLineNumbers w:val="0"/>
              <w:bidi w:val="0"/>
              <w:spacing w:before="0" w:beforeAutospacing="0" w:after="0" w:afterAutospacing="0"/>
              <w:ind w:left="0" w:right="0"/>
              <w:rPr>
                <w:rFonts w:hint="default"/>
                <w:highlight w:val="none"/>
              </w:rPr>
            </w:pPr>
          </w:p>
        </w:tc>
        <w:tc>
          <w:tcPr>
            <w:tcW w:w="1318" w:type="dxa"/>
            <w:vAlign w:val="center"/>
          </w:tcPr>
          <w:p w14:paraId="38044595">
            <w:pPr>
              <w:pStyle w:val="8"/>
              <w:suppressLineNumbers w:val="0"/>
              <w:bidi w:val="0"/>
              <w:spacing w:before="0" w:beforeAutospacing="0" w:after="0" w:afterAutospacing="0"/>
              <w:ind w:left="0" w:right="0"/>
              <w:rPr>
                <w:rFonts w:hint="default"/>
                <w:highlight w:val="none"/>
              </w:rPr>
            </w:pPr>
            <w:r>
              <w:rPr>
                <w:rFonts w:hint="default"/>
                <w:highlight w:val="none"/>
              </w:rPr>
              <w:t>影响评价</w:t>
            </w:r>
          </w:p>
        </w:tc>
        <w:tc>
          <w:tcPr>
            <w:tcW w:w="5183" w:type="dxa"/>
            <w:vAlign w:val="center"/>
          </w:tcPr>
          <w:p w14:paraId="339B629A">
            <w:pPr>
              <w:pStyle w:val="8"/>
              <w:suppressLineNumbers w:val="0"/>
              <w:bidi w:val="0"/>
              <w:spacing w:before="0" w:beforeAutospacing="0" w:after="0" w:afterAutospacing="0"/>
              <w:ind w:left="0" w:right="0"/>
              <w:rPr>
                <w:rFonts w:hint="default" w:eastAsia="宋体"/>
                <w:highlight w:val="none"/>
                <w:lang w:val="en-US" w:eastAsia="zh-CN"/>
              </w:rPr>
            </w:pPr>
            <w:r>
              <w:rPr>
                <w:rFonts w:hint="default"/>
                <w:highlight w:val="none"/>
              </w:rPr>
              <w:t>石油类</w:t>
            </w:r>
          </w:p>
        </w:tc>
      </w:tr>
      <w:tr w14:paraId="3F7F85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Merge w:val="continue"/>
            <w:vAlign w:val="center"/>
          </w:tcPr>
          <w:p w14:paraId="18BDF155">
            <w:pPr>
              <w:pStyle w:val="8"/>
              <w:suppressLineNumbers w:val="0"/>
              <w:bidi w:val="0"/>
              <w:spacing w:before="0" w:beforeAutospacing="0" w:after="0" w:afterAutospacing="0"/>
              <w:ind w:left="0" w:right="0"/>
              <w:rPr>
                <w:rFonts w:hint="default"/>
                <w:highlight w:val="none"/>
              </w:rPr>
            </w:pPr>
          </w:p>
        </w:tc>
        <w:tc>
          <w:tcPr>
            <w:tcW w:w="1171" w:type="dxa"/>
            <w:vAlign w:val="center"/>
          </w:tcPr>
          <w:p w14:paraId="01268CE9">
            <w:pPr>
              <w:pStyle w:val="8"/>
              <w:suppressLineNumbers w:val="0"/>
              <w:bidi w:val="0"/>
              <w:spacing w:before="0" w:beforeAutospacing="0" w:after="0" w:afterAutospacing="0"/>
              <w:ind w:left="0" w:right="0"/>
              <w:rPr>
                <w:rFonts w:hint="default"/>
                <w:highlight w:val="none"/>
              </w:rPr>
            </w:pPr>
            <w:r>
              <w:rPr>
                <w:rFonts w:hint="default"/>
                <w:highlight w:val="none"/>
              </w:rPr>
              <w:t>固体废物</w:t>
            </w:r>
          </w:p>
        </w:tc>
        <w:tc>
          <w:tcPr>
            <w:tcW w:w="1318" w:type="dxa"/>
            <w:vAlign w:val="center"/>
          </w:tcPr>
          <w:p w14:paraId="543AD51C">
            <w:pPr>
              <w:pStyle w:val="8"/>
              <w:suppressLineNumbers w:val="0"/>
              <w:bidi w:val="0"/>
              <w:spacing w:before="0" w:beforeAutospacing="0" w:after="0" w:afterAutospacing="0"/>
              <w:ind w:left="0" w:right="0"/>
              <w:rPr>
                <w:rFonts w:hint="default"/>
                <w:highlight w:val="none"/>
              </w:rPr>
            </w:pPr>
            <w:r>
              <w:rPr>
                <w:rFonts w:hint="default"/>
                <w:highlight w:val="none"/>
              </w:rPr>
              <w:t>影响评价</w:t>
            </w:r>
          </w:p>
        </w:tc>
        <w:tc>
          <w:tcPr>
            <w:tcW w:w="5183" w:type="dxa"/>
            <w:vAlign w:val="center"/>
          </w:tcPr>
          <w:p w14:paraId="3376A0BF">
            <w:pPr>
              <w:pStyle w:val="8"/>
              <w:suppressLineNumbers w:val="0"/>
              <w:bidi w:val="0"/>
              <w:spacing w:before="0" w:beforeAutospacing="0" w:after="0" w:afterAutospacing="0"/>
              <w:ind w:left="0" w:right="0"/>
              <w:rPr>
                <w:rFonts w:hint="default"/>
                <w:highlight w:val="none"/>
              </w:rPr>
            </w:pPr>
            <w:r>
              <w:rPr>
                <w:rFonts w:hint="eastAsia"/>
                <w:highlight w:val="none"/>
              </w:rPr>
              <w:t>一般工业固废、危险废物</w:t>
            </w:r>
          </w:p>
        </w:tc>
      </w:tr>
      <w:tr w14:paraId="136949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Merge w:val="continue"/>
            <w:vAlign w:val="center"/>
          </w:tcPr>
          <w:p w14:paraId="68BB19E5">
            <w:pPr>
              <w:pStyle w:val="8"/>
              <w:suppressLineNumbers w:val="0"/>
              <w:bidi w:val="0"/>
              <w:spacing w:before="0" w:beforeAutospacing="0" w:after="0" w:afterAutospacing="0"/>
              <w:ind w:left="0" w:right="0"/>
              <w:rPr>
                <w:rFonts w:hint="default"/>
                <w:highlight w:val="none"/>
              </w:rPr>
            </w:pPr>
          </w:p>
        </w:tc>
        <w:tc>
          <w:tcPr>
            <w:tcW w:w="1171" w:type="dxa"/>
            <w:vMerge w:val="restart"/>
            <w:vAlign w:val="center"/>
          </w:tcPr>
          <w:p w14:paraId="171BD76E">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土壤</w:t>
            </w:r>
          </w:p>
        </w:tc>
        <w:tc>
          <w:tcPr>
            <w:tcW w:w="1318" w:type="dxa"/>
            <w:vAlign w:val="center"/>
          </w:tcPr>
          <w:p w14:paraId="2CDCDF6C">
            <w:pPr>
              <w:pStyle w:val="8"/>
              <w:suppressLineNumbers w:val="0"/>
              <w:bidi w:val="0"/>
              <w:spacing w:before="0" w:beforeAutospacing="0" w:after="0" w:afterAutospacing="0"/>
              <w:ind w:left="0" w:right="0"/>
              <w:rPr>
                <w:rFonts w:hint="default"/>
                <w:highlight w:val="none"/>
              </w:rPr>
            </w:pPr>
            <w:r>
              <w:rPr>
                <w:rFonts w:hint="eastAsia"/>
                <w:highlight w:val="none"/>
                <w:lang w:val="en-US" w:eastAsia="en-US"/>
              </w:rPr>
              <w:t>现状评价</w:t>
            </w:r>
          </w:p>
        </w:tc>
        <w:tc>
          <w:tcPr>
            <w:tcW w:w="5183" w:type="dxa"/>
            <w:vAlign w:val="top"/>
          </w:tcPr>
          <w:p w14:paraId="6381D4D4">
            <w:pPr>
              <w:pStyle w:val="8"/>
              <w:suppressLineNumbers w:val="0"/>
              <w:bidi w:val="0"/>
              <w:spacing w:before="0" w:beforeAutospacing="0" w:after="0" w:afterAutospacing="0"/>
              <w:ind w:left="0" w:right="0"/>
              <w:rPr>
                <w:rFonts w:hint="eastAsia"/>
                <w:highlight w:val="none"/>
                <w:lang w:eastAsia="zh-CN"/>
              </w:rPr>
            </w:pPr>
            <w:r>
              <w:rPr>
                <w:rFonts w:hint="eastAsia"/>
                <w:highlight w:val="none"/>
                <w:lang w:val="en-US" w:eastAsia="en-US"/>
              </w:rPr>
              <w:t>砷、镉、铬（六价）、铜、铅、汞、镍；四氯化碳、氯仿、氯甲烷、</w:t>
            </w:r>
            <w:r>
              <w:rPr>
                <w:rFonts w:hint="default"/>
                <w:highlight w:val="none"/>
                <w:lang w:val="en-US" w:eastAsia="en-US"/>
              </w:rPr>
              <w:t>1</w:t>
            </w:r>
            <w:r>
              <w:rPr>
                <w:rFonts w:hint="eastAsia"/>
                <w:highlight w:val="none"/>
                <w:lang w:val="en-US" w:eastAsia="zh-CN"/>
              </w:rPr>
              <w:t>，</w:t>
            </w:r>
            <w:r>
              <w:rPr>
                <w:rFonts w:hint="default"/>
                <w:highlight w:val="none"/>
                <w:lang w:val="en-US" w:eastAsia="en-US"/>
              </w:rPr>
              <w:t>1-</w:t>
            </w:r>
            <w:r>
              <w:rPr>
                <w:rFonts w:hint="eastAsia"/>
                <w:highlight w:val="none"/>
                <w:lang w:val="en-US" w:eastAsia="en-US"/>
              </w:rPr>
              <w:t>二氯乙烷、</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en-US"/>
              </w:rPr>
              <w:t>二氯乙烷、</w:t>
            </w:r>
            <w:r>
              <w:rPr>
                <w:rFonts w:hint="default"/>
                <w:highlight w:val="none"/>
                <w:lang w:val="en-US" w:eastAsia="en-US"/>
              </w:rPr>
              <w:t>1</w:t>
            </w:r>
            <w:r>
              <w:rPr>
                <w:rFonts w:hint="eastAsia"/>
                <w:highlight w:val="none"/>
                <w:lang w:val="en-US" w:eastAsia="zh-CN"/>
              </w:rPr>
              <w:t>，</w:t>
            </w:r>
            <w:r>
              <w:rPr>
                <w:rFonts w:hint="default"/>
                <w:highlight w:val="none"/>
                <w:lang w:val="en-US" w:eastAsia="en-US"/>
              </w:rPr>
              <w:t>1-</w:t>
            </w:r>
            <w:r>
              <w:rPr>
                <w:rFonts w:hint="eastAsia"/>
                <w:highlight w:val="none"/>
                <w:lang w:val="en-US" w:eastAsia="en-US"/>
              </w:rPr>
              <w:t>二氯乙烯、顺</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en-US"/>
              </w:rPr>
              <w:t>二氯乙烯、反</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en-US"/>
              </w:rPr>
              <w:t>二氯乙烯、二氯甲烷、</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en-US"/>
              </w:rPr>
              <w:t>二氯丙烷、</w:t>
            </w:r>
            <w:r>
              <w:rPr>
                <w:rFonts w:hint="default"/>
                <w:highlight w:val="none"/>
                <w:lang w:val="en-US" w:eastAsia="en-US"/>
              </w:rPr>
              <w:t>1</w:t>
            </w:r>
            <w:r>
              <w:rPr>
                <w:rFonts w:hint="eastAsia"/>
                <w:highlight w:val="none"/>
                <w:lang w:val="en-US" w:eastAsia="zh-CN"/>
              </w:rPr>
              <w:t>，</w:t>
            </w:r>
            <w:r>
              <w:rPr>
                <w:rFonts w:hint="default"/>
                <w:highlight w:val="none"/>
                <w:lang w:val="en-US" w:eastAsia="en-US"/>
              </w:rPr>
              <w:t>1</w:t>
            </w:r>
            <w:r>
              <w:rPr>
                <w:rFonts w:hint="eastAsia"/>
                <w:highlight w:val="none"/>
                <w:lang w:val="en-US" w:eastAsia="zh-CN"/>
              </w:rPr>
              <w:t>，</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en-US"/>
              </w:rPr>
              <w:t>四氯乙烷、</w:t>
            </w:r>
            <w:r>
              <w:rPr>
                <w:rFonts w:hint="default"/>
                <w:highlight w:val="none"/>
                <w:lang w:val="en-US" w:eastAsia="en-US"/>
              </w:rPr>
              <w:t>1</w:t>
            </w:r>
            <w:r>
              <w:rPr>
                <w:rFonts w:hint="eastAsia"/>
                <w:highlight w:val="none"/>
                <w:lang w:val="en-US" w:eastAsia="zh-CN"/>
              </w:rPr>
              <w:t>，</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zh-CN"/>
              </w:rPr>
              <w:t>，</w:t>
            </w:r>
            <w:r>
              <w:rPr>
                <w:rFonts w:hint="default"/>
                <w:highlight w:val="none"/>
                <w:lang w:val="en-US" w:eastAsia="en-US"/>
              </w:rPr>
              <w:t>2-</w:t>
            </w:r>
            <w:r>
              <w:rPr>
                <w:rFonts w:hint="eastAsia"/>
                <w:highlight w:val="none"/>
                <w:lang w:val="en-US" w:eastAsia="en-US"/>
              </w:rPr>
              <w:t>四氯乙烷、四氯乙烯</w:t>
            </w:r>
            <w:r>
              <w:rPr>
                <w:rFonts w:hint="eastAsia"/>
                <w:highlight w:val="none"/>
                <w:lang w:val="en-US" w:eastAsia="zh-CN"/>
              </w:rPr>
              <w:t>、</w:t>
            </w:r>
            <w:r>
              <w:rPr>
                <w:rFonts w:hint="default"/>
                <w:highlight w:val="none"/>
                <w:lang w:val="en-US" w:eastAsia="en-US"/>
              </w:rPr>
              <w:t>1</w:t>
            </w:r>
            <w:r>
              <w:rPr>
                <w:rFonts w:hint="eastAsia"/>
                <w:highlight w:val="none"/>
                <w:lang w:val="en-US" w:eastAsia="zh-CN"/>
              </w:rPr>
              <w:t>，</w:t>
            </w:r>
            <w:r>
              <w:rPr>
                <w:rFonts w:hint="default"/>
                <w:highlight w:val="none"/>
                <w:lang w:val="en-US" w:eastAsia="en-US"/>
              </w:rPr>
              <w:t>1</w:t>
            </w:r>
            <w:r>
              <w:rPr>
                <w:rFonts w:hint="eastAsia"/>
                <w:highlight w:val="none"/>
                <w:lang w:val="en-US" w:eastAsia="zh-CN"/>
              </w:rPr>
              <w:t>，</w:t>
            </w:r>
            <w:r>
              <w:rPr>
                <w:rFonts w:hint="default"/>
                <w:highlight w:val="none"/>
                <w:lang w:val="en-US" w:eastAsia="en-US"/>
              </w:rPr>
              <w:t>1-</w:t>
            </w:r>
            <w:r>
              <w:rPr>
                <w:rFonts w:hint="eastAsia"/>
                <w:highlight w:val="none"/>
                <w:lang w:val="en-US" w:eastAsia="en-US"/>
              </w:rPr>
              <w:t>三氯乙烷、</w:t>
            </w:r>
            <w:r>
              <w:rPr>
                <w:rFonts w:hint="default"/>
                <w:highlight w:val="none"/>
                <w:lang w:val="en-US" w:eastAsia="en-US"/>
              </w:rPr>
              <w:t>1</w:t>
            </w:r>
            <w:r>
              <w:rPr>
                <w:rFonts w:hint="eastAsia"/>
                <w:highlight w:val="none"/>
                <w:lang w:val="en-US" w:eastAsia="zh-CN"/>
              </w:rPr>
              <w:t>，</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en-US"/>
              </w:rPr>
              <w:t>三氯乙烷、三氯乙烯、</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zh-CN"/>
              </w:rPr>
              <w:t>，</w:t>
            </w:r>
            <w:r>
              <w:rPr>
                <w:rFonts w:hint="default"/>
                <w:highlight w:val="none"/>
                <w:lang w:val="en-US" w:eastAsia="en-US"/>
              </w:rPr>
              <w:t>3-</w:t>
            </w:r>
            <w:r>
              <w:rPr>
                <w:rFonts w:hint="eastAsia"/>
                <w:highlight w:val="none"/>
                <w:lang w:val="en-US" w:eastAsia="en-US"/>
              </w:rPr>
              <w:t>三氯丙烷、氯乙烯、苯、氯苯、</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en-US"/>
              </w:rPr>
              <w:t>二氯苯、</w:t>
            </w:r>
            <w:r>
              <w:rPr>
                <w:rFonts w:hint="default"/>
                <w:highlight w:val="none"/>
                <w:lang w:val="en-US" w:eastAsia="en-US"/>
              </w:rPr>
              <w:t>1</w:t>
            </w:r>
            <w:r>
              <w:rPr>
                <w:rFonts w:hint="eastAsia"/>
                <w:highlight w:val="none"/>
                <w:lang w:val="en-US" w:eastAsia="zh-CN"/>
              </w:rPr>
              <w:t>，</w:t>
            </w:r>
            <w:r>
              <w:rPr>
                <w:rFonts w:hint="default"/>
                <w:highlight w:val="none"/>
                <w:lang w:val="en-US" w:eastAsia="en-US"/>
              </w:rPr>
              <w:t>4-</w:t>
            </w:r>
            <w:r>
              <w:rPr>
                <w:rFonts w:hint="eastAsia"/>
                <w:highlight w:val="none"/>
                <w:lang w:val="en-US" w:eastAsia="en-US"/>
              </w:rPr>
              <w:t>二氯苯、乙苯、苯乙烯、甲苯、间二甲苯</w:t>
            </w:r>
            <w:r>
              <w:rPr>
                <w:rFonts w:hint="default"/>
                <w:highlight w:val="none"/>
                <w:lang w:val="en-US" w:eastAsia="en-US"/>
              </w:rPr>
              <w:t>+</w:t>
            </w:r>
            <w:r>
              <w:rPr>
                <w:rFonts w:hint="eastAsia"/>
                <w:highlight w:val="none"/>
                <w:lang w:val="en-US" w:eastAsia="en-US"/>
              </w:rPr>
              <w:t>对二甲苯、邻二甲苯、半挥发性有机物</w:t>
            </w:r>
            <w:r>
              <w:rPr>
                <w:rFonts w:hint="eastAsia"/>
                <w:highlight w:val="none"/>
                <w:lang w:val="en-US" w:eastAsia="zh-CN"/>
              </w:rPr>
              <w:t>；</w:t>
            </w:r>
            <w:r>
              <w:rPr>
                <w:rFonts w:hint="eastAsia"/>
                <w:highlight w:val="none"/>
                <w:lang w:val="en-US" w:eastAsia="en-US"/>
              </w:rPr>
              <w:t>硝基苯、苯胺、</w:t>
            </w:r>
            <w:r>
              <w:rPr>
                <w:rFonts w:hint="default"/>
                <w:highlight w:val="none"/>
                <w:lang w:val="en-US" w:eastAsia="en-US"/>
              </w:rPr>
              <w:t>2-</w:t>
            </w:r>
            <w:r>
              <w:rPr>
                <w:rFonts w:hint="eastAsia"/>
                <w:highlight w:val="none"/>
                <w:lang w:val="en-US" w:eastAsia="en-US"/>
              </w:rPr>
              <w:t>氯酚、苯并</w:t>
            </w:r>
            <w:r>
              <w:rPr>
                <w:rFonts w:hint="default"/>
                <w:highlight w:val="none"/>
                <w:lang w:val="en-US" w:eastAsia="en-US"/>
              </w:rPr>
              <w:t>[a]</w:t>
            </w:r>
            <w:r>
              <w:rPr>
                <w:rFonts w:hint="eastAsia"/>
                <w:highlight w:val="none"/>
                <w:lang w:val="en-US" w:eastAsia="en-US"/>
              </w:rPr>
              <w:t>蒽、苯并</w:t>
            </w:r>
            <w:r>
              <w:rPr>
                <w:rFonts w:hint="default"/>
                <w:highlight w:val="none"/>
                <w:lang w:val="en-US" w:eastAsia="en-US"/>
              </w:rPr>
              <w:t>[a]</w:t>
            </w:r>
            <w:r>
              <w:rPr>
                <w:rFonts w:hint="eastAsia"/>
                <w:highlight w:val="none"/>
                <w:lang w:val="en-US" w:eastAsia="en-US"/>
              </w:rPr>
              <w:t>芘、苯并</w:t>
            </w:r>
            <w:r>
              <w:rPr>
                <w:rFonts w:hint="default"/>
                <w:highlight w:val="none"/>
                <w:lang w:val="en-US" w:eastAsia="en-US"/>
              </w:rPr>
              <w:t>[b]</w:t>
            </w:r>
            <w:r>
              <w:rPr>
                <w:rFonts w:hint="eastAsia"/>
                <w:highlight w:val="none"/>
                <w:lang w:val="en-US" w:eastAsia="en-US"/>
              </w:rPr>
              <w:t>荧蒽、苯并</w:t>
            </w:r>
            <w:r>
              <w:rPr>
                <w:rFonts w:hint="default"/>
                <w:highlight w:val="none"/>
                <w:lang w:val="en-US" w:eastAsia="en-US"/>
              </w:rPr>
              <w:t>[k]</w:t>
            </w:r>
            <w:r>
              <w:rPr>
                <w:rFonts w:hint="eastAsia"/>
                <w:highlight w:val="none"/>
                <w:lang w:val="en-US" w:eastAsia="en-US"/>
              </w:rPr>
              <w:t>荧蒽、䓛、二苯并</w:t>
            </w:r>
            <w:r>
              <w:rPr>
                <w:rFonts w:hint="default"/>
                <w:highlight w:val="none"/>
                <w:lang w:val="en-US" w:eastAsia="en-US"/>
              </w:rPr>
              <w:t>[a</w:t>
            </w:r>
            <w:r>
              <w:rPr>
                <w:rFonts w:hint="eastAsia"/>
                <w:highlight w:val="none"/>
                <w:lang w:val="en-US" w:eastAsia="zh-CN"/>
              </w:rPr>
              <w:t>，</w:t>
            </w:r>
            <w:r>
              <w:rPr>
                <w:rFonts w:hint="default"/>
                <w:highlight w:val="none"/>
                <w:lang w:val="en-US" w:eastAsia="en-US"/>
              </w:rPr>
              <w:t>h]</w:t>
            </w:r>
            <w:r>
              <w:rPr>
                <w:rFonts w:hint="eastAsia"/>
                <w:highlight w:val="none"/>
                <w:lang w:val="en-US" w:eastAsia="en-US"/>
              </w:rPr>
              <w:t>蒽、茚并</w:t>
            </w:r>
            <w:r>
              <w:rPr>
                <w:rFonts w:hint="default"/>
                <w:highlight w:val="none"/>
                <w:lang w:val="en-US" w:eastAsia="en-US"/>
              </w:rPr>
              <w:t>[1</w:t>
            </w:r>
            <w:r>
              <w:rPr>
                <w:rFonts w:hint="eastAsia"/>
                <w:highlight w:val="none"/>
                <w:lang w:val="en-US" w:eastAsia="zh-CN"/>
              </w:rPr>
              <w:t>，</w:t>
            </w:r>
            <w:r>
              <w:rPr>
                <w:rFonts w:hint="default"/>
                <w:highlight w:val="none"/>
                <w:lang w:val="en-US" w:eastAsia="en-US"/>
              </w:rPr>
              <w:t>2</w:t>
            </w:r>
            <w:r>
              <w:rPr>
                <w:rFonts w:hint="eastAsia"/>
                <w:highlight w:val="none"/>
                <w:lang w:val="en-US" w:eastAsia="zh-CN"/>
              </w:rPr>
              <w:t>，</w:t>
            </w:r>
            <w:r>
              <w:rPr>
                <w:rFonts w:hint="default"/>
                <w:highlight w:val="none"/>
                <w:lang w:val="en-US" w:eastAsia="en-US"/>
              </w:rPr>
              <w:t>3-cd]</w:t>
            </w:r>
            <w:r>
              <w:rPr>
                <w:rFonts w:hint="eastAsia"/>
                <w:highlight w:val="none"/>
                <w:lang w:val="en-US" w:eastAsia="en-US"/>
              </w:rPr>
              <w:t>芘、萘、锌、</w:t>
            </w:r>
            <w:r>
              <w:rPr>
                <w:rFonts w:hint="default"/>
                <w:highlight w:val="none"/>
                <w:lang w:val="en-US" w:eastAsia="en-US"/>
              </w:rPr>
              <w:t>pH</w:t>
            </w:r>
            <w:r>
              <w:rPr>
                <w:rFonts w:hint="eastAsia"/>
                <w:highlight w:val="none"/>
                <w:lang w:val="en-US" w:eastAsia="en-US"/>
              </w:rPr>
              <w:t>、石油烃</w:t>
            </w:r>
          </w:p>
        </w:tc>
      </w:tr>
      <w:tr w14:paraId="00172C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Merge w:val="continue"/>
            <w:vAlign w:val="center"/>
          </w:tcPr>
          <w:p w14:paraId="60A9D65D">
            <w:pPr>
              <w:pStyle w:val="8"/>
              <w:suppressLineNumbers w:val="0"/>
              <w:bidi w:val="0"/>
              <w:spacing w:before="0" w:beforeAutospacing="0" w:after="0" w:afterAutospacing="0"/>
              <w:ind w:left="0" w:right="0"/>
              <w:rPr>
                <w:rFonts w:hint="default"/>
                <w:highlight w:val="none"/>
              </w:rPr>
            </w:pPr>
          </w:p>
        </w:tc>
        <w:tc>
          <w:tcPr>
            <w:tcW w:w="1171" w:type="dxa"/>
            <w:vMerge w:val="continue"/>
            <w:vAlign w:val="center"/>
          </w:tcPr>
          <w:p w14:paraId="6FE008FF">
            <w:pPr>
              <w:pStyle w:val="8"/>
              <w:suppressLineNumbers w:val="0"/>
              <w:bidi w:val="0"/>
              <w:spacing w:before="0" w:beforeAutospacing="0" w:after="0" w:afterAutospacing="0"/>
              <w:ind w:left="0" w:right="0"/>
              <w:rPr>
                <w:rFonts w:hint="eastAsia"/>
                <w:highlight w:val="none"/>
                <w:lang w:val="en-US" w:eastAsia="zh-CN"/>
              </w:rPr>
            </w:pPr>
          </w:p>
        </w:tc>
        <w:tc>
          <w:tcPr>
            <w:tcW w:w="1318" w:type="dxa"/>
            <w:vAlign w:val="top"/>
          </w:tcPr>
          <w:p w14:paraId="067F5632">
            <w:pPr>
              <w:pStyle w:val="8"/>
              <w:suppressLineNumbers w:val="0"/>
              <w:bidi w:val="0"/>
              <w:spacing w:before="0" w:beforeAutospacing="0" w:after="0" w:afterAutospacing="0"/>
              <w:ind w:left="0" w:right="0"/>
              <w:rPr>
                <w:rFonts w:hint="eastAsia"/>
                <w:highlight w:val="none"/>
                <w:lang w:val="en-US" w:eastAsia="en-US"/>
              </w:rPr>
            </w:pPr>
            <w:r>
              <w:rPr>
                <w:rFonts w:hint="eastAsia"/>
                <w:highlight w:val="none"/>
                <w:lang w:val="en-US" w:eastAsia="en-US"/>
              </w:rPr>
              <w:t>影响评价</w:t>
            </w:r>
          </w:p>
        </w:tc>
        <w:tc>
          <w:tcPr>
            <w:tcW w:w="5183" w:type="dxa"/>
            <w:vAlign w:val="top"/>
          </w:tcPr>
          <w:p w14:paraId="20649E5A">
            <w:pPr>
              <w:pStyle w:val="8"/>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en-US"/>
              </w:rPr>
              <w:t>石油烃</w:t>
            </w:r>
          </w:p>
        </w:tc>
      </w:tr>
      <w:tr w14:paraId="58B435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Merge w:val="continue"/>
            <w:vAlign w:val="center"/>
          </w:tcPr>
          <w:p w14:paraId="044F010F">
            <w:pPr>
              <w:pStyle w:val="8"/>
              <w:suppressLineNumbers w:val="0"/>
              <w:bidi w:val="0"/>
              <w:spacing w:before="0" w:beforeAutospacing="0" w:after="0" w:afterAutospacing="0"/>
              <w:ind w:left="0" w:right="0"/>
              <w:rPr>
                <w:rFonts w:hint="default"/>
                <w:highlight w:val="none"/>
              </w:rPr>
            </w:pPr>
          </w:p>
        </w:tc>
        <w:tc>
          <w:tcPr>
            <w:tcW w:w="1171" w:type="dxa"/>
            <w:vAlign w:val="center"/>
          </w:tcPr>
          <w:p w14:paraId="48DF93C9">
            <w:pPr>
              <w:pStyle w:val="8"/>
              <w:suppressLineNumbers w:val="0"/>
              <w:bidi w:val="0"/>
              <w:spacing w:before="0" w:beforeAutospacing="0" w:after="0" w:afterAutospacing="0"/>
              <w:ind w:left="0" w:right="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en-US"/>
              </w:rPr>
              <w:t>环境风险</w:t>
            </w:r>
          </w:p>
        </w:tc>
        <w:tc>
          <w:tcPr>
            <w:tcW w:w="1318" w:type="dxa"/>
            <w:vAlign w:val="center"/>
          </w:tcPr>
          <w:p w14:paraId="23D6CDD2">
            <w:pPr>
              <w:pStyle w:val="8"/>
              <w:suppressLineNumbers w:val="0"/>
              <w:bidi w:val="0"/>
              <w:spacing w:before="0" w:beforeAutospacing="0" w:after="0" w:afterAutospacing="0"/>
              <w:ind w:left="0" w:right="0"/>
              <w:rPr>
                <w:rFonts w:hint="eastAsia" w:ascii="Times New Roman" w:hAnsi="Times New Roman" w:eastAsia="宋体" w:cs="Times New Roman"/>
                <w:highlight w:val="none"/>
                <w:lang w:val="en-US" w:eastAsia="en-US"/>
              </w:rPr>
            </w:pPr>
            <w:r>
              <w:rPr>
                <w:rFonts w:hint="eastAsia" w:ascii="Times New Roman" w:hAnsi="Times New Roman" w:eastAsia="宋体" w:cs="Times New Roman"/>
                <w:highlight w:val="none"/>
                <w:lang w:val="en-US" w:eastAsia="en-US"/>
              </w:rPr>
              <w:t>预测评价</w:t>
            </w:r>
          </w:p>
        </w:tc>
        <w:tc>
          <w:tcPr>
            <w:tcW w:w="5183" w:type="dxa"/>
            <w:vAlign w:val="center"/>
          </w:tcPr>
          <w:p w14:paraId="6CFFC681">
            <w:pPr>
              <w:pStyle w:val="8"/>
              <w:suppressLineNumbers w:val="0"/>
              <w:bidi w:val="0"/>
              <w:spacing w:before="0" w:beforeAutospacing="0" w:after="0" w:afterAutospacing="0"/>
              <w:ind w:left="0" w:right="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油类物质</w:t>
            </w:r>
          </w:p>
        </w:tc>
      </w:tr>
    </w:tbl>
    <w:p w14:paraId="4D0BC73D">
      <w:pPr>
        <w:wordWrap/>
        <w:adjustRightInd/>
        <w:snapToGrid/>
        <w:spacing w:line="240" w:lineRule="auto"/>
        <w:ind w:firstLine="0" w:firstLineChars="0"/>
        <w:rPr>
          <w:rFonts w:ascii="Times New Roman" w:cs="Times New Roman" w:hAnsiTheme="minorEastAsia" w:eastAsiaTheme="minorEastAsia"/>
          <w:bCs/>
          <w:spacing w:val="-4"/>
          <w:kern w:val="44"/>
          <w:sz w:val="21"/>
          <w:szCs w:val="21"/>
          <w:highlight w:val="none"/>
        </w:rPr>
      </w:pPr>
      <w:r>
        <w:rPr>
          <w:rFonts w:ascii="Times New Roman" w:cs="Times New Roman" w:hAnsiTheme="minorEastAsia" w:eastAsiaTheme="minorEastAsia"/>
          <w:bCs/>
          <w:spacing w:val="-4"/>
          <w:kern w:val="44"/>
          <w:sz w:val="21"/>
          <w:szCs w:val="21"/>
          <w:highlight w:val="none"/>
        </w:rPr>
        <w:t>注：根据《排污许可证申请与核发技术规范汽车制造业》（HJ971-2018）3.9中“在表征VOCs总体排放情况时，根据行业特征和环境管理要求，可采用总挥发性有机物（以TVOC表示）、非甲烷总烃（以NMHC表示）作为污染控制项目。本标准采用非甲烷总烃表征。汽车制造业大气污染物排放标准发布后，从其规定”。因此本项目产生的特征污染物VOCs以非甲烷总烃表征。</w:t>
      </w:r>
    </w:p>
    <w:p w14:paraId="4CDD2F11">
      <w:pPr>
        <w:rPr>
          <w:rFonts w:hAnsiTheme="minorEastAsia" w:eastAsiaTheme="minorEastAsia"/>
          <w:b/>
          <w:kern w:val="0"/>
          <w:sz w:val="24"/>
          <w:highlight w:val="none"/>
        </w:rPr>
      </w:pPr>
    </w:p>
    <w:p w14:paraId="737A6EF6">
      <w:pPr>
        <w:pStyle w:val="19"/>
        <w:rPr>
          <w:highlight w:val="none"/>
        </w:rPr>
      </w:pPr>
    </w:p>
    <w:p w14:paraId="37627207">
      <w:pPr>
        <w:pStyle w:val="4"/>
        <w:bidi w:val="0"/>
        <w:rPr>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bookmarkStart w:id="144" w:name="_Toc18324"/>
      <w:bookmarkStart w:id="145" w:name="_Toc15991632"/>
    </w:p>
    <w:p w14:paraId="65D067FB">
      <w:pPr>
        <w:pStyle w:val="4"/>
        <w:bidi w:val="0"/>
        <w:rPr>
          <w:highlight w:val="none"/>
        </w:rPr>
      </w:pPr>
      <w:bookmarkStart w:id="146" w:name="_Toc6919"/>
      <w:r>
        <w:rPr>
          <w:highlight w:val="none"/>
        </w:rPr>
        <w:t>2.3评价标准</w:t>
      </w:r>
      <w:bookmarkEnd w:id="144"/>
      <w:bookmarkEnd w:id="145"/>
      <w:bookmarkEnd w:id="146"/>
    </w:p>
    <w:p w14:paraId="09634507">
      <w:pPr>
        <w:pStyle w:val="5"/>
        <w:bidi w:val="0"/>
        <w:rPr>
          <w:highlight w:val="none"/>
        </w:rPr>
      </w:pPr>
      <w:bookmarkStart w:id="147" w:name="_Toc26299"/>
      <w:bookmarkStart w:id="148" w:name="_Toc23262"/>
      <w:r>
        <w:rPr>
          <w:highlight w:val="none"/>
        </w:rPr>
        <w:t>2.3.1环境质量标准</w:t>
      </w:r>
      <w:bookmarkEnd w:id="147"/>
      <w:bookmarkEnd w:id="148"/>
    </w:p>
    <w:p w14:paraId="318D14EF">
      <w:pPr>
        <w:widowControl/>
        <w:spacing w:line="360" w:lineRule="auto"/>
        <w:ind w:firstLine="480" w:firstLineChars="200"/>
        <w:contextualSpacing/>
        <w:jc w:val="left"/>
        <w:rPr>
          <w:rFonts w:eastAsiaTheme="minorEastAsia"/>
          <w:kern w:val="0"/>
          <w:sz w:val="24"/>
          <w:highlight w:val="none"/>
        </w:rPr>
      </w:pPr>
      <w:r>
        <w:rPr>
          <w:rFonts w:hAnsiTheme="minorEastAsia" w:eastAsiaTheme="minorEastAsia"/>
          <w:kern w:val="0"/>
          <w:sz w:val="24"/>
          <w:highlight w:val="none"/>
        </w:rPr>
        <w:t>环境质量标准见表</w:t>
      </w:r>
      <w:r>
        <w:rPr>
          <w:rFonts w:eastAsiaTheme="minorEastAsia"/>
          <w:kern w:val="0"/>
          <w:sz w:val="24"/>
          <w:highlight w:val="none"/>
        </w:rPr>
        <w:t>2-3-1</w:t>
      </w:r>
      <w:r>
        <w:rPr>
          <w:rFonts w:hAnsiTheme="minorEastAsia" w:eastAsiaTheme="minorEastAsia"/>
          <w:kern w:val="0"/>
          <w:sz w:val="24"/>
          <w:highlight w:val="none"/>
        </w:rPr>
        <w:t>。</w:t>
      </w:r>
    </w:p>
    <w:p w14:paraId="41219C95">
      <w:pPr>
        <w:pStyle w:val="7"/>
        <w:bidi w:val="0"/>
        <w:rPr>
          <w:highlight w:val="none"/>
        </w:rPr>
      </w:pPr>
      <w:r>
        <w:rPr>
          <w:highlight w:val="none"/>
        </w:rPr>
        <w:t>表2-3-1环境质量标准表</w:t>
      </w:r>
    </w:p>
    <w:tbl>
      <w:tblPr>
        <w:tblStyle w:val="44"/>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441"/>
        <w:gridCol w:w="1509"/>
        <w:gridCol w:w="1236"/>
        <w:gridCol w:w="1452"/>
        <w:gridCol w:w="1046"/>
      </w:tblGrid>
      <w:tr w14:paraId="30CD9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restart"/>
            <w:vAlign w:val="center"/>
          </w:tcPr>
          <w:p w14:paraId="1360B45E">
            <w:pPr>
              <w:pStyle w:val="8"/>
              <w:suppressLineNumbers w:val="0"/>
              <w:bidi w:val="0"/>
              <w:spacing w:before="0" w:beforeAutospacing="0" w:after="0" w:afterAutospacing="0"/>
              <w:ind w:left="0" w:right="0"/>
              <w:rPr>
                <w:rFonts w:hint="default"/>
                <w:highlight w:val="none"/>
              </w:rPr>
            </w:pPr>
            <w:r>
              <w:rPr>
                <w:rFonts w:hint="default"/>
                <w:highlight w:val="none"/>
              </w:rPr>
              <w:t>环境要素</w:t>
            </w:r>
          </w:p>
        </w:tc>
        <w:tc>
          <w:tcPr>
            <w:tcW w:w="2441" w:type="dxa"/>
            <w:vMerge w:val="restart"/>
            <w:vAlign w:val="center"/>
          </w:tcPr>
          <w:p w14:paraId="04AF549C">
            <w:pPr>
              <w:pStyle w:val="8"/>
              <w:suppressLineNumbers w:val="0"/>
              <w:bidi w:val="0"/>
              <w:spacing w:before="0" w:beforeAutospacing="0" w:after="0" w:afterAutospacing="0"/>
              <w:ind w:left="0" w:right="0"/>
              <w:rPr>
                <w:rFonts w:hint="default"/>
                <w:highlight w:val="none"/>
              </w:rPr>
            </w:pPr>
            <w:r>
              <w:rPr>
                <w:rFonts w:hint="default"/>
                <w:highlight w:val="none"/>
              </w:rPr>
              <w:t>标准名称及级（类）别</w:t>
            </w:r>
          </w:p>
        </w:tc>
        <w:tc>
          <w:tcPr>
            <w:tcW w:w="1509" w:type="dxa"/>
            <w:vMerge w:val="restart"/>
            <w:vAlign w:val="center"/>
          </w:tcPr>
          <w:p w14:paraId="49B348FC">
            <w:pPr>
              <w:pStyle w:val="8"/>
              <w:suppressLineNumbers w:val="0"/>
              <w:bidi w:val="0"/>
              <w:spacing w:before="0" w:beforeAutospacing="0" w:after="0" w:afterAutospacing="0"/>
              <w:ind w:left="0" w:right="0"/>
              <w:rPr>
                <w:rFonts w:hint="default"/>
                <w:highlight w:val="none"/>
              </w:rPr>
            </w:pPr>
            <w:r>
              <w:rPr>
                <w:rFonts w:hint="default"/>
                <w:highlight w:val="none"/>
              </w:rPr>
              <w:t>项目</w:t>
            </w:r>
          </w:p>
        </w:tc>
        <w:tc>
          <w:tcPr>
            <w:tcW w:w="3734" w:type="dxa"/>
            <w:gridSpan w:val="3"/>
            <w:vAlign w:val="center"/>
          </w:tcPr>
          <w:p w14:paraId="4C1804AD">
            <w:pPr>
              <w:pStyle w:val="8"/>
              <w:suppressLineNumbers w:val="0"/>
              <w:bidi w:val="0"/>
              <w:spacing w:before="0" w:beforeAutospacing="0" w:after="0" w:afterAutospacing="0"/>
              <w:ind w:left="0" w:right="0"/>
              <w:rPr>
                <w:rFonts w:hint="default"/>
                <w:highlight w:val="none"/>
              </w:rPr>
            </w:pPr>
            <w:r>
              <w:rPr>
                <w:rFonts w:hint="default"/>
                <w:highlight w:val="none"/>
              </w:rPr>
              <w:t>标准值</w:t>
            </w:r>
          </w:p>
        </w:tc>
      </w:tr>
      <w:tr w14:paraId="36B9C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57BB76EE">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7252909F">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13737DF0">
            <w:pPr>
              <w:pStyle w:val="8"/>
              <w:suppressLineNumbers w:val="0"/>
              <w:bidi w:val="0"/>
              <w:spacing w:before="0" w:beforeAutospacing="0" w:after="0" w:afterAutospacing="0"/>
              <w:ind w:left="0" w:right="0"/>
              <w:rPr>
                <w:rFonts w:hint="default"/>
                <w:highlight w:val="none"/>
              </w:rPr>
            </w:pPr>
          </w:p>
        </w:tc>
        <w:tc>
          <w:tcPr>
            <w:tcW w:w="1236" w:type="dxa"/>
            <w:vAlign w:val="center"/>
          </w:tcPr>
          <w:p w14:paraId="3C3DFC69">
            <w:pPr>
              <w:pStyle w:val="8"/>
              <w:suppressLineNumbers w:val="0"/>
              <w:bidi w:val="0"/>
              <w:spacing w:before="0" w:beforeAutospacing="0" w:after="0" w:afterAutospacing="0"/>
              <w:ind w:left="0" w:right="0"/>
              <w:rPr>
                <w:rFonts w:hint="default"/>
                <w:highlight w:val="none"/>
              </w:rPr>
            </w:pPr>
            <w:r>
              <w:rPr>
                <w:rFonts w:hint="default"/>
                <w:highlight w:val="none"/>
              </w:rPr>
              <w:t>单位</w:t>
            </w:r>
          </w:p>
        </w:tc>
        <w:tc>
          <w:tcPr>
            <w:tcW w:w="2498" w:type="dxa"/>
            <w:gridSpan w:val="2"/>
            <w:vAlign w:val="center"/>
          </w:tcPr>
          <w:p w14:paraId="7E372A83">
            <w:pPr>
              <w:pStyle w:val="8"/>
              <w:suppressLineNumbers w:val="0"/>
              <w:bidi w:val="0"/>
              <w:spacing w:before="0" w:beforeAutospacing="0" w:after="0" w:afterAutospacing="0"/>
              <w:ind w:left="0" w:right="0"/>
              <w:rPr>
                <w:rFonts w:hint="default"/>
                <w:highlight w:val="none"/>
              </w:rPr>
            </w:pPr>
            <w:r>
              <w:rPr>
                <w:rFonts w:hint="default"/>
                <w:highlight w:val="none"/>
              </w:rPr>
              <w:t>数值</w:t>
            </w:r>
          </w:p>
        </w:tc>
      </w:tr>
      <w:tr w14:paraId="56A01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restart"/>
            <w:vAlign w:val="center"/>
          </w:tcPr>
          <w:p w14:paraId="4654EC34">
            <w:pPr>
              <w:pStyle w:val="8"/>
              <w:suppressLineNumbers w:val="0"/>
              <w:bidi w:val="0"/>
              <w:spacing w:before="0" w:beforeAutospacing="0" w:after="0" w:afterAutospacing="0"/>
              <w:ind w:left="0" w:right="0"/>
              <w:rPr>
                <w:rFonts w:hint="default"/>
                <w:highlight w:val="none"/>
              </w:rPr>
            </w:pPr>
            <w:r>
              <w:rPr>
                <w:rFonts w:hint="default"/>
                <w:highlight w:val="none"/>
              </w:rPr>
              <w:t>环境空气</w:t>
            </w:r>
          </w:p>
        </w:tc>
        <w:tc>
          <w:tcPr>
            <w:tcW w:w="2441" w:type="dxa"/>
            <w:vMerge w:val="restart"/>
            <w:vAlign w:val="center"/>
          </w:tcPr>
          <w:p w14:paraId="0769B82D">
            <w:pPr>
              <w:pStyle w:val="8"/>
              <w:suppressLineNumbers w:val="0"/>
              <w:bidi w:val="0"/>
              <w:spacing w:before="0" w:beforeAutospacing="0" w:after="0" w:afterAutospacing="0"/>
              <w:ind w:left="0" w:right="0"/>
              <w:rPr>
                <w:rFonts w:hint="eastAsia" w:eastAsia="宋体"/>
                <w:highlight w:val="none"/>
                <w:lang w:eastAsia="zh-CN"/>
              </w:rPr>
            </w:pPr>
            <w:r>
              <w:rPr>
                <w:rFonts w:hint="default"/>
                <w:highlight w:val="none"/>
              </w:rPr>
              <w:t>《环境空气质量标准》（GB3095-20</w:t>
            </w:r>
            <w:r>
              <w:rPr>
                <w:rFonts w:hint="eastAsia"/>
                <w:highlight w:val="none"/>
                <w:lang w:val="en-US" w:eastAsia="zh-CN"/>
              </w:rPr>
              <w:t>26</w:t>
            </w:r>
            <w:r>
              <w:rPr>
                <w:rFonts w:hint="default"/>
                <w:highlight w:val="none"/>
              </w:rPr>
              <w:t>）</w:t>
            </w:r>
            <w:r>
              <w:rPr>
                <w:rFonts w:hint="eastAsia"/>
                <w:highlight w:val="none"/>
                <w:lang w:eastAsia="zh-CN"/>
              </w:rPr>
              <w:t>二级过渡阶段浓度限值</w:t>
            </w:r>
          </w:p>
        </w:tc>
        <w:tc>
          <w:tcPr>
            <w:tcW w:w="1509" w:type="dxa"/>
            <w:vMerge w:val="restart"/>
            <w:vAlign w:val="center"/>
          </w:tcPr>
          <w:p w14:paraId="5BC6FAB4">
            <w:pPr>
              <w:pStyle w:val="8"/>
              <w:suppressLineNumbers w:val="0"/>
              <w:bidi w:val="0"/>
              <w:spacing w:before="0" w:beforeAutospacing="0" w:after="0" w:afterAutospacing="0"/>
              <w:ind w:left="0" w:right="0"/>
              <w:rPr>
                <w:rFonts w:hint="default"/>
                <w:highlight w:val="none"/>
              </w:rPr>
            </w:pPr>
            <w:r>
              <w:rPr>
                <w:rFonts w:hint="default"/>
                <w:highlight w:val="none"/>
              </w:rPr>
              <w:t>PM</w:t>
            </w:r>
            <w:r>
              <w:rPr>
                <w:rFonts w:hint="default"/>
                <w:highlight w:val="none"/>
                <w:vertAlign w:val="subscript"/>
              </w:rPr>
              <w:t>10</w:t>
            </w:r>
          </w:p>
        </w:tc>
        <w:tc>
          <w:tcPr>
            <w:tcW w:w="1236" w:type="dxa"/>
            <w:vMerge w:val="restart"/>
            <w:vAlign w:val="center"/>
          </w:tcPr>
          <w:p w14:paraId="641F1AC4">
            <w:pPr>
              <w:pStyle w:val="8"/>
              <w:suppressLineNumbers w:val="0"/>
              <w:bidi w:val="0"/>
              <w:spacing w:before="0" w:beforeAutospacing="0" w:after="0" w:afterAutospacing="0"/>
              <w:ind w:left="0" w:right="0"/>
              <w:rPr>
                <w:rFonts w:hint="default"/>
                <w:highlight w:val="none"/>
              </w:rPr>
            </w:pPr>
            <w:r>
              <w:rPr>
                <w:rFonts w:hint="default"/>
                <w:highlight w:val="none"/>
              </w:rPr>
              <w:t>μg/m</w:t>
            </w:r>
            <w:r>
              <w:rPr>
                <w:rFonts w:hint="default"/>
                <w:highlight w:val="none"/>
                <w:vertAlign w:val="superscript"/>
              </w:rPr>
              <w:t>3</w:t>
            </w:r>
          </w:p>
          <w:p w14:paraId="1E5CC070">
            <w:pPr>
              <w:pStyle w:val="8"/>
              <w:suppressLineNumbers w:val="0"/>
              <w:bidi w:val="0"/>
              <w:spacing w:before="0" w:beforeAutospacing="0" w:after="0" w:afterAutospacing="0"/>
              <w:ind w:left="0" w:right="0"/>
              <w:rPr>
                <w:rFonts w:hint="eastAsia" w:eastAsia="宋体"/>
                <w:highlight w:val="none"/>
                <w:lang w:eastAsia="zh-CN"/>
              </w:rPr>
            </w:pPr>
          </w:p>
        </w:tc>
        <w:tc>
          <w:tcPr>
            <w:tcW w:w="1452" w:type="dxa"/>
            <w:vAlign w:val="center"/>
          </w:tcPr>
          <w:p w14:paraId="056B5E67">
            <w:pPr>
              <w:pStyle w:val="8"/>
              <w:suppressLineNumbers w:val="0"/>
              <w:bidi w:val="0"/>
              <w:spacing w:before="0" w:beforeAutospacing="0" w:after="0" w:afterAutospacing="0"/>
              <w:ind w:left="0" w:right="0"/>
              <w:rPr>
                <w:rFonts w:hint="default"/>
                <w:highlight w:val="none"/>
              </w:rPr>
            </w:pPr>
            <w:r>
              <w:rPr>
                <w:rFonts w:hint="default"/>
                <w:highlight w:val="none"/>
              </w:rPr>
              <w:t>24小时平均</w:t>
            </w:r>
          </w:p>
        </w:tc>
        <w:tc>
          <w:tcPr>
            <w:tcW w:w="1046" w:type="dxa"/>
            <w:vAlign w:val="center"/>
          </w:tcPr>
          <w:p w14:paraId="6D802AB4">
            <w:pPr>
              <w:pStyle w:val="8"/>
              <w:suppressLineNumbers w:val="0"/>
              <w:bidi w:val="0"/>
              <w:spacing w:before="0" w:beforeAutospacing="0" w:after="0" w:afterAutospacing="0"/>
              <w:ind w:left="0" w:right="0"/>
              <w:rPr>
                <w:rFonts w:hint="default"/>
                <w:highlight w:val="none"/>
              </w:rPr>
            </w:pPr>
            <w:r>
              <w:rPr>
                <w:rFonts w:hint="default"/>
                <w:highlight w:val="none"/>
              </w:rPr>
              <w:t>1</w:t>
            </w:r>
            <w:r>
              <w:rPr>
                <w:rFonts w:hint="eastAsia"/>
                <w:highlight w:val="none"/>
                <w:lang w:val="en-US" w:eastAsia="zh-CN"/>
              </w:rPr>
              <w:t>2</w:t>
            </w:r>
            <w:r>
              <w:rPr>
                <w:rFonts w:hint="default"/>
                <w:highlight w:val="none"/>
              </w:rPr>
              <w:t>0</w:t>
            </w:r>
          </w:p>
        </w:tc>
      </w:tr>
      <w:tr w14:paraId="13509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23A7288C">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72BBAA1F">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1977B8E6">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10D0FBEA">
            <w:pPr>
              <w:pStyle w:val="8"/>
              <w:suppressLineNumbers w:val="0"/>
              <w:bidi w:val="0"/>
              <w:spacing w:before="0" w:beforeAutospacing="0" w:after="0" w:afterAutospacing="0"/>
              <w:ind w:left="0" w:right="0"/>
              <w:rPr>
                <w:rFonts w:hint="default"/>
                <w:highlight w:val="none"/>
              </w:rPr>
            </w:pPr>
          </w:p>
        </w:tc>
        <w:tc>
          <w:tcPr>
            <w:tcW w:w="1452" w:type="dxa"/>
            <w:vAlign w:val="center"/>
          </w:tcPr>
          <w:p w14:paraId="26CE5FCF">
            <w:pPr>
              <w:pStyle w:val="8"/>
              <w:suppressLineNumbers w:val="0"/>
              <w:bidi w:val="0"/>
              <w:spacing w:before="0" w:beforeAutospacing="0" w:after="0" w:afterAutospacing="0"/>
              <w:ind w:left="0" w:right="0"/>
              <w:rPr>
                <w:rFonts w:hint="default"/>
                <w:highlight w:val="none"/>
              </w:rPr>
            </w:pPr>
            <w:r>
              <w:rPr>
                <w:rFonts w:hint="default"/>
                <w:highlight w:val="none"/>
              </w:rPr>
              <w:t>年平均</w:t>
            </w:r>
          </w:p>
        </w:tc>
        <w:tc>
          <w:tcPr>
            <w:tcW w:w="1046" w:type="dxa"/>
            <w:vAlign w:val="center"/>
          </w:tcPr>
          <w:p w14:paraId="66E255D3">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60</w:t>
            </w:r>
          </w:p>
        </w:tc>
      </w:tr>
      <w:tr w14:paraId="50C0D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4313416A">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6D182170">
            <w:pPr>
              <w:pStyle w:val="8"/>
              <w:suppressLineNumbers w:val="0"/>
              <w:bidi w:val="0"/>
              <w:spacing w:before="0" w:beforeAutospacing="0" w:after="0" w:afterAutospacing="0"/>
              <w:ind w:left="0" w:right="0"/>
              <w:rPr>
                <w:rFonts w:hint="default"/>
                <w:highlight w:val="none"/>
              </w:rPr>
            </w:pPr>
          </w:p>
        </w:tc>
        <w:tc>
          <w:tcPr>
            <w:tcW w:w="1509" w:type="dxa"/>
            <w:vMerge w:val="restart"/>
            <w:vAlign w:val="center"/>
          </w:tcPr>
          <w:p w14:paraId="462D58C2">
            <w:pPr>
              <w:pStyle w:val="8"/>
              <w:suppressLineNumbers w:val="0"/>
              <w:bidi w:val="0"/>
              <w:spacing w:before="0" w:beforeAutospacing="0" w:after="0" w:afterAutospacing="0"/>
              <w:ind w:left="0" w:right="0"/>
              <w:rPr>
                <w:rFonts w:hint="default"/>
                <w:highlight w:val="none"/>
              </w:rPr>
            </w:pPr>
            <w:r>
              <w:rPr>
                <w:rFonts w:hint="default"/>
                <w:highlight w:val="none"/>
              </w:rPr>
              <w:t>PM</w:t>
            </w:r>
            <w:r>
              <w:rPr>
                <w:rFonts w:hint="default"/>
                <w:highlight w:val="none"/>
                <w:vertAlign w:val="subscript"/>
              </w:rPr>
              <w:t>2.5</w:t>
            </w:r>
          </w:p>
        </w:tc>
        <w:tc>
          <w:tcPr>
            <w:tcW w:w="1236" w:type="dxa"/>
            <w:vMerge w:val="continue"/>
            <w:vAlign w:val="center"/>
          </w:tcPr>
          <w:p w14:paraId="076E1B73">
            <w:pPr>
              <w:pStyle w:val="8"/>
              <w:suppressLineNumbers w:val="0"/>
              <w:bidi w:val="0"/>
              <w:spacing w:before="0" w:beforeAutospacing="0" w:after="0" w:afterAutospacing="0"/>
              <w:ind w:left="0" w:right="0"/>
              <w:rPr>
                <w:rFonts w:hint="default"/>
                <w:highlight w:val="none"/>
              </w:rPr>
            </w:pPr>
          </w:p>
        </w:tc>
        <w:tc>
          <w:tcPr>
            <w:tcW w:w="1452" w:type="dxa"/>
            <w:vAlign w:val="center"/>
          </w:tcPr>
          <w:p w14:paraId="6272BADC">
            <w:pPr>
              <w:pStyle w:val="8"/>
              <w:suppressLineNumbers w:val="0"/>
              <w:bidi w:val="0"/>
              <w:spacing w:before="0" w:beforeAutospacing="0" w:after="0" w:afterAutospacing="0"/>
              <w:ind w:left="0" w:right="0"/>
              <w:rPr>
                <w:rFonts w:hint="default"/>
                <w:highlight w:val="none"/>
              </w:rPr>
            </w:pPr>
            <w:r>
              <w:rPr>
                <w:rFonts w:hint="default"/>
                <w:highlight w:val="none"/>
              </w:rPr>
              <w:t>24小时平均</w:t>
            </w:r>
          </w:p>
        </w:tc>
        <w:tc>
          <w:tcPr>
            <w:tcW w:w="1046" w:type="dxa"/>
            <w:vAlign w:val="center"/>
          </w:tcPr>
          <w:p w14:paraId="15D47999">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60</w:t>
            </w:r>
          </w:p>
        </w:tc>
      </w:tr>
      <w:tr w14:paraId="68F9C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47F63E24">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1981BB17">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38289C87">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3DE53831">
            <w:pPr>
              <w:pStyle w:val="8"/>
              <w:suppressLineNumbers w:val="0"/>
              <w:bidi w:val="0"/>
              <w:spacing w:before="0" w:beforeAutospacing="0" w:after="0" w:afterAutospacing="0"/>
              <w:ind w:left="0" w:right="0"/>
              <w:rPr>
                <w:rFonts w:hint="default"/>
                <w:highlight w:val="none"/>
              </w:rPr>
            </w:pPr>
          </w:p>
        </w:tc>
        <w:tc>
          <w:tcPr>
            <w:tcW w:w="1452" w:type="dxa"/>
            <w:vAlign w:val="center"/>
          </w:tcPr>
          <w:p w14:paraId="0C0FDE05">
            <w:pPr>
              <w:pStyle w:val="8"/>
              <w:suppressLineNumbers w:val="0"/>
              <w:bidi w:val="0"/>
              <w:spacing w:before="0" w:beforeAutospacing="0" w:after="0" w:afterAutospacing="0"/>
              <w:ind w:left="0" w:right="0"/>
              <w:rPr>
                <w:rFonts w:hint="default"/>
                <w:highlight w:val="none"/>
              </w:rPr>
            </w:pPr>
            <w:r>
              <w:rPr>
                <w:rFonts w:hint="default"/>
                <w:highlight w:val="none"/>
              </w:rPr>
              <w:t>年平均</w:t>
            </w:r>
          </w:p>
        </w:tc>
        <w:tc>
          <w:tcPr>
            <w:tcW w:w="1046" w:type="dxa"/>
            <w:vAlign w:val="center"/>
          </w:tcPr>
          <w:p w14:paraId="7F79189F">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30</w:t>
            </w:r>
          </w:p>
        </w:tc>
      </w:tr>
      <w:tr w14:paraId="57600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1593FF7B">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27FDED9F">
            <w:pPr>
              <w:pStyle w:val="8"/>
              <w:suppressLineNumbers w:val="0"/>
              <w:bidi w:val="0"/>
              <w:spacing w:before="0" w:beforeAutospacing="0" w:after="0" w:afterAutospacing="0"/>
              <w:ind w:left="0" w:right="0"/>
              <w:rPr>
                <w:rFonts w:hint="default"/>
                <w:highlight w:val="none"/>
              </w:rPr>
            </w:pPr>
          </w:p>
        </w:tc>
        <w:tc>
          <w:tcPr>
            <w:tcW w:w="1509" w:type="dxa"/>
            <w:vMerge w:val="restart"/>
            <w:vAlign w:val="center"/>
          </w:tcPr>
          <w:p w14:paraId="7F2F9718">
            <w:pPr>
              <w:pStyle w:val="8"/>
              <w:suppressLineNumbers w:val="0"/>
              <w:bidi w:val="0"/>
              <w:spacing w:before="0" w:beforeAutospacing="0" w:after="0" w:afterAutospacing="0"/>
              <w:ind w:left="0" w:right="0"/>
              <w:rPr>
                <w:rFonts w:hint="default"/>
                <w:highlight w:val="none"/>
              </w:rPr>
            </w:pPr>
            <w:r>
              <w:rPr>
                <w:rFonts w:hint="default"/>
                <w:highlight w:val="none"/>
              </w:rPr>
              <w:t>TSP</w:t>
            </w:r>
          </w:p>
        </w:tc>
        <w:tc>
          <w:tcPr>
            <w:tcW w:w="1236" w:type="dxa"/>
            <w:vMerge w:val="continue"/>
            <w:vAlign w:val="center"/>
          </w:tcPr>
          <w:p w14:paraId="380F1859">
            <w:pPr>
              <w:pStyle w:val="8"/>
              <w:suppressLineNumbers w:val="0"/>
              <w:bidi w:val="0"/>
              <w:spacing w:before="0" w:beforeAutospacing="0" w:after="0" w:afterAutospacing="0"/>
              <w:ind w:left="0" w:right="0"/>
              <w:rPr>
                <w:rFonts w:hint="default"/>
                <w:highlight w:val="none"/>
              </w:rPr>
            </w:pPr>
          </w:p>
        </w:tc>
        <w:tc>
          <w:tcPr>
            <w:tcW w:w="1452" w:type="dxa"/>
            <w:vAlign w:val="center"/>
          </w:tcPr>
          <w:p w14:paraId="2EBCAEB2">
            <w:pPr>
              <w:pStyle w:val="8"/>
              <w:suppressLineNumbers w:val="0"/>
              <w:bidi w:val="0"/>
              <w:spacing w:before="0" w:beforeAutospacing="0" w:after="0" w:afterAutospacing="0"/>
              <w:ind w:left="0" w:right="0"/>
              <w:rPr>
                <w:rFonts w:hint="default"/>
                <w:highlight w:val="none"/>
              </w:rPr>
            </w:pPr>
            <w:r>
              <w:rPr>
                <w:rFonts w:hint="default"/>
                <w:highlight w:val="none"/>
              </w:rPr>
              <w:t>24小时平均</w:t>
            </w:r>
          </w:p>
        </w:tc>
        <w:tc>
          <w:tcPr>
            <w:tcW w:w="1046" w:type="dxa"/>
            <w:vAlign w:val="center"/>
          </w:tcPr>
          <w:p w14:paraId="7773E722">
            <w:pPr>
              <w:pStyle w:val="8"/>
              <w:suppressLineNumbers w:val="0"/>
              <w:bidi w:val="0"/>
              <w:spacing w:before="0" w:beforeAutospacing="0" w:after="0" w:afterAutospacing="0"/>
              <w:ind w:left="0" w:right="0"/>
              <w:rPr>
                <w:rFonts w:hint="default"/>
                <w:highlight w:val="none"/>
              </w:rPr>
            </w:pPr>
            <w:r>
              <w:rPr>
                <w:rFonts w:hint="default"/>
                <w:highlight w:val="none"/>
              </w:rPr>
              <w:t>300</w:t>
            </w:r>
          </w:p>
        </w:tc>
      </w:tr>
      <w:tr w14:paraId="1A801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0DE37931">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02DF9111">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0E8A4A84">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4E70AB28">
            <w:pPr>
              <w:pStyle w:val="8"/>
              <w:suppressLineNumbers w:val="0"/>
              <w:bidi w:val="0"/>
              <w:spacing w:before="0" w:beforeAutospacing="0" w:after="0" w:afterAutospacing="0"/>
              <w:ind w:left="0" w:right="0"/>
              <w:rPr>
                <w:rFonts w:hint="default"/>
                <w:highlight w:val="none"/>
              </w:rPr>
            </w:pPr>
          </w:p>
        </w:tc>
        <w:tc>
          <w:tcPr>
            <w:tcW w:w="1452" w:type="dxa"/>
            <w:vAlign w:val="center"/>
          </w:tcPr>
          <w:p w14:paraId="5000E991">
            <w:pPr>
              <w:pStyle w:val="8"/>
              <w:suppressLineNumbers w:val="0"/>
              <w:bidi w:val="0"/>
              <w:spacing w:before="0" w:beforeAutospacing="0" w:after="0" w:afterAutospacing="0"/>
              <w:ind w:left="0" w:right="0"/>
              <w:rPr>
                <w:rFonts w:hint="default"/>
                <w:highlight w:val="none"/>
              </w:rPr>
            </w:pPr>
            <w:r>
              <w:rPr>
                <w:rFonts w:hint="default"/>
                <w:highlight w:val="none"/>
              </w:rPr>
              <w:t>年平均</w:t>
            </w:r>
          </w:p>
        </w:tc>
        <w:tc>
          <w:tcPr>
            <w:tcW w:w="1046" w:type="dxa"/>
            <w:vAlign w:val="center"/>
          </w:tcPr>
          <w:p w14:paraId="4BF18330">
            <w:pPr>
              <w:pStyle w:val="8"/>
              <w:suppressLineNumbers w:val="0"/>
              <w:bidi w:val="0"/>
              <w:spacing w:before="0" w:beforeAutospacing="0" w:after="0" w:afterAutospacing="0"/>
              <w:ind w:left="0" w:right="0"/>
              <w:rPr>
                <w:rFonts w:hint="default"/>
                <w:highlight w:val="none"/>
              </w:rPr>
            </w:pPr>
            <w:r>
              <w:rPr>
                <w:rFonts w:hint="default"/>
                <w:highlight w:val="none"/>
              </w:rPr>
              <w:t>200</w:t>
            </w:r>
          </w:p>
        </w:tc>
      </w:tr>
      <w:tr w14:paraId="0022D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316FDE94">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3B97EA4C">
            <w:pPr>
              <w:pStyle w:val="8"/>
              <w:suppressLineNumbers w:val="0"/>
              <w:bidi w:val="0"/>
              <w:spacing w:before="0" w:beforeAutospacing="0" w:after="0" w:afterAutospacing="0"/>
              <w:ind w:left="0" w:right="0"/>
              <w:rPr>
                <w:rFonts w:hint="default"/>
                <w:highlight w:val="none"/>
              </w:rPr>
            </w:pPr>
          </w:p>
        </w:tc>
        <w:tc>
          <w:tcPr>
            <w:tcW w:w="1509" w:type="dxa"/>
            <w:vMerge w:val="restart"/>
            <w:vAlign w:val="center"/>
          </w:tcPr>
          <w:p w14:paraId="24BBAFDF">
            <w:pPr>
              <w:pStyle w:val="8"/>
              <w:suppressLineNumbers w:val="0"/>
              <w:bidi w:val="0"/>
              <w:spacing w:before="0" w:beforeAutospacing="0" w:after="0" w:afterAutospacing="0"/>
              <w:ind w:left="0" w:right="0"/>
              <w:rPr>
                <w:rFonts w:hint="default"/>
                <w:highlight w:val="none"/>
              </w:rPr>
            </w:pPr>
            <w:r>
              <w:rPr>
                <w:rFonts w:hint="default"/>
                <w:highlight w:val="none"/>
              </w:rPr>
              <w:t>NO</w:t>
            </w:r>
            <w:r>
              <w:rPr>
                <w:rFonts w:hint="default"/>
                <w:highlight w:val="none"/>
                <w:vertAlign w:val="subscript"/>
              </w:rPr>
              <w:t>2</w:t>
            </w:r>
          </w:p>
        </w:tc>
        <w:tc>
          <w:tcPr>
            <w:tcW w:w="1236" w:type="dxa"/>
            <w:vMerge w:val="continue"/>
            <w:vAlign w:val="center"/>
          </w:tcPr>
          <w:p w14:paraId="4219F32A">
            <w:pPr>
              <w:pStyle w:val="8"/>
              <w:suppressLineNumbers w:val="0"/>
              <w:bidi w:val="0"/>
              <w:spacing w:before="0" w:beforeAutospacing="0" w:after="0" w:afterAutospacing="0"/>
              <w:ind w:left="0" w:right="0"/>
              <w:rPr>
                <w:rFonts w:hint="default"/>
                <w:highlight w:val="none"/>
              </w:rPr>
            </w:pPr>
          </w:p>
        </w:tc>
        <w:tc>
          <w:tcPr>
            <w:tcW w:w="1452" w:type="dxa"/>
            <w:vAlign w:val="center"/>
          </w:tcPr>
          <w:p w14:paraId="1444CE66">
            <w:pPr>
              <w:pStyle w:val="8"/>
              <w:suppressLineNumbers w:val="0"/>
              <w:bidi w:val="0"/>
              <w:spacing w:before="0" w:beforeAutospacing="0" w:after="0" w:afterAutospacing="0"/>
              <w:ind w:left="0" w:right="0"/>
              <w:rPr>
                <w:rFonts w:hint="default"/>
                <w:highlight w:val="none"/>
              </w:rPr>
            </w:pPr>
            <w:r>
              <w:rPr>
                <w:rFonts w:hint="default"/>
                <w:highlight w:val="none"/>
              </w:rPr>
              <w:t>1小时平均</w:t>
            </w:r>
          </w:p>
        </w:tc>
        <w:tc>
          <w:tcPr>
            <w:tcW w:w="1046" w:type="dxa"/>
            <w:vAlign w:val="center"/>
          </w:tcPr>
          <w:p w14:paraId="5C90A158">
            <w:pPr>
              <w:pStyle w:val="8"/>
              <w:suppressLineNumbers w:val="0"/>
              <w:bidi w:val="0"/>
              <w:spacing w:before="0" w:beforeAutospacing="0" w:after="0" w:afterAutospacing="0"/>
              <w:ind w:left="0" w:right="0"/>
              <w:rPr>
                <w:rFonts w:hint="default"/>
                <w:highlight w:val="none"/>
              </w:rPr>
            </w:pPr>
            <w:r>
              <w:rPr>
                <w:rFonts w:hint="default"/>
                <w:highlight w:val="none"/>
              </w:rPr>
              <w:t>200</w:t>
            </w:r>
          </w:p>
        </w:tc>
      </w:tr>
      <w:tr w14:paraId="7BEA7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4789FAFF">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241C8A0B">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73980191">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37F6F448">
            <w:pPr>
              <w:pStyle w:val="8"/>
              <w:suppressLineNumbers w:val="0"/>
              <w:bidi w:val="0"/>
              <w:spacing w:before="0" w:beforeAutospacing="0" w:after="0" w:afterAutospacing="0"/>
              <w:ind w:left="0" w:right="0"/>
              <w:rPr>
                <w:rFonts w:hint="default"/>
                <w:highlight w:val="none"/>
              </w:rPr>
            </w:pPr>
          </w:p>
        </w:tc>
        <w:tc>
          <w:tcPr>
            <w:tcW w:w="1452" w:type="dxa"/>
            <w:vAlign w:val="center"/>
          </w:tcPr>
          <w:p w14:paraId="6BE3F7DC">
            <w:pPr>
              <w:pStyle w:val="8"/>
              <w:suppressLineNumbers w:val="0"/>
              <w:bidi w:val="0"/>
              <w:spacing w:before="0" w:beforeAutospacing="0" w:after="0" w:afterAutospacing="0"/>
              <w:ind w:left="0" w:right="0"/>
              <w:rPr>
                <w:rFonts w:hint="default"/>
                <w:highlight w:val="none"/>
              </w:rPr>
            </w:pPr>
            <w:r>
              <w:rPr>
                <w:rFonts w:hint="default"/>
                <w:highlight w:val="none"/>
              </w:rPr>
              <w:t>24小时平均</w:t>
            </w:r>
          </w:p>
        </w:tc>
        <w:tc>
          <w:tcPr>
            <w:tcW w:w="1046" w:type="dxa"/>
            <w:vAlign w:val="center"/>
          </w:tcPr>
          <w:p w14:paraId="06E9851F">
            <w:pPr>
              <w:pStyle w:val="8"/>
              <w:suppressLineNumbers w:val="0"/>
              <w:bidi w:val="0"/>
              <w:spacing w:before="0" w:beforeAutospacing="0" w:after="0" w:afterAutospacing="0"/>
              <w:ind w:left="0" w:right="0"/>
              <w:rPr>
                <w:rFonts w:hint="default"/>
                <w:highlight w:val="none"/>
              </w:rPr>
            </w:pPr>
            <w:r>
              <w:rPr>
                <w:rFonts w:hint="default"/>
                <w:highlight w:val="none"/>
              </w:rPr>
              <w:t>80</w:t>
            </w:r>
          </w:p>
        </w:tc>
      </w:tr>
      <w:tr w14:paraId="205DC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62251EE1">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3D42B64B">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65E37754">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391BB43C">
            <w:pPr>
              <w:pStyle w:val="8"/>
              <w:suppressLineNumbers w:val="0"/>
              <w:bidi w:val="0"/>
              <w:spacing w:before="0" w:beforeAutospacing="0" w:after="0" w:afterAutospacing="0"/>
              <w:ind w:left="0" w:right="0"/>
              <w:rPr>
                <w:rFonts w:hint="default"/>
                <w:highlight w:val="none"/>
              </w:rPr>
            </w:pPr>
          </w:p>
        </w:tc>
        <w:tc>
          <w:tcPr>
            <w:tcW w:w="1452" w:type="dxa"/>
            <w:vAlign w:val="center"/>
          </w:tcPr>
          <w:p w14:paraId="41E9305B">
            <w:pPr>
              <w:pStyle w:val="8"/>
              <w:suppressLineNumbers w:val="0"/>
              <w:bidi w:val="0"/>
              <w:spacing w:before="0" w:beforeAutospacing="0" w:after="0" w:afterAutospacing="0"/>
              <w:ind w:left="0" w:right="0"/>
              <w:rPr>
                <w:rFonts w:hint="default"/>
                <w:highlight w:val="none"/>
              </w:rPr>
            </w:pPr>
            <w:r>
              <w:rPr>
                <w:rFonts w:hint="default"/>
                <w:highlight w:val="none"/>
              </w:rPr>
              <w:t>年平均</w:t>
            </w:r>
          </w:p>
        </w:tc>
        <w:tc>
          <w:tcPr>
            <w:tcW w:w="1046" w:type="dxa"/>
            <w:vAlign w:val="center"/>
          </w:tcPr>
          <w:p w14:paraId="13D4D32A">
            <w:pPr>
              <w:pStyle w:val="8"/>
              <w:suppressLineNumbers w:val="0"/>
              <w:bidi w:val="0"/>
              <w:spacing w:before="0" w:beforeAutospacing="0" w:after="0" w:afterAutospacing="0"/>
              <w:ind w:left="0" w:right="0"/>
              <w:rPr>
                <w:rFonts w:hint="default"/>
                <w:highlight w:val="none"/>
              </w:rPr>
            </w:pPr>
            <w:r>
              <w:rPr>
                <w:rFonts w:hint="default"/>
                <w:highlight w:val="none"/>
              </w:rPr>
              <w:t>40</w:t>
            </w:r>
          </w:p>
        </w:tc>
      </w:tr>
      <w:tr w14:paraId="3CAD4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222B675F">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6C4C8C02">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127B0CB0">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598EEB05">
            <w:pPr>
              <w:pStyle w:val="8"/>
              <w:suppressLineNumbers w:val="0"/>
              <w:bidi w:val="0"/>
              <w:spacing w:before="0" w:beforeAutospacing="0" w:after="0" w:afterAutospacing="0"/>
              <w:ind w:left="0" w:right="0"/>
              <w:rPr>
                <w:rFonts w:hint="default"/>
                <w:highlight w:val="none"/>
              </w:rPr>
            </w:pPr>
          </w:p>
        </w:tc>
        <w:tc>
          <w:tcPr>
            <w:tcW w:w="1452" w:type="dxa"/>
          </w:tcPr>
          <w:p w14:paraId="22E587A0">
            <w:pPr>
              <w:pStyle w:val="8"/>
              <w:suppressLineNumbers w:val="0"/>
              <w:bidi w:val="0"/>
              <w:spacing w:before="0" w:beforeAutospacing="0" w:after="0" w:afterAutospacing="0"/>
              <w:ind w:left="0" w:right="0"/>
              <w:rPr>
                <w:rFonts w:hint="default"/>
                <w:highlight w:val="none"/>
              </w:rPr>
            </w:pPr>
            <w:r>
              <w:rPr>
                <w:rFonts w:hint="default"/>
                <w:highlight w:val="none"/>
              </w:rPr>
              <w:t>24小时平均</w:t>
            </w:r>
          </w:p>
        </w:tc>
        <w:tc>
          <w:tcPr>
            <w:tcW w:w="1046" w:type="dxa"/>
            <w:vAlign w:val="center"/>
          </w:tcPr>
          <w:p w14:paraId="4D78F785">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80</w:t>
            </w:r>
          </w:p>
        </w:tc>
      </w:tr>
      <w:tr w14:paraId="65F07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0C3DD381">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0505ED1F">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7BD8F66E">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5D0076C4">
            <w:pPr>
              <w:pStyle w:val="8"/>
              <w:suppressLineNumbers w:val="0"/>
              <w:bidi w:val="0"/>
              <w:spacing w:before="0" w:beforeAutospacing="0" w:after="0" w:afterAutospacing="0"/>
              <w:ind w:left="0" w:right="0"/>
              <w:rPr>
                <w:rFonts w:hint="default"/>
                <w:highlight w:val="none"/>
              </w:rPr>
            </w:pPr>
          </w:p>
        </w:tc>
        <w:tc>
          <w:tcPr>
            <w:tcW w:w="1452" w:type="dxa"/>
          </w:tcPr>
          <w:p w14:paraId="0E2E97F2">
            <w:pPr>
              <w:pStyle w:val="8"/>
              <w:suppressLineNumbers w:val="0"/>
              <w:bidi w:val="0"/>
              <w:spacing w:before="0" w:beforeAutospacing="0" w:after="0" w:afterAutospacing="0"/>
              <w:ind w:left="0" w:right="0"/>
              <w:rPr>
                <w:rFonts w:hint="default"/>
                <w:highlight w:val="none"/>
              </w:rPr>
            </w:pPr>
            <w:r>
              <w:rPr>
                <w:rFonts w:hint="eastAsia"/>
                <w:highlight w:val="none"/>
              </w:rPr>
              <w:t>年平均</w:t>
            </w:r>
          </w:p>
        </w:tc>
        <w:tc>
          <w:tcPr>
            <w:tcW w:w="1046" w:type="dxa"/>
            <w:vAlign w:val="center"/>
          </w:tcPr>
          <w:p w14:paraId="33A5928D">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40</w:t>
            </w:r>
          </w:p>
        </w:tc>
      </w:tr>
      <w:tr w14:paraId="22A0E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593A0E4A">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2304C511">
            <w:pPr>
              <w:pStyle w:val="8"/>
              <w:suppressLineNumbers w:val="0"/>
              <w:bidi w:val="0"/>
              <w:spacing w:before="0" w:beforeAutospacing="0" w:after="0" w:afterAutospacing="0"/>
              <w:ind w:left="0" w:right="0"/>
              <w:rPr>
                <w:rFonts w:hint="default"/>
                <w:highlight w:val="none"/>
              </w:rPr>
            </w:pPr>
          </w:p>
        </w:tc>
        <w:tc>
          <w:tcPr>
            <w:tcW w:w="1509" w:type="dxa"/>
            <w:vMerge w:val="restart"/>
            <w:vAlign w:val="center"/>
          </w:tcPr>
          <w:p w14:paraId="2F9A8412">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CO</w:t>
            </w:r>
          </w:p>
        </w:tc>
        <w:tc>
          <w:tcPr>
            <w:tcW w:w="1236" w:type="dxa"/>
            <w:vMerge w:val="continue"/>
            <w:vAlign w:val="center"/>
          </w:tcPr>
          <w:p w14:paraId="399661F8">
            <w:pPr>
              <w:pStyle w:val="8"/>
              <w:suppressLineNumbers w:val="0"/>
              <w:bidi w:val="0"/>
              <w:spacing w:before="0" w:beforeAutospacing="0" w:after="0" w:afterAutospacing="0"/>
              <w:ind w:left="0" w:right="0"/>
              <w:rPr>
                <w:rFonts w:hint="default"/>
                <w:highlight w:val="none"/>
              </w:rPr>
            </w:pPr>
          </w:p>
        </w:tc>
        <w:tc>
          <w:tcPr>
            <w:tcW w:w="1452" w:type="dxa"/>
            <w:vAlign w:val="center"/>
          </w:tcPr>
          <w:p w14:paraId="23A5761D">
            <w:pPr>
              <w:pStyle w:val="8"/>
              <w:suppressLineNumbers w:val="0"/>
              <w:bidi w:val="0"/>
              <w:spacing w:before="0" w:beforeAutospacing="0" w:after="0" w:afterAutospacing="0"/>
              <w:ind w:left="0" w:right="0"/>
              <w:rPr>
                <w:rFonts w:hint="eastAsia"/>
                <w:highlight w:val="none"/>
              </w:rPr>
            </w:pPr>
            <w:r>
              <w:rPr>
                <w:rFonts w:hint="default"/>
                <w:highlight w:val="none"/>
                <w:lang w:val="en-US" w:eastAsia="zh-CN"/>
              </w:rPr>
              <w:t>24</w:t>
            </w:r>
            <w:r>
              <w:rPr>
                <w:rFonts w:hint="eastAsia"/>
                <w:highlight w:val="none"/>
                <w:lang w:val="en-US" w:eastAsia="zh-CN"/>
              </w:rPr>
              <w:t>小时平均</w:t>
            </w:r>
          </w:p>
        </w:tc>
        <w:tc>
          <w:tcPr>
            <w:tcW w:w="1046" w:type="dxa"/>
            <w:vAlign w:val="center"/>
          </w:tcPr>
          <w:p w14:paraId="5E7904AD">
            <w:pPr>
              <w:pStyle w:val="8"/>
              <w:suppressLineNumbers w:val="0"/>
              <w:bidi w:val="0"/>
              <w:spacing w:before="0" w:beforeAutospacing="0" w:after="0" w:afterAutospacing="0"/>
              <w:ind w:left="0" w:right="0"/>
              <w:rPr>
                <w:rFonts w:hint="eastAsia"/>
                <w:highlight w:val="none"/>
              </w:rPr>
            </w:pPr>
            <w:r>
              <w:rPr>
                <w:rFonts w:hint="default"/>
                <w:highlight w:val="none"/>
                <w:lang w:val="en-US" w:eastAsia="zh-CN"/>
              </w:rPr>
              <w:t>4000</w:t>
            </w:r>
          </w:p>
        </w:tc>
      </w:tr>
      <w:tr w14:paraId="0D7B2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77F9FA88">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6F3B604E">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53446225">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2F8F6872">
            <w:pPr>
              <w:pStyle w:val="8"/>
              <w:suppressLineNumbers w:val="0"/>
              <w:bidi w:val="0"/>
              <w:spacing w:before="0" w:beforeAutospacing="0" w:after="0" w:afterAutospacing="0"/>
              <w:ind w:left="0" w:right="0"/>
              <w:rPr>
                <w:rFonts w:hint="default"/>
                <w:highlight w:val="none"/>
              </w:rPr>
            </w:pPr>
          </w:p>
        </w:tc>
        <w:tc>
          <w:tcPr>
            <w:tcW w:w="1452" w:type="dxa"/>
            <w:vAlign w:val="center"/>
          </w:tcPr>
          <w:p w14:paraId="2950DC3C">
            <w:pPr>
              <w:pStyle w:val="8"/>
              <w:suppressLineNumbers w:val="0"/>
              <w:bidi w:val="0"/>
              <w:spacing w:before="0" w:beforeAutospacing="0" w:after="0" w:afterAutospacing="0"/>
              <w:ind w:left="0" w:right="0"/>
              <w:rPr>
                <w:rFonts w:hint="eastAsia"/>
                <w:highlight w:val="none"/>
              </w:rPr>
            </w:pPr>
            <w:r>
              <w:rPr>
                <w:rFonts w:hint="default"/>
                <w:highlight w:val="none"/>
                <w:lang w:val="en-US" w:eastAsia="zh-CN"/>
              </w:rPr>
              <w:t>1</w:t>
            </w:r>
            <w:r>
              <w:rPr>
                <w:rFonts w:hint="eastAsia"/>
                <w:highlight w:val="none"/>
                <w:lang w:val="en-US" w:eastAsia="zh-CN"/>
              </w:rPr>
              <w:t>小时平均</w:t>
            </w:r>
          </w:p>
        </w:tc>
        <w:tc>
          <w:tcPr>
            <w:tcW w:w="1046" w:type="dxa"/>
            <w:vAlign w:val="center"/>
          </w:tcPr>
          <w:p w14:paraId="70CD6078">
            <w:pPr>
              <w:pStyle w:val="8"/>
              <w:suppressLineNumbers w:val="0"/>
              <w:bidi w:val="0"/>
              <w:spacing w:before="0" w:beforeAutospacing="0" w:after="0" w:afterAutospacing="0"/>
              <w:ind w:left="0" w:right="0"/>
              <w:rPr>
                <w:rFonts w:hint="eastAsia"/>
                <w:highlight w:val="none"/>
              </w:rPr>
            </w:pPr>
            <w:r>
              <w:rPr>
                <w:rFonts w:hint="default"/>
                <w:highlight w:val="none"/>
                <w:lang w:val="en-US" w:eastAsia="zh-CN"/>
              </w:rPr>
              <w:t>10000</w:t>
            </w:r>
          </w:p>
        </w:tc>
      </w:tr>
      <w:tr w14:paraId="1258B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38" w:type="dxa"/>
            <w:vMerge w:val="continue"/>
            <w:vAlign w:val="center"/>
          </w:tcPr>
          <w:p w14:paraId="0A50BC4E">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5D0D7098">
            <w:pPr>
              <w:pStyle w:val="8"/>
              <w:suppressLineNumbers w:val="0"/>
              <w:bidi w:val="0"/>
              <w:spacing w:before="0" w:beforeAutospacing="0" w:after="0" w:afterAutospacing="0"/>
              <w:ind w:left="0" w:right="0"/>
              <w:rPr>
                <w:rFonts w:hint="default"/>
                <w:highlight w:val="none"/>
              </w:rPr>
            </w:pPr>
          </w:p>
        </w:tc>
        <w:tc>
          <w:tcPr>
            <w:tcW w:w="1509" w:type="dxa"/>
            <w:vMerge w:val="restart"/>
            <w:vAlign w:val="center"/>
          </w:tcPr>
          <w:p w14:paraId="5A63CB2F">
            <w:pPr>
              <w:pStyle w:val="8"/>
              <w:suppressLineNumbers w:val="0"/>
              <w:bidi w:val="0"/>
              <w:spacing w:before="0" w:beforeAutospacing="0" w:after="0" w:afterAutospacing="0"/>
              <w:ind w:left="0" w:right="0"/>
              <w:rPr>
                <w:rFonts w:hint="default"/>
                <w:highlight w:val="none"/>
              </w:rPr>
            </w:pPr>
            <w:r>
              <w:rPr>
                <w:rFonts w:hint="default"/>
                <w:highlight w:val="none"/>
              </w:rPr>
              <w:t>SO</w:t>
            </w:r>
            <w:r>
              <w:rPr>
                <w:rFonts w:hint="default"/>
                <w:highlight w:val="none"/>
                <w:vertAlign w:val="subscript"/>
              </w:rPr>
              <w:t>2</w:t>
            </w:r>
          </w:p>
        </w:tc>
        <w:tc>
          <w:tcPr>
            <w:tcW w:w="1236" w:type="dxa"/>
            <w:vMerge w:val="continue"/>
            <w:vAlign w:val="center"/>
          </w:tcPr>
          <w:p w14:paraId="7AED9027">
            <w:pPr>
              <w:pStyle w:val="8"/>
              <w:suppressLineNumbers w:val="0"/>
              <w:bidi w:val="0"/>
              <w:spacing w:before="0" w:beforeAutospacing="0" w:after="0" w:afterAutospacing="0"/>
              <w:ind w:left="0" w:right="0"/>
              <w:rPr>
                <w:rFonts w:hint="default"/>
                <w:highlight w:val="none"/>
              </w:rPr>
            </w:pPr>
          </w:p>
        </w:tc>
        <w:tc>
          <w:tcPr>
            <w:tcW w:w="1452" w:type="dxa"/>
            <w:vAlign w:val="center"/>
          </w:tcPr>
          <w:p w14:paraId="48E5A59E">
            <w:pPr>
              <w:pStyle w:val="8"/>
              <w:suppressLineNumbers w:val="0"/>
              <w:bidi w:val="0"/>
              <w:spacing w:before="0" w:beforeAutospacing="0" w:after="0" w:afterAutospacing="0"/>
              <w:ind w:left="0" w:right="0"/>
              <w:rPr>
                <w:rFonts w:hint="default"/>
                <w:highlight w:val="none"/>
              </w:rPr>
            </w:pPr>
            <w:r>
              <w:rPr>
                <w:rFonts w:hint="default"/>
                <w:highlight w:val="none"/>
              </w:rPr>
              <w:t>1小时平均</w:t>
            </w:r>
          </w:p>
        </w:tc>
        <w:tc>
          <w:tcPr>
            <w:tcW w:w="1046" w:type="dxa"/>
            <w:vAlign w:val="center"/>
          </w:tcPr>
          <w:p w14:paraId="417C0D54">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500</w:t>
            </w:r>
          </w:p>
        </w:tc>
      </w:tr>
      <w:tr w14:paraId="35285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08371B8A">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16F453F3">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3A417A5F">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779B4928">
            <w:pPr>
              <w:pStyle w:val="8"/>
              <w:suppressLineNumbers w:val="0"/>
              <w:bidi w:val="0"/>
              <w:spacing w:before="0" w:beforeAutospacing="0" w:after="0" w:afterAutospacing="0"/>
              <w:ind w:left="0" w:right="0"/>
              <w:rPr>
                <w:rFonts w:hint="default"/>
                <w:highlight w:val="none"/>
              </w:rPr>
            </w:pPr>
          </w:p>
        </w:tc>
        <w:tc>
          <w:tcPr>
            <w:tcW w:w="1452" w:type="dxa"/>
            <w:vAlign w:val="center"/>
          </w:tcPr>
          <w:p w14:paraId="5A7C9C12">
            <w:pPr>
              <w:pStyle w:val="8"/>
              <w:suppressLineNumbers w:val="0"/>
              <w:bidi w:val="0"/>
              <w:spacing w:before="0" w:beforeAutospacing="0" w:after="0" w:afterAutospacing="0"/>
              <w:ind w:left="0" w:right="0"/>
              <w:rPr>
                <w:rFonts w:hint="default"/>
                <w:highlight w:val="none"/>
              </w:rPr>
            </w:pPr>
            <w:r>
              <w:rPr>
                <w:rFonts w:hint="default"/>
                <w:highlight w:val="none"/>
              </w:rPr>
              <w:t>24小时平均</w:t>
            </w:r>
          </w:p>
        </w:tc>
        <w:tc>
          <w:tcPr>
            <w:tcW w:w="1046" w:type="dxa"/>
            <w:vAlign w:val="center"/>
          </w:tcPr>
          <w:p w14:paraId="4EB71ECF">
            <w:pPr>
              <w:pStyle w:val="8"/>
              <w:suppressLineNumbers w:val="0"/>
              <w:bidi w:val="0"/>
              <w:spacing w:before="0" w:beforeAutospacing="0" w:after="0" w:afterAutospacing="0"/>
              <w:ind w:left="0" w:right="0"/>
              <w:rPr>
                <w:rFonts w:hint="default"/>
                <w:highlight w:val="none"/>
              </w:rPr>
            </w:pPr>
            <w:r>
              <w:rPr>
                <w:rFonts w:hint="default"/>
                <w:highlight w:val="none"/>
              </w:rPr>
              <w:t>150</w:t>
            </w:r>
          </w:p>
        </w:tc>
      </w:tr>
      <w:tr w14:paraId="71203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3108CFA1">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7CD7D6BB">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11A9572C">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150C1659">
            <w:pPr>
              <w:pStyle w:val="8"/>
              <w:suppressLineNumbers w:val="0"/>
              <w:bidi w:val="0"/>
              <w:spacing w:before="0" w:beforeAutospacing="0" w:after="0" w:afterAutospacing="0"/>
              <w:ind w:left="0" w:right="0"/>
              <w:rPr>
                <w:rFonts w:hint="default"/>
                <w:highlight w:val="none"/>
              </w:rPr>
            </w:pPr>
          </w:p>
        </w:tc>
        <w:tc>
          <w:tcPr>
            <w:tcW w:w="1452" w:type="dxa"/>
            <w:vAlign w:val="center"/>
          </w:tcPr>
          <w:p w14:paraId="4240783E">
            <w:pPr>
              <w:pStyle w:val="8"/>
              <w:suppressLineNumbers w:val="0"/>
              <w:bidi w:val="0"/>
              <w:spacing w:before="0" w:beforeAutospacing="0" w:after="0" w:afterAutospacing="0"/>
              <w:ind w:left="0" w:right="0"/>
              <w:rPr>
                <w:rFonts w:hint="default"/>
                <w:highlight w:val="none"/>
              </w:rPr>
            </w:pPr>
            <w:r>
              <w:rPr>
                <w:rFonts w:hint="default"/>
                <w:highlight w:val="none"/>
              </w:rPr>
              <w:t>年平均</w:t>
            </w:r>
          </w:p>
        </w:tc>
        <w:tc>
          <w:tcPr>
            <w:tcW w:w="1046" w:type="dxa"/>
            <w:vAlign w:val="center"/>
          </w:tcPr>
          <w:p w14:paraId="7597F5D0">
            <w:pPr>
              <w:pStyle w:val="8"/>
              <w:suppressLineNumbers w:val="0"/>
              <w:bidi w:val="0"/>
              <w:spacing w:before="0" w:beforeAutospacing="0" w:after="0" w:afterAutospacing="0"/>
              <w:ind w:left="0" w:right="0"/>
              <w:rPr>
                <w:rFonts w:hint="default"/>
                <w:highlight w:val="none"/>
              </w:rPr>
            </w:pPr>
            <w:r>
              <w:rPr>
                <w:rFonts w:hint="default"/>
                <w:highlight w:val="none"/>
              </w:rPr>
              <w:t>60</w:t>
            </w:r>
          </w:p>
        </w:tc>
      </w:tr>
      <w:tr w14:paraId="1D2BA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63550C3C">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12E3E02B">
            <w:pPr>
              <w:pStyle w:val="8"/>
              <w:suppressLineNumbers w:val="0"/>
              <w:bidi w:val="0"/>
              <w:spacing w:before="0" w:beforeAutospacing="0" w:after="0" w:afterAutospacing="0"/>
              <w:ind w:left="0" w:right="0"/>
              <w:rPr>
                <w:rFonts w:hint="default"/>
                <w:highlight w:val="none"/>
              </w:rPr>
            </w:pPr>
          </w:p>
        </w:tc>
        <w:tc>
          <w:tcPr>
            <w:tcW w:w="1509" w:type="dxa"/>
            <w:vMerge w:val="restart"/>
            <w:vAlign w:val="center"/>
          </w:tcPr>
          <w:p w14:paraId="58AA61D1">
            <w:pPr>
              <w:pStyle w:val="8"/>
              <w:suppressLineNumbers w:val="0"/>
              <w:bidi w:val="0"/>
              <w:spacing w:before="0" w:beforeAutospacing="0" w:after="0" w:afterAutospacing="0"/>
              <w:ind w:left="0" w:right="0"/>
              <w:rPr>
                <w:rFonts w:hint="default"/>
                <w:highlight w:val="none"/>
              </w:rPr>
            </w:pPr>
            <w:r>
              <w:rPr>
                <w:rFonts w:hint="default"/>
                <w:highlight w:val="none"/>
              </w:rPr>
              <w:t>O</w:t>
            </w:r>
            <w:r>
              <w:rPr>
                <w:rFonts w:hint="default"/>
                <w:highlight w:val="none"/>
                <w:vertAlign w:val="subscript"/>
              </w:rPr>
              <w:t>3</w:t>
            </w:r>
          </w:p>
        </w:tc>
        <w:tc>
          <w:tcPr>
            <w:tcW w:w="1236" w:type="dxa"/>
            <w:vMerge w:val="continue"/>
            <w:vAlign w:val="center"/>
          </w:tcPr>
          <w:p w14:paraId="0BF3C1A7">
            <w:pPr>
              <w:pStyle w:val="8"/>
              <w:suppressLineNumbers w:val="0"/>
              <w:bidi w:val="0"/>
              <w:spacing w:before="0" w:beforeAutospacing="0" w:after="0" w:afterAutospacing="0"/>
              <w:ind w:left="0" w:right="0"/>
              <w:rPr>
                <w:rFonts w:hint="default"/>
                <w:highlight w:val="none"/>
              </w:rPr>
            </w:pPr>
          </w:p>
        </w:tc>
        <w:tc>
          <w:tcPr>
            <w:tcW w:w="1452" w:type="dxa"/>
            <w:vAlign w:val="center"/>
          </w:tcPr>
          <w:p w14:paraId="10B694E1">
            <w:pPr>
              <w:pStyle w:val="8"/>
              <w:suppressLineNumbers w:val="0"/>
              <w:bidi w:val="0"/>
              <w:spacing w:before="0" w:beforeAutospacing="0" w:after="0" w:afterAutospacing="0"/>
              <w:ind w:left="0" w:right="0"/>
              <w:rPr>
                <w:rFonts w:hint="default"/>
                <w:highlight w:val="none"/>
              </w:rPr>
            </w:pPr>
            <w:r>
              <w:rPr>
                <w:rFonts w:hint="default"/>
                <w:highlight w:val="none"/>
              </w:rPr>
              <w:t>1小时平均</w:t>
            </w:r>
          </w:p>
        </w:tc>
        <w:tc>
          <w:tcPr>
            <w:tcW w:w="1046" w:type="dxa"/>
            <w:vAlign w:val="center"/>
          </w:tcPr>
          <w:p w14:paraId="1245C8DD">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200</w:t>
            </w:r>
          </w:p>
        </w:tc>
      </w:tr>
      <w:tr w14:paraId="76DEF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42EDA57E">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2E7A105C">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0B973A1C">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4C67D4BF">
            <w:pPr>
              <w:pStyle w:val="8"/>
              <w:suppressLineNumbers w:val="0"/>
              <w:bidi w:val="0"/>
              <w:spacing w:before="0" w:beforeAutospacing="0" w:after="0" w:afterAutospacing="0"/>
              <w:ind w:left="0" w:right="0"/>
              <w:rPr>
                <w:rFonts w:hint="default"/>
                <w:highlight w:val="none"/>
              </w:rPr>
            </w:pPr>
          </w:p>
        </w:tc>
        <w:tc>
          <w:tcPr>
            <w:tcW w:w="1452" w:type="dxa"/>
            <w:vAlign w:val="center"/>
          </w:tcPr>
          <w:p w14:paraId="19F2EB99">
            <w:pPr>
              <w:pStyle w:val="8"/>
              <w:suppressLineNumbers w:val="0"/>
              <w:bidi w:val="0"/>
              <w:spacing w:before="0" w:beforeAutospacing="0" w:after="0" w:afterAutospacing="0"/>
              <w:ind w:left="0" w:right="0"/>
              <w:rPr>
                <w:rFonts w:hint="default"/>
                <w:highlight w:val="none"/>
              </w:rPr>
            </w:pPr>
            <w:r>
              <w:rPr>
                <w:rFonts w:hint="default"/>
                <w:highlight w:val="none"/>
              </w:rPr>
              <w:t>日最大8小时平均</w:t>
            </w:r>
          </w:p>
        </w:tc>
        <w:tc>
          <w:tcPr>
            <w:tcW w:w="1046" w:type="dxa"/>
            <w:vAlign w:val="center"/>
          </w:tcPr>
          <w:p w14:paraId="3F75C99B">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160</w:t>
            </w:r>
          </w:p>
        </w:tc>
      </w:tr>
      <w:tr w14:paraId="04627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19F556AC">
            <w:pPr>
              <w:pStyle w:val="8"/>
              <w:suppressLineNumbers w:val="0"/>
              <w:bidi w:val="0"/>
              <w:spacing w:before="0" w:beforeAutospacing="0" w:after="0" w:afterAutospacing="0"/>
              <w:ind w:left="0" w:right="0"/>
              <w:rPr>
                <w:rFonts w:hint="default"/>
                <w:highlight w:val="none"/>
              </w:rPr>
            </w:pPr>
          </w:p>
        </w:tc>
        <w:tc>
          <w:tcPr>
            <w:tcW w:w="2441" w:type="dxa"/>
            <w:vAlign w:val="center"/>
          </w:tcPr>
          <w:p w14:paraId="0EDB57F9">
            <w:pPr>
              <w:pStyle w:val="8"/>
              <w:suppressLineNumbers w:val="0"/>
              <w:bidi w:val="0"/>
              <w:spacing w:before="0" w:beforeAutospacing="0" w:after="0" w:afterAutospacing="0"/>
              <w:ind w:left="0" w:right="0"/>
              <w:rPr>
                <w:rFonts w:hint="default"/>
                <w:highlight w:val="none"/>
              </w:rPr>
            </w:pPr>
            <w:r>
              <w:rPr>
                <w:rFonts w:hint="default"/>
                <w:highlight w:val="none"/>
              </w:rPr>
              <w:t>《大气污染物综合排放</w:t>
            </w:r>
          </w:p>
          <w:p w14:paraId="6630349F">
            <w:pPr>
              <w:pStyle w:val="8"/>
              <w:suppressLineNumbers w:val="0"/>
              <w:bidi w:val="0"/>
              <w:spacing w:before="0" w:beforeAutospacing="0" w:after="0" w:afterAutospacing="0"/>
              <w:ind w:left="0" w:right="0"/>
              <w:rPr>
                <w:rFonts w:hint="default"/>
                <w:highlight w:val="none"/>
              </w:rPr>
            </w:pPr>
            <w:r>
              <w:rPr>
                <w:rFonts w:hint="default"/>
                <w:highlight w:val="none"/>
              </w:rPr>
              <w:t>标准详解》</w:t>
            </w:r>
          </w:p>
        </w:tc>
        <w:tc>
          <w:tcPr>
            <w:tcW w:w="1509" w:type="dxa"/>
            <w:vAlign w:val="center"/>
          </w:tcPr>
          <w:p w14:paraId="5EF95E4D">
            <w:pPr>
              <w:pStyle w:val="8"/>
              <w:suppressLineNumbers w:val="0"/>
              <w:bidi w:val="0"/>
              <w:spacing w:before="0" w:beforeAutospacing="0" w:after="0" w:afterAutospacing="0"/>
              <w:ind w:left="0" w:right="0"/>
              <w:rPr>
                <w:rFonts w:hint="default"/>
                <w:highlight w:val="none"/>
              </w:rPr>
            </w:pPr>
            <w:r>
              <w:rPr>
                <w:rFonts w:hint="default"/>
                <w:highlight w:val="none"/>
              </w:rPr>
              <w:t>非甲烷总烃</w:t>
            </w:r>
          </w:p>
        </w:tc>
        <w:tc>
          <w:tcPr>
            <w:tcW w:w="1236" w:type="dxa"/>
            <w:vAlign w:val="center"/>
          </w:tcPr>
          <w:p w14:paraId="707B4AB1">
            <w:pPr>
              <w:pStyle w:val="8"/>
              <w:suppressLineNumbers w:val="0"/>
              <w:bidi w:val="0"/>
              <w:spacing w:before="0" w:beforeAutospacing="0" w:after="0" w:afterAutospacing="0"/>
              <w:ind w:left="0" w:right="0"/>
              <w:rPr>
                <w:rFonts w:hint="default"/>
                <w:highlight w:val="none"/>
              </w:rPr>
            </w:pPr>
            <w:r>
              <w:rPr>
                <w:rFonts w:hint="default"/>
                <w:highlight w:val="none"/>
              </w:rPr>
              <w:t>mg/m</w:t>
            </w:r>
            <w:r>
              <w:rPr>
                <w:rFonts w:hint="default"/>
                <w:highlight w:val="none"/>
                <w:vertAlign w:val="superscript"/>
              </w:rPr>
              <w:t>3</w:t>
            </w:r>
          </w:p>
        </w:tc>
        <w:tc>
          <w:tcPr>
            <w:tcW w:w="1452" w:type="dxa"/>
            <w:vAlign w:val="center"/>
          </w:tcPr>
          <w:p w14:paraId="500F3426">
            <w:pPr>
              <w:pStyle w:val="8"/>
              <w:suppressLineNumbers w:val="0"/>
              <w:bidi w:val="0"/>
              <w:spacing w:before="0" w:beforeAutospacing="0" w:after="0" w:afterAutospacing="0"/>
              <w:ind w:left="0" w:right="0"/>
              <w:rPr>
                <w:rFonts w:hint="default"/>
                <w:highlight w:val="none"/>
              </w:rPr>
            </w:pPr>
            <w:r>
              <w:rPr>
                <w:rFonts w:hint="default"/>
                <w:highlight w:val="none"/>
              </w:rPr>
              <w:t>1小时平均</w:t>
            </w:r>
          </w:p>
        </w:tc>
        <w:tc>
          <w:tcPr>
            <w:tcW w:w="1046" w:type="dxa"/>
            <w:vAlign w:val="center"/>
          </w:tcPr>
          <w:p w14:paraId="77C98D5C">
            <w:pPr>
              <w:pStyle w:val="8"/>
              <w:suppressLineNumbers w:val="0"/>
              <w:bidi w:val="0"/>
              <w:spacing w:before="0" w:beforeAutospacing="0" w:after="0" w:afterAutospacing="0"/>
              <w:ind w:left="0" w:right="0"/>
              <w:rPr>
                <w:rFonts w:hint="default"/>
                <w:highlight w:val="none"/>
              </w:rPr>
            </w:pPr>
            <w:r>
              <w:rPr>
                <w:rFonts w:hint="default"/>
                <w:highlight w:val="none"/>
              </w:rPr>
              <w:t>2.0</w:t>
            </w:r>
          </w:p>
        </w:tc>
      </w:tr>
      <w:tr w14:paraId="1AC1D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restart"/>
            <w:vAlign w:val="center"/>
          </w:tcPr>
          <w:p w14:paraId="5BB238BE">
            <w:pPr>
              <w:pStyle w:val="8"/>
              <w:suppressLineNumbers w:val="0"/>
              <w:bidi w:val="0"/>
              <w:spacing w:before="0" w:beforeAutospacing="0" w:after="0" w:afterAutospacing="0"/>
              <w:ind w:left="0" w:right="0"/>
              <w:rPr>
                <w:rFonts w:hint="default"/>
                <w:highlight w:val="none"/>
              </w:rPr>
            </w:pPr>
            <w:r>
              <w:rPr>
                <w:rFonts w:hint="default"/>
                <w:highlight w:val="none"/>
              </w:rPr>
              <w:t>地表水</w:t>
            </w:r>
          </w:p>
        </w:tc>
        <w:tc>
          <w:tcPr>
            <w:tcW w:w="2441" w:type="dxa"/>
            <w:vMerge w:val="restart"/>
            <w:vAlign w:val="center"/>
          </w:tcPr>
          <w:p w14:paraId="276A7D4A">
            <w:pPr>
              <w:pStyle w:val="8"/>
              <w:suppressLineNumbers w:val="0"/>
              <w:bidi w:val="0"/>
              <w:spacing w:before="0" w:beforeAutospacing="0" w:after="0" w:afterAutospacing="0"/>
              <w:ind w:left="0" w:right="0"/>
              <w:rPr>
                <w:rFonts w:hint="default"/>
                <w:highlight w:val="none"/>
              </w:rPr>
            </w:pPr>
            <w:r>
              <w:rPr>
                <w:rFonts w:hint="default"/>
                <w:highlight w:val="none"/>
              </w:rPr>
              <w:t>《地表水环境质量标准》（GB3838-2002）</w:t>
            </w:r>
            <w:r>
              <w:rPr>
                <w:rFonts w:hint="default" w:eastAsiaTheme="minorEastAsia"/>
                <w:kern w:val="0"/>
                <w:szCs w:val="21"/>
                <w:highlight w:val="none"/>
              </w:rPr>
              <w:t>Ⅳ</w:t>
            </w:r>
            <w:r>
              <w:rPr>
                <w:rFonts w:hint="default"/>
                <w:highlight w:val="none"/>
              </w:rPr>
              <w:t>类</w:t>
            </w:r>
          </w:p>
        </w:tc>
        <w:tc>
          <w:tcPr>
            <w:tcW w:w="1509" w:type="dxa"/>
            <w:vAlign w:val="center"/>
          </w:tcPr>
          <w:p w14:paraId="785A70AF">
            <w:pPr>
              <w:pStyle w:val="8"/>
              <w:suppressLineNumbers w:val="0"/>
              <w:bidi w:val="0"/>
              <w:spacing w:before="0" w:beforeAutospacing="0" w:after="0" w:afterAutospacing="0"/>
              <w:ind w:left="0" w:right="0"/>
              <w:rPr>
                <w:rFonts w:hint="default"/>
                <w:highlight w:val="none"/>
              </w:rPr>
            </w:pPr>
            <w:r>
              <w:rPr>
                <w:rFonts w:hint="default"/>
                <w:highlight w:val="none"/>
              </w:rPr>
              <w:t>pH</w:t>
            </w:r>
          </w:p>
        </w:tc>
        <w:tc>
          <w:tcPr>
            <w:tcW w:w="1236" w:type="dxa"/>
            <w:vAlign w:val="center"/>
          </w:tcPr>
          <w:p w14:paraId="3A4214F4">
            <w:pPr>
              <w:pStyle w:val="8"/>
              <w:suppressLineNumbers w:val="0"/>
              <w:bidi w:val="0"/>
              <w:spacing w:before="0" w:beforeAutospacing="0" w:after="0" w:afterAutospacing="0"/>
              <w:ind w:left="0" w:right="0"/>
              <w:rPr>
                <w:rFonts w:hint="default"/>
                <w:highlight w:val="none"/>
              </w:rPr>
            </w:pPr>
            <w:r>
              <w:rPr>
                <w:rFonts w:hint="default"/>
                <w:highlight w:val="none"/>
              </w:rPr>
              <w:t>无量纲</w:t>
            </w:r>
          </w:p>
        </w:tc>
        <w:tc>
          <w:tcPr>
            <w:tcW w:w="2498" w:type="dxa"/>
            <w:gridSpan w:val="2"/>
            <w:vAlign w:val="center"/>
          </w:tcPr>
          <w:p w14:paraId="2B2A4D73">
            <w:pPr>
              <w:pStyle w:val="8"/>
              <w:suppressLineNumbers w:val="0"/>
              <w:bidi w:val="0"/>
              <w:spacing w:before="0" w:beforeAutospacing="0" w:after="0" w:afterAutospacing="0"/>
              <w:ind w:left="0" w:right="0"/>
              <w:rPr>
                <w:rFonts w:hint="default"/>
                <w:highlight w:val="none"/>
              </w:rPr>
            </w:pPr>
            <w:r>
              <w:rPr>
                <w:rFonts w:hint="default"/>
                <w:highlight w:val="none"/>
              </w:rPr>
              <w:t>6~9</w:t>
            </w:r>
          </w:p>
        </w:tc>
      </w:tr>
      <w:tr w14:paraId="0D3EF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762C774C">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06F40527">
            <w:pPr>
              <w:pStyle w:val="8"/>
              <w:suppressLineNumbers w:val="0"/>
              <w:bidi w:val="0"/>
              <w:spacing w:before="0" w:beforeAutospacing="0" w:after="0" w:afterAutospacing="0"/>
              <w:ind w:left="0" w:right="0"/>
              <w:rPr>
                <w:rFonts w:hint="default"/>
                <w:highlight w:val="none"/>
              </w:rPr>
            </w:pPr>
          </w:p>
        </w:tc>
        <w:tc>
          <w:tcPr>
            <w:tcW w:w="1509" w:type="dxa"/>
            <w:vAlign w:val="center"/>
          </w:tcPr>
          <w:p w14:paraId="63DAF110">
            <w:pPr>
              <w:pStyle w:val="8"/>
              <w:suppressLineNumbers w:val="0"/>
              <w:bidi w:val="0"/>
              <w:spacing w:before="0" w:beforeAutospacing="0" w:after="0" w:afterAutospacing="0"/>
              <w:ind w:left="0" w:right="0"/>
              <w:rPr>
                <w:rFonts w:hint="default"/>
                <w:highlight w:val="none"/>
              </w:rPr>
            </w:pPr>
            <w:r>
              <w:rPr>
                <w:rFonts w:hint="default"/>
                <w:highlight w:val="none"/>
              </w:rPr>
              <w:t>COD</w:t>
            </w:r>
          </w:p>
        </w:tc>
        <w:tc>
          <w:tcPr>
            <w:tcW w:w="1236" w:type="dxa"/>
            <w:vMerge w:val="restart"/>
            <w:vAlign w:val="center"/>
          </w:tcPr>
          <w:p w14:paraId="6409527A">
            <w:pPr>
              <w:pStyle w:val="8"/>
              <w:suppressLineNumbers w:val="0"/>
              <w:bidi w:val="0"/>
              <w:spacing w:before="0" w:beforeAutospacing="0" w:after="0" w:afterAutospacing="0"/>
              <w:ind w:left="0" w:right="0"/>
              <w:rPr>
                <w:rFonts w:hint="default"/>
                <w:highlight w:val="none"/>
              </w:rPr>
            </w:pPr>
            <w:r>
              <w:rPr>
                <w:rFonts w:hint="default"/>
                <w:highlight w:val="none"/>
              </w:rPr>
              <w:t>mg/m</w:t>
            </w:r>
            <w:r>
              <w:rPr>
                <w:rFonts w:hint="default"/>
                <w:highlight w:val="none"/>
                <w:vertAlign w:val="superscript"/>
              </w:rPr>
              <w:t>3</w:t>
            </w:r>
          </w:p>
        </w:tc>
        <w:tc>
          <w:tcPr>
            <w:tcW w:w="2498" w:type="dxa"/>
            <w:gridSpan w:val="2"/>
            <w:vAlign w:val="center"/>
          </w:tcPr>
          <w:p w14:paraId="246DC7D1">
            <w:pPr>
              <w:pStyle w:val="8"/>
              <w:suppressLineNumbers w:val="0"/>
              <w:bidi w:val="0"/>
              <w:spacing w:before="0" w:beforeAutospacing="0" w:after="0" w:afterAutospacing="0"/>
              <w:ind w:left="0" w:right="0"/>
              <w:rPr>
                <w:rFonts w:hint="default"/>
                <w:highlight w:val="none"/>
                <w:lang w:val="en-US" w:eastAsia="zh-CN"/>
              </w:rPr>
            </w:pPr>
            <w:r>
              <w:rPr>
                <w:rFonts w:hint="default"/>
                <w:highlight w:val="none"/>
              </w:rPr>
              <w:t>≤</w:t>
            </w:r>
            <w:r>
              <w:rPr>
                <w:rFonts w:hint="eastAsia"/>
                <w:highlight w:val="none"/>
                <w:lang w:val="en-US" w:eastAsia="zh-CN"/>
              </w:rPr>
              <w:t>20</w:t>
            </w:r>
          </w:p>
        </w:tc>
      </w:tr>
      <w:tr w14:paraId="21D46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414A6BEE">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5CAE3819">
            <w:pPr>
              <w:pStyle w:val="8"/>
              <w:suppressLineNumbers w:val="0"/>
              <w:bidi w:val="0"/>
              <w:spacing w:before="0" w:beforeAutospacing="0" w:after="0" w:afterAutospacing="0"/>
              <w:ind w:left="0" w:right="0"/>
              <w:rPr>
                <w:rFonts w:hint="default"/>
                <w:highlight w:val="none"/>
              </w:rPr>
            </w:pPr>
          </w:p>
        </w:tc>
        <w:tc>
          <w:tcPr>
            <w:tcW w:w="1509" w:type="dxa"/>
            <w:vAlign w:val="center"/>
          </w:tcPr>
          <w:p w14:paraId="0A1C347B">
            <w:pPr>
              <w:pStyle w:val="8"/>
              <w:suppressLineNumbers w:val="0"/>
              <w:bidi w:val="0"/>
              <w:spacing w:before="0" w:beforeAutospacing="0" w:after="0" w:afterAutospacing="0"/>
              <w:ind w:left="0" w:right="0"/>
              <w:rPr>
                <w:rFonts w:hint="default"/>
                <w:highlight w:val="none"/>
              </w:rPr>
            </w:pPr>
            <w:r>
              <w:rPr>
                <w:rFonts w:hint="default"/>
                <w:highlight w:val="none"/>
              </w:rPr>
              <w:t>NH</w:t>
            </w:r>
            <w:r>
              <w:rPr>
                <w:rFonts w:hint="default"/>
                <w:highlight w:val="none"/>
                <w:vertAlign w:val="subscript"/>
              </w:rPr>
              <w:t>3</w:t>
            </w:r>
            <w:r>
              <w:rPr>
                <w:rFonts w:hint="default"/>
                <w:highlight w:val="none"/>
              </w:rPr>
              <w:t>-N</w:t>
            </w:r>
          </w:p>
        </w:tc>
        <w:tc>
          <w:tcPr>
            <w:tcW w:w="1236" w:type="dxa"/>
            <w:vMerge w:val="continue"/>
            <w:vAlign w:val="center"/>
          </w:tcPr>
          <w:p w14:paraId="6875E62F">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4686159F">
            <w:pPr>
              <w:pStyle w:val="8"/>
              <w:suppressLineNumbers w:val="0"/>
              <w:bidi w:val="0"/>
              <w:spacing w:before="0" w:beforeAutospacing="0" w:after="0" w:afterAutospacing="0"/>
              <w:ind w:left="0" w:right="0"/>
              <w:rPr>
                <w:rFonts w:hint="eastAsia"/>
                <w:highlight w:val="none"/>
                <w:lang w:eastAsia="zh-CN"/>
              </w:rPr>
            </w:pPr>
            <w:r>
              <w:rPr>
                <w:rFonts w:hint="default"/>
                <w:highlight w:val="none"/>
              </w:rPr>
              <w:t>≤1.</w:t>
            </w:r>
            <w:r>
              <w:rPr>
                <w:rFonts w:hint="eastAsia"/>
                <w:highlight w:val="none"/>
                <w:lang w:val="en-US" w:eastAsia="zh-CN"/>
              </w:rPr>
              <w:t>0</w:t>
            </w:r>
          </w:p>
        </w:tc>
      </w:tr>
      <w:tr w14:paraId="37848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7B5E4B43">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2D15C5AF">
            <w:pPr>
              <w:pStyle w:val="8"/>
              <w:suppressLineNumbers w:val="0"/>
              <w:bidi w:val="0"/>
              <w:spacing w:before="0" w:beforeAutospacing="0" w:after="0" w:afterAutospacing="0"/>
              <w:ind w:left="0" w:right="0"/>
              <w:rPr>
                <w:rFonts w:hint="default"/>
                <w:highlight w:val="none"/>
              </w:rPr>
            </w:pPr>
          </w:p>
        </w:tc>
        <w:tc>
          <w:tcPr>
            <w:tcW w:w="1509" w:type="dxa"/>
            <w:vAlign w:val="center"/>
          </w:tcPr>
          <w:p w14:paraId="5F2F8E59">
            <w:pPr>
              <w:pStyle w:val="8"/>
              <w:suppressLineNumbers w:val="0"/>
              <w:bidi w:val="0"/>
              <w:spacing w:before="0" w:beforeAutospacing="0" w:after="0" w:afterAutospacing="0"/>
              <w:ind w:left="0" w:right="0"/>
              <w:rPr>
                <w:rFonts w:hint="default"/>
                <w:highlight w:val="none"/>
              </w:rPr>
            </w:pPr>
            <w:r>
              <w:rPr>
                <w:rFonts w:hint="default"/>
                <w:highlight w:val="none"/>
              </w:rPr>
              <w:t>BOD</w:t>
            </w:r>
            <w:r>
              <w:rPr>
                <w:rFonts w:hint="default"/>
                <w:highlight w:val="none"/>
                <w:vertAlign w:val="subscript"/>
              </w:rPr>
              <w:t>5</w:t>
            </w:r>
          </w:p>
        </w:tc>
        <w:tc>
          <w:tcPr>
            <w:tcW w:w="1236" w:type="dxa"/>
            <w:vMerge w:val="continue"/>
            <w:vAlign w:val="center"/>
          </w:tcPr>
          <w:p w14:paraId="19CDE7AE">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74E7E3FF">
            <w:pPr>
              <w:pStyle w:val="8"/>
              <w:suppressLineNumbers w:val="0"/>
              <w:bidi w:val="0"/>
              <w:spacing w:before="0" w:beforeAutospacing="0" w:after="0" w:afterAutospacing="0"/>
              <w:ind w:left="0" w:right="0"/>
              <w:rPr>
                <w:rFonts w:hint="eastAsia"/>
                <w:highlight w:val="none"/>
                <w:lang w:eastAsia="zh-CN"/>
              </w:rPr>
            </w:pPr>
            <w:r>
              <w:rPr>
                <w:rFonts w:hint="default"/>
                <w:highlight w:val="none"/>
              </w:rPr>
              <w:t>≤</w:t>
            </w:r>
            <w:r>
              <w:rPr>
                <w:rFonts w:hint="eastAsia"/>
                <w:highlight w:val="none"/>
                <w:lang w:val="en-US" w:eastAsia="zh-CN"/>
              </w:rPr>
              <w:t>4</w:t>
            </w:r>
          </w:p>
        </w:tc>
      </w:tr>
      <w:tr w14:paraId="57261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40E395E8">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517231E2">
            <w:pPr>
              <w:pStyle w:val="8"/>
              <w:suppressLineNumbers w:val="0"/>
              <w:bidi w:val="0"/>
              <w:spacing w:before="0" w:beforeAutospacing="0" w:after="0" w:afterAutospacing="0"/>
              <w:ind w:left="0" w:right="0"/>
              <w:rPr>
                <w:rFonts w:hint="default"/>
                <w:highlight w:val="none"/>
              </w:rPr>
            </w:pPr>
          </w:p>
        </w:tc>
        <w:tc>
          <w:tcPr>
            <w:tcW w:w="1509" w:type="dxa"/>
            <w:vAlign w:val="center"/>
          </w:tcPr>
          <w:p w14:paraId="3F053DAD">
            <w:pPr>
              <w:pStyle w:val="8"/>
              <w:suppressLineNumbers w:val="0"/>
              <w:bidi w:val="0"/>
              <w:spacing w:before="0" w:beforeAutospacing="0" w:after="0" w:afterAutospacing="0"/>
              <w:ind w:left="0" w:right="0"/>
              <w:rPr>
                <w:rFonts w:hint="default"/>
                <w:highlight w:val="none"/>
              </w:rPr>
            </w:pPr>
            <w:r>
              <w:rPr>
                <w:rFonts w:hint="default"/>
                <w:highlight w:val="none"/>
              </w:rPr>
              <w:t>溶解氧</w:t>
            </w:r>
          </w:p>
        </w:tc>
        <w:tc>
          <w:tcPr>
            <w:tcW w:w="1236" w:type="dxa"/>
            <w:vMerge w:val="continue"/>
            <w:vAlign w:val="center"/>
          </w:tcPr>
          <w:p w14:paraId="1CA24A14">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6695F30E">
            <w:pPr>
              <w:pStyle w:val="8"/>
              <w:suppressLineNumbers w:val="0"/>
              <w:bidi w:val="0"/>
              <w:spacing w:before="0" w:beforeAutospacing="0" w:after="0" w:afterAutospacing="0"/>
              <w:ind w:left="0" w:right="0"/>
              <w:rPr>
                <w:rFonts w:hint="eastAsia"/>
                <w:highlight w:val="none"/>
                <w:lang w:eastAsia="zh-CN"/>
              </w:rPr>
            </w:pPr>
            <w:r>
              <w:rPr>
                <w:rFonts w:hint="default"/>
                <w:highlight w:val="none"/>
              </w:rPr>
              <w:t>≥</w:t>
            </w:r>
            <w:r>
              <w:rPr>
                <w:rFonts w:hint="eastAsia"/>
                <w:highlight w:val="none"/>
                <w:lang w:val="en-US" w:eastAsia="zh-CN"/>
              </w:rPr>
              <w:t>5</w:t>
            </w:r>
          </w:p>
        </w:tc>
      </w:tr>
      <w:tr w14:paraId="25DA0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668D477E">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6159279B">
            <w:pPr>
              <w:pStyle w:val="8"/>
              <w:suppressLineNumbers w:val="0"/>
              <w:bidi w:val="0"/>
              <w:spacing w:before="0" w:beforeAutospacing="0" w:after="0" w:afterAutospacing="0"/>
              <w:ind w:left="0" w:right="0"/>
              <w:rPr>
                <w:rFonts w:hint="default"/>
                <w:highlight w:val="none"/>
              </w:rPr>
            </w:pPr>
          </w:p>
        </w:tc>
        <w:tc>
          <w:tcPr>
            <w:tcW w:w="1509" w:type="dxa"/>
            <w:vAlign w:val="center"/>
          </w:tcPr>
          <w:p w14:paraId="7A754EFC">
            <w:pPr>
              <w:pStyle w:val="8"/>
              <w:suppressLineNumbers w:val="0"/>
              <w:bidi w:val="0"/>
              <w:spacing w:before="0" w:beforeAutospacing="0" w:after="0" w:afterAutospacing="0"/>
              <w:ind w:left="0" w:right="0"/>
              <w:rPr>
                <w:rFonts w:hint="default"/>
                <w:highlight w:val="none"/>
              </w:rPr>
            </w:pPr>
            <w:r>
              <w:rPr>
                <w:rFonts w:hint="default"/>
                <w:highlight w:val="none"/>
              </w:rPr>
              <w:t>高锰酸盐指数</w:t>
            </w:r>
          </w:p>
        </w:tc>
        <w:tc>
          <w:tcPr>
            <w:tcW w:w="1236" w:type="dxa"/>
            <w:vMerge w:val="continue"/>
            <w:vAlign w:val="center"/>
          </w:tcPr>
          <w:p w14:paraId="46F3DB64">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1B493BC2">
            <w:pPr>
              <w:pStyle w:val="8"/>
              <w:suppressLineNumbers w:val="0"/>
              <w:bidi w:val="0"/>
              <w:spacing w:before="0" w:beforeAutospacing="0" w:after="0" w:afterAutospacing="0"/>
              <w:ind w:left="0" w:right="0"/>
              <w:rPr>
                <w:rFonts w:hint="eastAsia"/>
                <w:highlight w:val="none"/>
                <w:lang w:eastAsia="zh-CN"/>
              </w:rPr>
            </w:pPr>
            <w:r>
              <w:rPr>
                <w:rFonts w:hint="default"/>
                <w:highlight w:val="none"/>
              </w:rPr>
              <w:t>≤</w:t>
            </w:r>
            <w:r>
              <w:rPr>
                <w:rFonts w:hint="eastAsia"/>
                <w:highlight w:val="none"/>
                <w:lang w:val="en-US" w:eastAsia="zh-CN"/>
              </w:rPr>
              <w:t>6</w:t>
            </w:r>
          </w:p>
        </w:tc>
      </w:tr>
      <w:tr w14:paraId="2A667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743EEDBD">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425056E2">
            <w:pPr>
              <w:pStyle w:val="8"/>
              <w:suppressLineNumbers w:val="0"/>
              <w:bidi w:val="0"/>
              <w:spacing w:before="0" w:beforeAutospacing="0" w:after="0" w:afterAutospacing="0"/>
              <w:ind w:left="0" w:right="0"/>
              <w:rPr>
                <w:rFonts w:hint="default"/>
                <w:highlight w:val="none"/>
              </w:rPr>
            </w:pPr>
          </w:p>
        </w:tc>
        <w:tc>
          <w:tcPr>
            <w:tcW w:w="1509" w:type="dxa"/>
            <w:vAlign w:val="center"/>
          </w:tcPr>
          <w:p w14:paraId="4B16B8F2">
            <w:pPr>
              <w:pStyle w:val="8"/>
              <w:suppressLineNumbers w:val="0"/>
              <w:bidi w:val="0"/>
              <w:spacing w:before="0" w:beforeAutospacing="0" w:after="0" w:afterAutospacing="0"/>
              <w:ind w:left="0" w:right="0"/>
              <w:rPr>
                <w:rFonts w:hint="default"/>
                <w:highlight w:val="none"/>
              </w:rPr>
            </w:pPr>
            <w:r>
              <w:rPr>
                <w:rFonts w:hint="default"/>
                <w:highlight w:val="none"/>
              </w:rPr>
              <w:t>石油类</w:t>
            </w:r>
          </w:p>
        </w:tc>
        <w:tc>
          <w:tcPr>
            <w:tcW w:w="1236" w:type="dxa"/>
            <w:vMerge w:val="continue"/>
            <w:vAlign w:val="center"/>
          </w:tcPr>
          <w:p w14:paraId="34C44DC3">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2BC081A7">
            <w:pPr>
              <w:pStyle w:val="8"/>
              <w:suppressLineNumbers w:val="0"/>
              <w:bidi w:val="0"/>
              <w:spacing w:before="0" w:beforeAutospacing="0" w:after="0" w:afterAutospacing="0"/>
              <w:ind w:left="0" w:right="0"/>
              <w:rPr>
                <w:rFonts w:hint="default"/>
                <w:highlight w:val="none"/>
              </w:rPr>
            </w:pPr>
            <w:r>
              <w:rPr>
                <w:rFonts w:hint="default"/>
                <w:highlight w:val="none"/>
              </w:rPr>
              <w:t>≤0.5</w:t>
            </w:r>
          </w:p>
        </w:tc>
      </w:tr>
      <w:tr w14:paraId="789A9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36A43A11">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1CD452A1">
            <w:pPr>
              <w:pStyle w:val="8"/>
              <w:suppressLineNumbers w:val="0"/>
              <w:bidi w:val="0"/>
              <w:spacing w:before="0" w:beforeAutospacing="0" w:after="0" w:afterAutospacing="0"/>
              <w:ind w:left="0" w:right="0"/>
              <w:rPr>
                <w:rFonts w:hint="default"/>
                <w:highlight w:val="none"/>
              </w:rPr>
            </w:pPr>
          </w:p>
        </w:tc>
        <w:tc>
          <w:tcPr>
            <w:tcW w:w="1509" w:type="dxa"/>
            <w:vAlign w:val="center"/>
          </w:tcPr>
          <w:p w14:paraId="3D972DB9">
            <w:pPr>
              <w:pStyle w:val="8"/>
              <w:suppressLineNumbers w:val="0"/>
              <w:bidi w:val="0"/>
              <w:spacing w:before="0" w:beforeAutospacing="0" w:after="0" w:afterAutospacing="0"/>
              <w:ind w:left="0" w:right="0"/>
              <w:rPr>
                <w:rFonts w:hint="default"/>
                <w:highlight w:val="none"/>
              </w:rPr>
            </w:pPr>
            <w:r>
              <w:rPr>
                <w:rFonts w:hint="default"/>
                <w:highlight w:val="none"/>
              </w:rPr>
              <w:t>总磷</w:t>
            </w:r>
          </w:p>
        </w:tc>
        <w:tc>
          <w:tcPr>
            <w:tcW w:w="1236" w:type="dxa"/>
            <w:vMerge w:val="continue"/>
            <w:vAlign w:val="center"/>
          </w:tcPr>
          <w:p w14:paraId="37006C8A">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54C6EA99">
            <w:pPr>
              <w:pStyle w:val="8"/>
              <w:suppressLineNumbers w:val="0"/>
              <w:bidi w:val="0"/>
              <w:spacing w:before="0" w:beforeAutospacing="0" w:after="0" w:afterAutospacing="0"/>
              <w:ind w:left="0" w:right="0"/>
              <w:rPr>
                <w:rFonts w:hint="default"/>
                <w:highlight w:val="none"/>
              </w:rPr>
            </w:pPr>
            <w:r>
              <w:rPr>
                <w:rFonts w:hint="default"/>
                <w:highlight w:val="none"/>
              </w:rPr>
              <w:t>≤0.3</w:t>
            </w:r>
          </w:p>
        </w:tc>
      </w:tr>
      <w:tr w14:paraId="6477F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restart"/>
            <w:vAlign w:val="center"/>
          </w:tcPr>
          <w:p w14:paraId="1DD38848">
            <w:pPr>
              <w:pStyle w:val="8"/>
              <w:suppressLineNumbers w:val="0"/>
              <w:bidi w:val="0"/>
              <w:spacing w:before="0" w:beforeAutospacing="0" w:after="0" w:afterAutospacing="0"/>
              <w:ind w:left="0" w:right="0"/>
              <w:rPr>
                <w:rFonts w:hint="default"/>
                <w:highlight w:val="none"/>
              </w:rPr>
            </w:pPr>
            <w:r>
              <w:rPr>
                <w:rFonts w:hint="default"/>
                <w:highlight w:val="none"/>
              </w:rPr>
              <w:t>地下水环境</w:t>
            </w:r>
          </w:p>
        </w:tc>
        <w:tc>
          <w:tcPr>
            <w:tcW w:w="2441" w:type="dxa"/>
            <w:vMerge w:val="restart"/>
            <w:vAlign w:val="center"/>
          </w:tcPr>
          <w:p w14:paraId="1F4A4BBC">
            <w:pPr>
              <w:pStyle w:val="8"/>
              <w:suppressLineNumbers w:val="0"/>
              <w:bidi w:val="0"/>
              <w:spacing w:before="0" w:beforeAutospacing="0" w:after="0" w:afterAutospacing="0"/>
              <w:ind w:left="0" w:right="0"/>
              <w:rPr>
                <w:rFonts w:hint="default"/>
                <w:highlight w:val="none"/>
              </w:rPr>
            </w:pPr>
            <w:r>
              <w:rPr>
                <w:rFonts w:hint="default"/>
                <w:highlight w:val="none"/>
              </w:rPr>
              <w:t>《地下水质量标准》（GB/T14848-2017）Ⅲ类</w:t>
            </w:r>
          </w:p>
        </w:tc>
        <w:tc>
          <w:tcPr>
            <w:tcW w:w="1509" w:type="dxa"/>
            <w:vAlign w:val="center"/>
          </w:tcPr>
          <w:p w14:paraId="54A388BF">
            <w:pPr>
              <w:pStyle w:val="8"/>
              <w:suppressLineNumbers w:val="0"/>
              <w:bidi w:val="0"/>
              <w:spacing w:before="0" w:beforeAutospacing="0" w:after="0" w:afterAutospacing="0"/>
              <w:ind w:left="0" w:right="0"/>
              <w:rPr>
                <w:rFonts w:hint="default"/>
                <w:highlight w:val="none"/>
              </w:rPr>
            </w:pPr>
            <w:r>
              <w:rPr>
                <w:rFonts w:hint="default"/>
                <w:highlight w:val="none"/>
              </w:rPr>
              <w:t>pH值</w:t>
            </w:r>
          </w:p>
        </w:tc>
        <w:tc>
          <w:tcPr>
            <w:tcW w:w="1236" w:type="dxa"/>
            <w:vAlign w:val="center"/>
          </w:tcPr>
          <w:p w14:paraId="1F653490">
            <w:pPr>
              <w:pStyle w:val="8"/>
              <w:suppressLineNumbers w:val="0"/>
              <w:bidi w:val="0"/>
              <w:spacing w:before="0" w:beforeAutospacing="0" w:after="0" w:afterAutospacing="0"/>
              <w:ind w:left="0" w:right="0"/>
              <w:rPr>
                <w:rFonts w:hint="default"/>
                <w:highlight w:val="none"/>
              </w:rPr>
            </w:pPr>
            <w:r>
              <w:rPr>
                <w:rFonts w:hint="default"/>
                <w:highlight w:val="none"/>
              </w:rPr>
              <w:t>无量纲</w:t>
            </w:r>
          </w:p>
        </w:tc>
        <w:tc>
          <w:tcPr>
            <w:tcW w:w="2498" w:type="dxa"/>
            <w:gridSpan w:val="2"/>
            <w:vAlign w:val="center"/>
          </w:tcPr>
          <w:p w14:paraId="6DB3A8D1">
            <w:pPr>
              <w:pStyle w:val="8"/>
              <w:suppressLineNumbers w:val="0"/>
              <w:bidi w:val="0"/>
              <w:spacing w:before="0" w:beforeAutospacing="0" w:after="0" w:afterAutospacing="0"/>
              <w:ind w:left="0" w:right="0"/>
              <w:rPr>
                <w:rFonts w:hint="default"/>
                <w:highlight w:val="none"/>
              </w:rPr>
            </w:pPr>
            <w:r>
              <w:rPr>
                <w:rFonts w:hint="default"/>
                <w:highlight w:val="none"/>
              </w:rPr>
              <w:t>6.5~8.5</w:t>
            </w:r>
          </w:p>
        </w:tc>
      </w:tr>
      <w:tr w14:paraId="52DBC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18C49F40">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5BB36346">
            <w:pPr>
              <w:pStyle w:val="8"/>
              <w:suppressLineNumbers w:val="0"/>
              <w:bidi w:val="0"/>
              <w:spacing w:before="0" w:beforeAutospacing="0" w:after="0" w:afterAutospacing="0"/>
              <w:ind w:left="0" w:right="0"/>
              <w:rPr>
                <w:rFonts w:hint="default"/>
                <w:highlight w:val="none"/>
              </w:rPr>
            </w:pPr>
          </w:p>
        </w:tc>
        <w:tc>
          <w:tcPr>
            <w:tcW w:w="1509" w:type="dxa"/>
            <w:vAlign w:val="center"/>
          </w:tcPr>
          <w:p w14:paraId="6C2329D4">
            <w:pPr>
              <w:pStyle w:val="8"/>
              <w:suppressLineNumbers w:val="0"/>
              <w:bidi w:val="0"/>
              <w:spacing w:before="0" w:beforeAutospacing="0" w:after="0" w:afterAutospacing="0"/>
              <w:ind w:left="0" w:right="0"/>
              <w:rPr>
                <w:rFonts w:hint="default"/>
                <w:highlight w:val="none"/>
              </w:rPr>
            </w:pPr>
            <w:r>
              <w:rPr>
                <w:rFonts w:hint="default"/>
                <w:highlight w:val="none"/>
              </w:rPr>
              <w:t>氨氮</w:t>
            </w:r>
          </w:p>
        </w:tc>
        <w:tc>
          <w:tcPr>
            <w:tcW w:w="1236" w:type="dxa"/>
            <w:vMerge w:val="restart"/>
            <w:vAlign w:val="center"/>
          </w:tcPr>
          <w:p w14:paraId="79109374">
            <w:pPr>
              <w:pStyle w:val="8"/>
              <w:suppressLineNumbers w:val="0"/>
              <w:bidi w:val="0"/>
              <w:spacing w:before="0" w:beforeAutospacing="0" w:after="0" w:afterAutospacing="0"/>
              <w:ind w:left="0" w:right="0"/>
              <w:rPr>
                <w:rFonts w:hint="default"/>
                <w:highlight w:val="none"/>
              </w:rPr>
            </w:pPr>
            <w:r>
              <w:rPr>
                <w:rFonts w:hint="default"/>
                <w:highlight w:val="none"/>
              </w:rPr>
              <w:t>mg/L</w:t>
            </w:r>
          </w:p>
        </w:tc>
        <w:tc>
          <w:tcPr>
            <w:tcW w:w="2498" w:type="dxa"/>
            <w:gridSpan w:val="2"/>
            <w:vAlign w:val="center"/>
          </w:tcPr>
          <w:p w14:paraId="0425F4AC">
            <w:pPr>
              <w:pStyle w:val="8"/>
              <w:suppressLineNumbers w:val="0"/>
              <w:bidi w:val="0"/>
              <w:spacing w:before="0" w:beforeAutospacing="0" w:after="0" w:afterAutospacing="0"/>
              <w:ind w:left="0" w:right="0"/>
              <w:rPr>
                <w:rFonts w:hint="default"/>
                <w:highlight w:val="none"/>
              </w:rPr>
            </w:pPr>
            <w:r>
              <w:rPr>
                <w:rFonts w:hint="default"/>
                <w:highlight w:val="none"/>
              </w:rPr>
              <w:t>≤0.5</w:t>
            </w:r>
          </w:p>
        </w:tc>
      </w:tr>
      <w:tr w14:paraId="77307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5B7D0AED">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1915EE2E">
            <w:pPr>
              <w:pStyle w:val="8"/>
              <w:suppressLineNumbers w:val="0"/>
              <w:bidi w:val="0"/>
              <w:spacing w:before="0" w:beforeAutospacing="0" w:after="0" w:afterAutospacing="0"/>
              <w:ind w:left="0" w:right="0"/>
              <w:rPr>
                <w:rFonts w:hint="default"/>
                <w:highlight w:val="none"/>
              </w:rPr>
            </w:pPr>
          </w:p>
        </w:tc>
        <w:tc>
          <w:tcPr>
            <w:tcW w:w="1509" w:type="dxa"/>
            <w:vAlign w:val="center"/>
          </w:tcPr>
          <w:p w14:paraId="1DCFEE35">
            <w:pPr>
              <w:pStyle w:val="8"/>
              <w:suppressLineNumbers w:val="0"/>
              <w:bidi w:val="0"/>
              <w:spacing w:before="0" w:beforeAutospacing="0" w:after="0" w:afterAutospacing="0"/>
              <w:ind w:left="0" w:right="0"/>
              <w:rPr>
                <w:rFonts w:hint="default"/>
                <w:highlight w:val="none"/>
              </w:rPr>
            </w:pPr>
            <w:r>
              <w:rPr>
                <w:rFonts w:hint="default"/>
                <w:highlight w:val="none"/>
              </w:rPr>
              <w:t>硝酸盐</w:t>
            </w:r>
          </w:p>
        </w:tc>
        <w:tc>
          <w:tcPr>
            <w:tcW w:w="1236" w:type="dxa"/>
            <w:vMerge w:val="continue"/>
            <w:vAlign w:val="center"/>
          </w:tcPr>
          <w:p w14:paraId="3F6C229A">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3BDD53FB">
            <w:pPr>
              <w:pStyle w:val="8"/>
              <w:suppressLineNumbers w:val="0"/>
              <w:bidi w:val="0"/>
              <w:spacing w:before="0" w:beforeAutospacing="0" w:after="0" w:afterAutospacing="0"/>
              <w:ind w:left="0" w:right="0"/>
              <w:rPr>
                <w:rFonts w:hint="default"/>
                <w:highlight w:val="none"/>
              </w:rPr>
            </w:pPr>
            <w:r>
              <w:rPr>
                <w:rFonts w:hint="default"/>
                <w:highlight w:val="none"/>
              </w:rPr>
              <w:t>≤20</w:t>
            </w:r>
          </w:p>
        </w:tc>
      </w:tr>
      <w:tr w14:paraId="74EF9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4C09C04A">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5E373160">
            <w:pPr>
              <w:pStyle w:val="8"/>
              <w:suppressLineNumbers w:val="0"/>
              <w:bidi w:val="0"/>
              <w:spacing w:before="0" w:beforeAutospacing="0" w:after="0" w:afterAutospacing="0"/>
              <w:ind w:left="0" w:right="0"/>
              <w:rPr>
                <w:rFonts w:hint="default"/>
                <w:highlight w:val="none"/>
              </w:rPr>
            </w:pPr>
          </w:p>
        </w:tc>
        <w:tc>
          <w:tcPr>
            <w:tcW w:w="1509" w:type="dxa"/>
            <w:vAlign w:val="center"/>
          </w:tcPr>
          <w:p w14:paraId="46E0D652">
            <w:pPr>
              <w:pStyle w:val="8"/>
              <w:suppressLineNumbers w:val="0"/>
              <w:bidi w:val="0"/>
              <w:spacing w:before="0" w:beforeAutospacing="0" w:after="0" w:afterAutospacing="0"/>
              <w:ind w:left="0" w:right="0"/>
              <w:rPr>
                <w:rFonts w:hint="default"/>
                <w:highlight w:val="none"/>
              </w:rPr>
            </w:pPr>
            <w:r>
              <w:rPr>
                <w:rFonts w:hint="default"/>
                <w:highlight w:val="none"/>
              </w:rPr>
              <w:t>亚硝酸盐</w:t>
            </w:r>
          </w:p>
        </w:tc>
        <w:tc>
          <w:tcPr>
            <w:tcW w:w="1236" w:type="dxa"/>
            <w:vMerge w:val="continue"/>
            <w:vAlign w:val="center"/>
          </w:tcPr>
          <w:p w14:paraId="4488F983">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22569906">
            <w:pPr>
              <w:pStyle w:val="8"/>
              <w:suppressLineNumbers w:val="0"/>
              <w:bidi w:val="0"/>
              <w:spacing w:before="0" w:beforeAutospacing="0" w:after="0" w:afterAutospacing="0"/>
              <w:ind w:left="0" w:right="0"/>
              <w:rPr>
                <w:rFonts w:hint="default"/>
                <w:highlight w:val="none"/>
              </w:rPr>
            </w:pPr>
            <w:r>
              <w:rPr>
                <w:rFonts w:hint="default"/>
                <w:highlight w:val="none"/>
              </w:rPr>
              <w:t>≤1.0</w:t>
            </w:r>
          </w:p>
        </w:tc>
      </w:tr>
      <w:tr w14:paraId="2464D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5C53C9C1">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6A7E569D">
            <w:pPr>
              <w:pStyle w:val="8"/>
              <w:suppressLineNumbers w:val="0"/>
              <w:bidi w:val="0"/>
              <w:spacing w:before="0" w:beforeAutospacing="0" w:after="0" w:afterAutospacing="0"/>
              <w:ind w:left="0" w:right="0"/>
              <w:rPr>
                <w:rFonts w:hint="default"/>
                <w:highlight w:val="none"/>
              </w:rPr>
            </w:pPr>
          </w:p>
        </w:tc>
        <w:tc>
          <w:tcPr>
            <w:tcW w:w="1509" w:type="dxa"/>
            <w:vAlign w:val="center"/>
          </w:tcPr>
          <w:p w14:paraId="51C1F98E">
            <w:pPr>
              <w:pStyle w:val="8"/>
              <w:suppressLineNumbers w:val="0"/>
              <w:bidi w:val="0"/>
              <w:spacing w:before="0" w:beforeAutospacing="0" w:after="0" w:afterAutospacing="0"/>
              <w:ind w:left="0" w:right="0"/>
              <w:rPr>
                <w:rFonts w:hint="default"/>
                <w:highlight w:val="none"/>
              </w:rPr>
            </w:pPr>
            <w:r>
              <w:rPr>
                <w:rFonts w:hint="default"/>
                <w:highlight w:val="none"/>
              </w:rPr>
              <w:t>挥发酚</w:t>
            </w:r>
          </w:p>
        </w:tc>
        <w:tc>
          <w:tcPr>
            <w:tcW w:w="1236" w:type="dxa"/>
            <w:vMerge w:val="continue"/>
            <w:vAlign w:val="center"/>
          </w:tcPr>
          <w:p w14:paraId="05324810">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7D63C9DE">
            <w:pPr>
              <w:pStyle w:val="8"/>
              <w:suppressLineNumbers w:val="0"/>
              <w:bidi w:val="0"/>
              <w:spacing w:before="0" w:beforeAutospacing="0" w:after="0" w:afterAutospacing="0"/>
              <w:ind w:left="0" w:right="0"/>
              <w:rPr>
                <w:rFonts w:hint="default"/>
                <w:highlight w:val="none"/>
              </w:rPr>
            </w:pPr>
            <w:r>
              <w:rPr>
                <w:rFonts w:hint="default"/>
                <w:highlight w:val="none"/>
              </w:rPr>
              <w:t>≤0.002</w:t>
            </w:r>
          </w:p>
        </w:tc>
      </w:tr>
      <w:tr w14:paraId="40E63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6FD70156">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420C6552">
            <w:pPr>
              <w:pStyle w:val="8"/>
              <w:suppressLineNumbers w:val="0"/>
              <w:bidi w:val="0"/>
              <w:spacing w:before="0" w:beforeAutospacing="0" w:after="0" w:afterAutospacing="0"/>
              <w:ind w:left="0" w:right="0"/>
              <w:rPr>
                <w:rFonts w:hint="default"/>
                <w:highlight w:val="none"/>
              </w:rPr>
            </w:pPr>
          </w:p>
        </w:tc>
        <w:tc>
          <w:tcPr>
            <w:tcW w:w="1509" w:type="dxa"/>
            <w:vAlign w:val="center"/>
          </w:tcPr>
          <w:p w14:paraId="2A0FA831">
            <w:pPr>
              <w:pStyle w:val="8"/>
              <w:suppressLineNumbers w:val="0"/>
              <w:bidi w:val="0"/>
              <w:spacing w:before="0" w:beforeAutospacing="0" w:after="0" w:afterAutospacing="0"/>
              <w:ind w:left="0" w:right="0"/>
              <w:rPr>
                <w:rFonts w:hint="default"/>
                <w:highlight w:val="none"/>
              </w:rPr>
            </w:pPr>
            <w:r>
              <w:rPr>
                <w:rFonts w:hint="default"/>
                <w:highlight w:val="none"/>
              </w:rPr>
              <w:t>氰化物</w:t>
            </w:r>
          </w:p>
        </w:tc>
        <w:tc>
          <w:tcPr>
            <w:tcW w:w="1236" w:type="dxa"/>
            <w:vMerge w:val="continue"/>
            <w:vAlign w:val="center"/>
          </w:tcPr>
          <w:p w14:paraId="130C16D8">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7C1D12F7">
            <w:pPr>
              <w:pStyle w:val="8"/>
              <w:suppressLineNumbers w:val="0"/>
              <w:bidi w:val="0"/>
              <w:spacing w:before="0" w:beforeAutospacing="0" w:after="0" w:afterAutospacing="0"/>
              <w:ind w:left="0" w:right="0"/>
              <w:rPr>
                <w:rFonts w:hint="default"/>
                <w:highlight w:val="none"/>
              </w:rPr>
            </w:pPr>
            <w:r>
              <w:rPr>
                <w:rFonts w:hint="default"/>
                <w:highlight w:val="none"/>
              </w:rPr>
              <w:t>≤0.05</w:t>
            </w:r>
          </w:p>
        </w:tc>
      </w:tr>
      <w:tr w14:paraId="1BE77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424A3BE5">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4E813AEA">
            <w:pPr>
              <w:pStyle w:val="8"/>
              <w:suppressLineNumbers w:val="0"/>
              <w:bidi w:val="0"/>
              <w:spacing w:before="0" w:beforeAutospacing="0" w:after="0" w:afterAutospacing="0"/>
              <w:ind w:left="0" w:right="0"/>
              <w:rPr>
                <w:rFonts w:hint="default"/>
                <w:highlight w:val="none"/>
              </w:rPr>
            </w:pPr>
          </w:p>
        </w:tc>
        <w:tc>
          <w:tcPr>
            <w:tcW w:w="1509" w:type="dxa"/>
            <w:vAlign w:val="center"/>
          </w:tcPr>
          <w:p w14:paraId="72BBD49C">
            <w:pPr>
              <w:pStyle w:val="8"/>
              <w:suppressLineNumbers w:val="0"/>
              <w:bidi w:val="0"/>
              <w:spacing w:before="0" w:beforeAutospacing="0" w:after="0" w:afterAutospacing="0"/>
              <w:ind w:left="0" w:right="0"/>
              <w:rPr>
                <w:rFonts w:hint="default"/>
                <w:highlight w:val="none"/>
              </w:rPr>
            </w:pPr>
            <w:r>
              <w:rPr>
                <w:rFonts w:hint="default"/>
                <w:highlight w:val="none"/>
              </w:rPr>
              <w:t>砷</w:t>
            </w:r>
          </w:p>
        </w:tc>
        <w:tc>
          <w:tcPr>
            <w:tcW w:w="1236" w:type="dxa"/>
            <w:vMerge w:val="continue"/>
            <w:vAlign w:val="center"/>
          </w:tcPr>
          <w:p w14:paraId="3ABA7DDA">
            <w:pPr>
              <w:pStyle w:val="8"/>
              <w:suppressLineNumbers w:val="0"/>
              <w:bidi w:val="0"/>
              <w:spacing w:before="0" w:beforeAutospacing="0" w:after="0" w:afterAutospacing="0"/>
              <w:ind w:left="0" w:right="0"/>
              <w:rPr>
                <w:rFonts w:hint="default"/>
                <w:highlight w:val="none"/>
              </w:rPr>
            </w:pPr>
          </w:p>
        </w:tc>
        <w:tc>
          <w:tcPr>
            <w:tcW w:w="2498" w:type="dxa"/>
            <w:gridSpan w:val="2"/>
            <w:vAlign w:val="center"/>
          </w:tcPr>
          <w:p w14:paraId="30BD9D91">
            <w:pPr>
              <w:pStyle w:val="8"/>
              <w:suppressLineNumbers w:val="0"/>
              <w:bidi w:val="0"/>
              <w:spacing w:before="0" w:beforeAutospacing="0" w:after="0" w:afterAutospacing="0"/>
              <w:ind w:left="0" w:right="0"/>
              <w:rPr>
                <w:rFonts w:hint="default"/>
                <w:highlight w:val="none"/>
              </w:rPr>
            </w:pPr>
            <w:r>
              <w:rPr>
                <w:rFonts w:hint="default"/>
                <w:highlight w:val="none"/>
              </w:rPr>
              <w:t>≤0.01</w:t>
            </w:r>
          </w:p>
        </w:tc>
      </w:tr>
      <w:tr w14:paraId="5CACF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238980A0">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1DBEDB38">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7D2B843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汞</w:t>
            </w:r>
          </w:p>
        </w:tc>
        <w:tc>
          <w:tcPr>
            <w:tcW w:w="1236" w:type="dxa"/>
            <w:vMerge w:val="continue"/>
            <w:vAlign w:val="center"/>
          </w:tcPr>
          <w:p w14:paraId="6268BCEB">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080D46D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≤0.001</w:t>
            </w:r>
          </w:p>
        </w:tc>
      </w:tr>
      <w:tr w14:paraId="54DB7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Align w:val="center"/>
          </w:tcPr>
          <w:p w14:paraId="17B7F9EC">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21DFD59A">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5C8A594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六价铬</w:t>
            </w:r>
          </w:p>
        </w:tc>
        <w:tc>
          <w:tcPr>
            <w:tcW w:w="1236" w:type="dxa"/>
            <w:vMerge w:val="continue"/>
            <w:vAlign w:val="center"/>
          </w:tcPr>
          <w:p w14:paraId="2C8E196E">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464745B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≤0.05</w:t>
            </w:r>
          </w:p>
        </w:tc>
      </w:tr>
    </w:tbl>
    <w:p w14:paraId="71444F6B">
      <w:pPr>
        <w:pStyle w:val="8"/>
        <w:bidi w:val="0"/>
        <w:rPr>
          <w:rFonts w:hint="eastAsia"/>
          <w:highlight w:val="none"/>
          <w:lang w:val="en-US" w:eastAsia="zh-CN"/>
        </w:rPr>
      </w:pPr>
    </w:p>
    <w:p w14:paraId="7F0DB338">
      <w:pPr>
        <w:pStyle w:val="7"/>
        <w:bidi w:val="0"/>
        <w:rPr>
          <w:highlight w:val="none"/>
        </w:rPr>
      </w:pPr>
      <w:r>
        <w:rPr>
          <w:rFonts w:hint="eastAsia"/>
          <w:highlight w:val="none"/>
          <w:lang w:val="en-US" w:eastAsia="zh-CN"/>
        </w:rPr>
        <w:t>续</w:t>
      </w:r>
      <w:r>
        <w:rPr>
          <w:highlight w:val="none"/>
        </w:rPr>
        <w:t>表2-3-1环境质量标准表</w:t>
      </w:r>
    </w:p>
    <w:tbl>
      <w:tblPr>
        <w:tblStyle w:val="44"/>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441"/>
        <w:gridCol w:w="1509"/>
        <w:gridCol w:w="1236"/>
        <w:gridCol w:w="1498"/>
        <w:gridCol w:w="1000"/>
      </w:tblGrid>
      <w:tr w14:paraId="2BF8E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restart"/>
            <w:vAlign w:val="center"/>
          </w:tcPr>
          <w:p w14:paraId="1BBE7222">
            <w:pPr>
              <w:pStyle w:val="8"/>
              <w:suppressLineNumbers w:val="0"/>
              <w:bidi w:val="0"/>
              <w:spacing w:before="0" w:beforeAutospacing="0" w:after="0" w:afterAutospacing="0"/>
              <w:ind w:left="0" w:right="0"/>
              <w:rPr>
                <w:rFonts w:hint="default"/>
                <w:highlight w:val="none"/>
              </w:rPr>
            </w:pPr>
            <w:r>
              <w:rPr>
                <w:rFonts w:hint="default"/>
                <w:highlight w:val="none"/>
              </w:rPr>
              <w:t>地下水环境</w:t>
            </w:r>
          </w:p>
        </w:tc>
        <w:tc>
          <w:tcPr>
            <w:tcW w:w="2441" w:type="dxa"/>
            <w:vMerge w:val="restart"/>
            <w:vAlign w:val="center"/>
          </w:tcPr>
          <w:p w14:paraId="64D706C2">
            <w:pPr>
              <w:pStyle w:val="8"/>
              <w:suppressLineNumbers w:val="0"/>
              <w:bidi w:val="0"/>
              <w:spacing w:before="0" w:beforeAutospacing="0" w:after="0" w:afterAutospacing="0"/>
              <w:ind w:left="0" w:right="0"/>
              <w:rPr>
                <w:rFonts w:hint="default"/>
                <w:highlight w:val="none"/>
              </w:rPr>
            </w:pPr>
            <w:r>
              <w:rPr>
                <w:rFonts w:hint="default"/>
                <w:highlight w:val="none"/>
              </w:rPr>
              <w:t>《地下水质量标准》（GB/T14848-2017）Ⅲ类</w:t>
            </w:r>
          </w:p>
        </w:tc>
        <w:tc>
          <w:tcPr>
            <w:tcW w:w="1509" w:type="dxa"/>
            <w:shd w:val="clear" w:color="auto" w:fill="auto"/>
            <w:vAlign w:val="center"/>
          </w:tcPr>
          <w:p w14:paraId="0B72C42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总硬度</w:t>
            </w:r>
          </w:p>
        </w:tc>
        <w:tc>
          <w:tcPr>
            <w:tcW w:w="1236" w:type="dxa"/>
            <w:vMerge w:val="restart"/>
            <w:vAlign w:val="center"/>
          </w:tcPr>
          <w:p w14:paraId="368A37C9">
            <w:pPr>
              <w:pStyle w:val="8"/>
              <w:suppressLineNumbers w:val="0"/>
              <w:bidi w:val="0"/>
              <w:spacing w:before="0" w:beforeAutospacing="0" w:after="0" w:afterAutospacing="0"/>
              <w:ind w:left="0" w:right="0"/>
              <w:rPr>
                <w:rFonts w:hint="default"/>
                <w:highlight w:val="none"/>
              </w:rPr>
            </w:pPr>
            <w:r>
              <w:rPr>
                <w:rFonts w:hint="default"/>
                <w:highlight w:val="none"/>
              </w:rPr>
              <w:t>mg/L</w:t>
            </w:r>
          </w:p>
        </w:tc>
        <w:tc>
          <w:tcPr>
            <w:tcW w:w="2498" w:type="dxa"/>
            <w:gridSpan w:val="2"/>
            <w:shd w:val="clear" w:color="auto" w:fill="auto"/>
            <w:vAlign w:val="center"/>
          </w:tcPr>
          <w:p w14:paraId="3355F8F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≤450</w:t>
            </w:r>
          </w:p>
        </w:tc>
      </w:tr>
      <w:tr w14:paraId="11F1D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1C1266B6">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32E7269C">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04D79D4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氟化物</w:t>
            </w:r>
          </w:p>
        </w:tc>
        <w:tc>
          <w:tcPr>
            <w:tcW w:w="1236" w:type="dxa"/>
            <w:vMerge w:val="continue"/>
            <w:vAlign w:val="center"/>
          </w:tcPr>
          <w:p w14:paraId="1D8A278E">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4E460B7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≤1.0</w:t>
            </w:r>
          </w:p>
        </w:tc>
      </w:tr>
      <w:tr w14:paraId="491C4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7897F152">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74D627C5">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76EBBAE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lang w:val="zh-CN"/>
              </w:rPr>
              <w:t>氰化物</w:t>
            </w:r>
          </w:p>
        </w:tc>
        <w:tc>
          <w:tcPr>
            <w:tcW w:w="1236" w:type="dxa"/>
            <w:vMerge w:val="continue"/>
            <w:vAlign w:val="center"/>
          </w:tcPr>
          <w:p w14:paraId="20F7F434">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239D9BF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lang w:val="zh-CN"/>
              </w:rPr>
              <w:t>≤0.05</w:t>
            </w:r>
          </w:p>
        </w:tc>
      </w:tr>
      <w:tr w14:paraId="7BBF9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311A6EF7">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121E4D91">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4DCEBD4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lang w:val="zh-CN"/>
              </w:rPr>
              <w:t>氯化物</w:t>
            </w:r>
          </w:p>
        </w:tc>
        <w:tc>
          <w:tcPr>
            <w:tcW w:w="1236" w:type="dxa"/>
            <w:vMerge w:val="continue"/>
            <w:vAlign w:val="center"/>
          </w:tcPr>
          <w:p w14:paraId="32EE870E">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00B18A4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lang w:val="zh-CN"/>
              </w:rPr>
              <w:t>≤250</w:t>
            </w:r>
          </w:p>
        </w:tc>
      </w:tr>
      <w:tr w14:paraId="5D15C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6EABB893">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5D502AA9">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0FA0FD6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lang w:val="zh-CN"/>
              </w:rPr>
              <w:t>硫酸盐</w:t>
            </w:r>
          </w:p>
        </w:tc>
        <w:tc>
          <w:tcPr>
            <w:tcW w:w="1236" w:type="dxa"/>
            <w:vMerge w:val="continue"/>
            <w:vAlign w:val="center"/>
          </w:tcPr>
          <w:p w14:paraId="3FA49A8E">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532F82D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lang w:val="zh-CN"/>
              </w:rPr>
              <w:t>≤</w:t>
            </w:r>
            <w:r>
              <w:rPr>
                <w:rFonts w:hint="default"/>
                <w:highlight w:val="none"/>
              </w:rPr>
              <w:t>250</w:t>
            </w:r>
          </w:p>
        </w:tc>
      </w:tr>
      <w:tr w14:paraId="3820D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676F430B">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365C4B02">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33842E7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lang w:val="zh-CN"/>
              </w:rPr>
              <w:t>锌</w:t>
            </w:r>
          </w:p>
        </w:tc>
        <w:tc>
          <w:tcPr>
            <w:tcW w:w="1236" w:type="dxa"/>
            <w:vMerge w:val="continue"/>
            <w:vAlign w:val="center"/>
          </w:tcPr>
          <w:p w14:paraId="3219C8C7">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6A9665C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lang w:val="zh-CN"/>
              </w:rPr>
              <w:t>≤</w:t>
            </w:r>
            <w:r>
              <w:rPr>
                <w:rFonts w:hint="default"/>
                <w:highlight w:val="none"/>
              </w:rPr>
              <w:t>1.00</w:t>
            </w:r>
          </w:p>
        </w:tc>
      </w:tr>
      <w:tr w14:paraId="1F937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397AF24E">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68E31606">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73DCD24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铅</w:t>
            </w:r>
          </w:p>
        </w:tc>
        <w:tc>
          <w:tcPr>
            <w:tcW w:w="1236" w:type="dxa"/>
            <w:vMerge w:val="continue"/>
            <w:vAlign w:val="center"/>
          </w:tcPr>
          <w:p w14:paraId="0CCA2A39">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216D110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≤0.01</w:t>
            </w:r>
          </w:p>
        </w:tc>
      </w:tr>
      <w:tr w14:paraId="7920B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23B25CCC">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53B59DB3">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1156D5CA">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镉</w:t>
            </w:r>
          </w:p>
        </w:tc>
        <w:tc>
          <w:tcPr>
            <w:tcW w:w="1236" w:type="dxa"/>
            <w:vMerge w:val="continue"/>
            <w:vAlign w:val="center"/>
          </w:tcPr>
          <w:p w14:paraId="6DAE64CB">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6584602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≤0.005</w:t>
            </w:r>
          </w:p>
        </w:tc>
      </w:tr>
      <w:tr w14:paraId="49B14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63B6AA81">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5E1BC640">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73D542C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锰</w:t>
            </w:r>
          </w:p>
        </w:tc>
        <w:tc>
          <w:tcPr>
            <w:tcW w:w="1236" w:type="dxa"/>
            <w:vMerge w:val="continue"/>
            <w:vAlign w:val="center"/>
          </w:tcPr>
          <w:p w14:paraId="00C09B8E">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311996D0">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≤0.1</w:t>
            </w:r>
          </w:p>
        </w:tc>
      </w:tr>
      <w:tr w14:paraId="733FA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6311B43A">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23BB4B67">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2B30F80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铁</w:t>
            </w:r>
          </w:p>
        </w:tc>
        <w:tc>
          <w:tcPr>
            <w:tcW w:w="1236" w:type="dxa"/>
            <w:vMerge w:val="continue"/>
            <w:vAlign w:val="center"/>
          </w:tcPr>
          <w:p w14:paraId="0B29F345">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68ED26F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≤0.3</w:t>
            </w:r>
          </w:p>
        </w:tc>
      </w:tr>
      <w:tr w14:paraId="1DCAF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0DB7FE2C">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1F4D5B4C">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297B101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溶解性总固体</w:t>
            </w:r>
          </w:p>
        </w:tc>
        <w:tc>
          <w:tcPr>
            <w:tcW w:w="1236" w:type="dxa"/>
            <w:vMerge w:val="continue"/>
            <w:vAlign w:val="center"/>
          </w:tcPr>
          <w:p w14:paraId="0891D4B6">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40DCBD0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≤1000</w:t>
            </w:r>
          </w:p>
        </w:tc>
      </w:tr>
      <w:tr w14:paraId="6CE9B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2D97CBA4">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44E0AADA">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369BFC5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耗氧量</w:t>
            </w:r>
          </w:p>
        </w:tc>
        <w:tc>
          <w:tcPr>
            <w:tcW w:w="1236" w:type="dxa"/>
            <w:vMerge w:val="continue"/>
            <w:vAlign w:val="center"/>
          </w:tcPr>
          <w:p w14:paraId="756CAE00">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492C1D8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≤3.0</w:t>
            </w:r>
          </w:p>
        </w:tc>
      </w:tr>
      <w:tr w14:paraId="1B30A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1A2F5C50">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2EBFAC92">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22B9120B">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eastAsia"/>
                <w:highlight w:val="none"/>
                <w:lang w:val="zh-CN"/>
              </w:rPr>
              <w:t>钠</w:t>
            </w:r>
          </w:p>
        </w:tc>
        <w:tc>
          <w:tcPr>
            <w:tcW w:w="1236" w:type="dxa"/>
            <w:vMerge w:val="continue"/>
            <w:vAlign w:val="center"/>
          </w:tcPr>
          <w:p w14:paraId="1D21943D">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417AEE7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lang w:val="zh-CN"/>
              </w:rPr>
              <w:t>≤200</w:t>
            </w:r>
          </w:p>
        </w:tc>
      </w:tr>
      <w:tr w14:paraId="4ADEB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2EAED289">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566B8F7C">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5785D65A">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lang w:val="zh-CN"/>
              </w:rPr>
              <w:t>阴离子表面活性剂</w:t>
            </w:r>
          </w:p>
        </w:tc>
        <w:tc>
          <w:tcPr>
            <w:tcW w:w="1236" w:type="dxa"/>
            <w:vMerge w:val="continue"/>
            <w:vAlign w:val="center"/>
          </w:tcPr>
          <w:p w14:paraId="1AE65125">
            <w:pPr>
              <w:pStyle w:val="8"/>
              <w:suppressLineNumbers w:val="0"/>
              <w:bidi w:val="0"/>
              <w:spacing w:before="0" w:beforeAutospacing="0" w:after="0" w:afterAutospacing="0"/>
              <w:ind w:left="0" w:right="0"/>
              <w:rPr>
                <w:rFonts w:hint="default"/>
                <w:highlight w:val="none"/>
              </w:rPr>
            </w:pPr>
          </w:p>
        </w:tc>
        <w:tc>
          <w:tcPr>
            <w:tcW w:w="2498" w:type="dxa"/>
            <w:gridSpan w:val="2"/>
            <w:shd w:val="clear" w:color="auto" w:fill="auto"/>
            <w:vAlign w:val="center"/>
          </w:tcPr>
          <w:p w14:paraId="78BE3F0B">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lang w:val="zh-CN"/>
              </w:rPr>
              <w:t>≤</w:t>
            </w:r>
            <w:r>
              <w:rPr>
                <w:rFonts w:hint="default"/>
                <w:highlight w:val="none"/>
              </w:rPr>
              <w:t>0.3</w:t>
            </w:r>
          </w:p>
        </w:tc>
      </w:tr>
      <w:tr w14:paraId="2FBA5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47A460F5">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14872315">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14BE5CA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总大肠菌群</w:t>
            </w:r>
          </w:p>
        </w:tc>
        <w:tc>
          <w:tcPr>
            <w:tcW w:w="1236" w:type="dxa"/>
            <w:shd w:val="clear" w:color="auto" w:fill="auto"/>
            <w:vAlign w:val="center"/>
          </w:tcPr>
          <w:p w14:paraId="67E5C52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MPN/100mL</w:t>
            </w:r>
          </w:p>
        </w:tc>
        <w:tc>
          <w:tcPr>
            <w:tcW w:w="2498" w:type="dxa"/>
            <w:gridSpan w:val="2"/>
            <w:shd w:val="clear" w:color="auto" w:fill="auto"/>
            <w:vAlign w:val="center"/>
          </w:tcPr>
          <w:p w14:paraId="0FA6E8F0">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≤3.0</w:t>
            </w:r>
          </w:p>
        </w:tc>
      </w:tr>
      <w:tr w14:paraId="216C4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18A1DE29">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40F3760F">
            <w:pPr>
              <w:pStyle w:val="8"/>
              <w:suppressLineNumbers w:val="0"/>
              <w:bidi w:val="0"/>
              <w:spacing w:before="0" w:beforeAutospacing="0" w:after="0" w:afterAutospacing="0"/>
              <w:ind w:left="0" w:right="0"/>
              <w:rPr>
                <w:rFonts w:hint="default"/>
                <w:highlight w:val="none"/>
              </w:rPr>
            </w:pPr>
          </w:p>
        </w:tc>
        <w:tc>
          <w:tcPr>
            <w:tcW w:w="1509" w:type="dxa"/>
            <w:shd w:val="clear" w:color="auto" w:fill="auto"/>
            <w:vAlign w:val="center"/>
          </w:tcPr>
          <w:p w14:paraId="2817E6D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细菌总数</w:t>
            </w:r>
          </w:p>
        </w:tc>
        <w:tc>
          <w:tcPr>
            <w:tcW w:w="1236" w:type="dxa"/>
            <w:shd w:val="clear" w:color="auto" w:fill="auto"/>
            <w:vAlign w:val="center"/>
          </w:tcPr>
          <w:p w14:paraId="7714EF3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CFU/mL</w:t>
            </w:r>
          </w:p>
        </w:tc>
        <w:tc>
          <w:tcPr>
            <w:tcW w:w="2498" w:type="dxa"/>
            <w:gridSpan w:val="2"/>
            <w:shd w:val="clear" w:color="auto" w:fill="auto"/>
            <w:vAlign w:val="center"/>
          </w:tcPr>
          <w:p w14:paraId="3468335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zh-CN" w:eastAsia="zh-CN" w:bidi="ar-SA"/>
              </w:rPr>
            </w:pPr>
            <w:r>
              <w:rPr>
                <w:rFonts w:hint="default"/>
                <w:highlight w:val="none"/>
              </w:rPr>
              <w:t>≤100</w:t>
            </w:r>
          </w:p>
        </w:tc>
      </w:tr>
      <w:tr w14:paraId="7332A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55A70EDF">
            <w:pPr>
              <w:pStyle w:val="8"/>
              <w:suppressLineNumbers w:val="0"/>
              <w:bidi w:val="0"/>
              <w:spacing w:before="0" w:beforeAutospacing="0" w:after="0" w:afterAutospacing="0"/>
              <w:ind w:left="0" w:right="0"/>
              <w:rPr>
                <w:rFonts w:hint="default"/>
                <w:highlight w:val="none"/>
              </w:rPr>
            </w:pPr>
          </w:p>
        </w:tc>
        <w:tc>
          <w:tcPr>
            <w:tcW w:w="2441" w:type="dxa"/>
            <w:vAlign w:val="center"/>
          </w:tcPr>
          <w:p w14:paraId="7A970BCE">
            <w:pPr>
              <w:pStyle w:val="8"/>
              <w:suppressLineNumbers w:val="0"/>
              <w:bidi w:val="0"/>
              <w:spacing w:before="0" w:beforeAutospacing="0" w:after="0" w:afterAutospacing="0"/>
              <w:ind w:left="0" w:right="0"/>
              <w:rPr>
                <w:rFonts w:hint="default"/>
                <w:highlight w:val="none"/>
              </w:rPr>
            </w:pPr>
            <w:r>
              <w:rPr>
                <w:rFonts w:hint="default"/>
                <w:highlight w:val="none"/>
              </w:rPr>
              <w:t>《地表水环境质量标准》（GB3838-2002）</w:t>
            </w:r>
            <w:r>
              <w:rPr>
                <w:rFonts w:hint="default"/>
                <w:highlight w:val="none"/>
              </w:rPr>
              <w:fldChar w:fldCharType="begin"/>
            </w:r>
            <w:r>
              <w:rPr>
                <w:rFonts w:hint="default"/>
                <w:highlight w:val="none"/>
              </w:rPr>
              <w:instrText xml:space="preserve"> </w:instrText>
            </w:r>
            <w:r>
              <w:rPr>
                <w:rFonts w:hint="eastAsia"/>
                <w:highlight w:val="none"/>
              </w:rPr>
              <w:instrText xml:space="preserve">= 2 \* ROMAN</w:instrText>
            </w:r>
            <w:r>
              <w:rPr>
                <w:rFonts w:hint="default"/>
                <w:highlight w:val="none"/>
              </w:rPr>
              <w:instrText xml:space="preserve"> </w:instrText>
            </w:r>
            <w:r>
              <w:rPr>
                <w:rFonts w:hint="default"/>
                <w:highlight w:val="none"/>
              </w:rPr>
              <w:fldChar w:fldCharType="separate"/>
            </w:r>
            <w:r>
              <w:rPr>
                <w:rFonts w:hint="default"/>
                <w:highlight w:val="none"/>
              </w:rPr>
              <w:t>Ⅲ</w:t>
            </w:r>
            <w:r>
              <w:rPr>
                <w:rFonts w:hint="default"/>
                <w:highlight w:val="none"/>
              </w:rPr>
              <w:fldChar w:fldCharType="end"/>
            </w:r>
            <w:r>
              <w:rPr>
                <w:rFonts w:hint="default"/>
                <w:highlight w:val="none"/>
              </w:rPr>
              <w:t>类标准</w:t>
            </w:r>
          </w:p>
        </w:tc>
        <w:tc>
          <w:tcPr>
            <w:tcW w:w="1509" w:type="dxa"/>
            <w:vAlign w:val="center"/>
          </w:tcPr>
          <w:p w14:paraId="36E20949">
            <w:pPr>
              <w:pStyle w:val="8"/>
              <w:suppressLineNumbers w:val="0"/>
              <w:bidi w:val="0"/>
              <w:spacing w:before="0" w:beforeAutospacing="0" w:after="0" w:afterAutospacing="0"/>
              <w:ind w:left="0" w:right="0"/>
              <w:rPr>
                <w:rFonts w:hint="default"/>
                <w:highlight w:val="none"/>
              </w:rPr>
            </w:pPr>
            <w:r>
              <w:rPr>
                <w:rFonts w:hint="default"/>
                <w:highlight w:val="none"/>
              </w:rPr>
              <w:t>石油类</w:t>
            </w:r>
          </w:p>
        </w:tc>
        <w:tc>
          <w:tcPr>
            <w:tcW w:w="1236" w:type="dxa"/>
            <w:vAlign w:val="center"/>
          </w:tcPr>
          <w:p w14:paraId="3A3645C7">
            <w:pPr>
              <w:pStyle w:val="8"/>
              <w:suppressLineNumbers w:val="0"/>
              <w:bidi w:val="0"/>
              <w:spacing w:before="0" w:beforeAutospacing="0" w:after="0" w:afterAutospacing="0"/>
              <w:ind w:left="0" w:right="0"/>
              <w:rPr>
                <w:rFonts w:hint="default"/>
                <w:highlight w:val="none"/>
              </w:rPr>
            </w:pPr>
            <w:r>
              <w:rPr>
                <w:rFonts w:hint="default"/>
                <w:highlight w:val="none"/>
              </w:rPr>
              <w:t>mg/L</w:t>
            </w:r>
          </w:p>
        </w:tc>
        <w:tc>
          <w:tcPr>
            <w:tcW w:w="2498" w:type="dxa"/>
            <w:gridSpan w:val="2"/>
            <w:vAlign w:val="center"/>
          </w:tcPr>
          <w:p w14:paraId="210C35B4">
            <w:pPr>
              <w:pStyle w:val="8"/>
              <w:suppressLineNumbers w:val="0"/>
              <w:bidi w:val="0"/>
              <w:spacing w:before="0" w:beforeAutospacing="0" w:after="0" w:afterAutospacing="0"/>
              <w:ind w:left="0" w:right="0"/>
              <w:rPr>
                <w:rFonts w:hint="default"/>
                <w:highlight w:val="none"/>
              </w:rPr>
            </w:pPr>
            <w:r>
              <w:rPr>
                <w:rFonts w:hint="default"/>
                <w:highlight w:val="none"/>
              </w:rPr>
              <w:t>0.05</w:t>
            </w:r>
          </w:p>
        </w:tc>
      </w:tr>
      <w:tr w14:paraId="58C7B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5AC1771C">
            <w:pPr>
              <w:pStyle w:val="8"/>
              <w:suppressLineNumbers w:val="0"/>
              <w:bidi w:val="0"/>
              <w:spacing w:before="0" w:beforeAutospacing="0" w:after="0" w:afterAutospacing="0"/>
              <w:ind w:left="0" w:right="0"/>
              <w:rPr>
                <w:rFonts w:hint="default"/>
                <w:highlight w:val="none"/>
              </w:rPr>
            </w:pPr>
          </w:p>
        </w:tc>
        <w:tc>
          <w:tcPr>
            <w:tcW w:w="2441" w:type="dxa"/>
            <w:vMerge w:val="restart"/>
            <w:vAlign w:val="center"/>
          </w:tcPr>
          <w:p w14:paraId="35763BFA">
            <w:pPr>
              <w:pStyle w:val="8"/>
              <w:suppressLineNumbers w:val="0"/>
              <w:bidi w:val="0"/>
              <w:spacing w:before="0" w:beforeAutospacing="0" w:after="0" w:afterAutospacing="0"/>
              <w:ind w:left="0" w:leftChars="0" w:right="0" w:rightChars="0" w:firstLine="0" w:firstLineChars="0"/>
              <w:rPr>
                <w:rFonts w:hint="default"/>
                <w:highlight w:val="none"/>
              </w:rPr>
            </w:pPr>
            <w:r>
              <w:rPr>
                <w:rFonts w:hint="default"/>
                <w:highlight w:val="none"/>
              </w:rPr>
              <w:t>《声环境质量标准》（GB3096-2008）</w:t>
            </w:r>
            <w:r>
              <w:rPr>
                <w:rFonts w:hint="eastAsia"/>
                <w:highlight w:val="none"/>
                <w:lang w:val="en-US" w:eastAsia="zh-CN"/>
              </w:rPr>
              <w:t>2</w:t>
            </w:r>
            <w:r>
              <w:rPr>
                <w:rFonts w:hint="default"/>
                <w:highlight w:val="none"/>
              </w:rPr>
              <w:t>类</w:t>
            </w:r>
          </w:p>
        </w:tc>
        <w:tc>
          <w:tcPr>
            <w:tcW w:w="1509" w:type="dxa"/>
            <w:vMerge w:val="restart"/>
            <w:vAlign w:val="center"/>
          </w:tcPr>
          <w:p w14:paraId="1B0485FF">
            <w:pPr>
              <w:pStyle w:val="8"/>
              <w:suppressLineNumbers w:val="0"/>
              <w:bidi w:val="0"/>
              <w:spacing w:before="0" w:beforeAutospacing="0" w:after="0" w:afterAutospacing="0"/>
              <w:ind w:left="0" w:leftChars="0" w:right="0" w:rightChars="0" w:firstLine="0" w:firstLineChars="0"/>
              <w:rPr>
                <w:rFonts w:hint="default"/>
                <w:highlight w:val="none"/>
              </w:rPr>
            </w:pPr>
            <w:r>
              <w:rPr>
                <w:rFonts w:hint="default"/>
                <w:highlight w:val="none"/>
              </w:rPr>
              <w:t>连续等效声压级</w:t>
            </w:r>
          </w:p>
        </w:tc>
        <w:tc>
          <w:tcPr>
            <w:tcW w:w="1236" w:type="dxa"/>
            <w:vMerge w:val="restart"/>
            <w:vAlign w:val="center"/>
          </w:tcPr>
          <w:p w14:paraId="1934CE20">
            <w:pPr>
              <w:pStyle w:val="8"/>
              <w:suppressLineNumbers w:val="0"/>
              <w:bidi w:val="0"/>
              <w:spacing w:before="0" w:beforeAutospacing="0" w:after="0" w:afterAutospacing="0"/>
              <w:ind w:left="0" w:leftChars="0" w:right="0" w:rightChars="0" w:firstLine="0" w:firstLineChars="0"/>
              <w:rPr>
                <w:rFonts w:hint="default"/>
                <w:highlight w:val="none"/>
              </w:rPr>
            </w:pPr>
            <w:r>
              <w:rPr>
                <w:rFonts w:hint="default"/>
                <w:highlight w:val="none"/>
              </w:rPr>
              <w:t>dB</w:t>
            </w:r>
            <w:r>
              <w:rPr>
                <w:rFonts w:hint="eastAsia"/>
                <w:highlight w:val="none"/>
                <w:lang w:eastAsia="zh-CN"/>
              </w:rPr>
              <w:t>（</w:t>
            </w:r>
            <w:r>
              <w:rPr>
                <w:rFonts w:hint="default"/>
                <w:highlight w:val="none"/>
              </w:rPr>
              <w:t>A</w:t>
            </w:r>
            <w:r>
              <w:rPr>
                <w:rFonts w:hint="eastAsia"/>
                <w:highlight w:val="none"/>
                <w:lang w:eastAsia="zh-CN"/>
              </w:rPr>
              <w:t>）</w:t>
            </w:r>
          </w:p>
        </w:tc>
        <w:tc>
          <w:tcPr>
            <w:tcW w:w="1498" w:type="dxa"/>
            <w:vAlign w:val="center"/>
          </w:tcPr>
          <w:p w14:paraId="3939A3F5">
            <w:pPr>
              <w:pStyle w:val="8"/>
              <w:suppressLineNumbers w:val="0"/>
              <w:bidi w:val="0"/>
              <w:spacing w:before="0" w:beforeAutospacing="0" w:after="0" w:afterAutospacing="0"/>
              <w:ind w:left="0" w:leftChars="0" w:right="0" w:rightChars="0" w:firstLine="0" w:firstLineChars="0"/>
              <w:rPr>
                <w:rFonts w:hint="default"/>
                <w:highlight w:val="none"/>
              </w:rPr>
            </w:pPr>
            <w:r>
              <w:rPr>
                <w:rFonts w:hint="default"/>
                <w:highlight w:val="none"/>
              </w:rPr>
              <w:t>昼间</w:t>
            </w:r>
          </w:p>
        </w:tc>
        <w:tc>
          <w:tcPr>
            <w:tcW w:w="1000" w:type="dxa"/>
            <w:vAlign w:val="center"/>
          </w:tcPr>
          <w:p w14:paraId="7B976D59">
            <w:pPr>
              <w:pStyle w:val="8"/>
              <w:suppressLineNumbers w:val="0"/>
              <w:bidi w:val="0"/>
              <w:spacing w:before="0" w:beforeAutospacing="0" w:after="0" w:afterAutospacing="0"/>
              <w:ind w:left="0" w:leftChars="0" w:right="0" w:rightChars="0" w:firstLine="0" w:firstLineChars="0"/>
              <w:rPr>
                <w:rFonts w:hint="eastAsia" w:eastAsia="宋体"/>
                <w:highlight w:val="none"/>
                <w:lang w:val="en-US" w:eastAsia="zh-CN"/>
              </w:rPr>
            </w:pPr>
            <w:r>
              <w:rPr>
                <w:rFonts w:hint="eastAsia"/>
                <w:highlight w:val="none"/>
                <w:lang w:val="en-US" w:eastAsia="zh-CN"/>
              </w:rPr>
              <w:t>60</w:t>
            </w:r>
          </w:p>
        </w:tc>
      </w:tr>
      <w:tr w14:paraId="0D88A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8" w:type="dxa"/>
            <w:vMerge w:val="continue"/>
            <w:vAlign w:val="center"/>
          </w:tcPr>
          <w:p w14:paraId="0FD1B1BB">
            <w:pPr>
              <w:pStyle w:val="8"/>
              <w:suppressLineNumbers w:val="0"/>
              <w:bidi w:val="0"/>
              <w:spacing w:before="0" w:beforeAutospacing="0" w:after="0" w:afterAutospacing="0"/>
              <w:ind w:left="0" w:right="0"/>
              <w:rPr>
                <w:rFonts w:hint="default"/>
                <w:highlight w:val="none"/>
              </w:rPr>
            </w:pPr>
          </w:p>
        </w:tc>
        <w:tc>
          <w:tcPr>
            <w:tcW w:w="2441" w:type="dxa"/>
            <w:vMerge w:val="continue"/>
            <w:vAlign w:val="center"/>
          </w:tcPr>
          <w:p w14:paraId="32BD2FB0">
            <w:pPr>
              <w:pStyle w:val="8"/>
              <w:suppressLineNumbers w:val="0"/>
              <w:bidi w:val="0"/>
              <w:spacing w:before="0" w:beforeAutospacing="0" w:after="0" w:afterAutospacing="0"/>
              <w:ind w:left="0" w:right="0"/>
              <w:rPr>
                <w:rFonts w:hint="default"/>
                <w:highlight w:val="none"/>
              </w:rPr>
            </w:pPr>
          </w:p>
        </w:tc>
        <w:tc>
          <w:tcPr>
            <w:tcW w:w="1509" w:type="dxa"/>
            <w:vMerge w:val="continue"/>
            <w:vAlign w:val="center"/>
          </w:tcPr>
          <w:p w14:paraId="7BF95E5E">
            <w:pPr>
              <w:pStyle w:val="8"/>
              <w:suppressLineNumbers w:val="0"/>
              <w:bidi w:val="0"/>
              <w:spacing w:before="0" w:beforeAutospacing="0" w:after="0" w:afterAutospacing="0"/>
              <w:ind w:left="0" w:right="0"/>
              <w:rPr>
                <w:rFonts w:hint="default"/>
                <w:highlight w:val="none"/>
              </w:rPr>
            </w:pPr>
          </w:p>
        </w:tc>
        <w:tc>
          <w:tcPr>
            <w:tcW w:w="1236" w:type="dxa"/>
            <w:vMerge w:val="continue"/>
            <w:vAlign w:val="center"/>
          </w:tcPr>
          <w:p w14:paraId="5AB7BCFA">
            <w:pPr>
              <w:pStyle w:val="8"/>
              <w:suppressLineNumbers w:val="0"/>
              <w:bidi w:val="0"/>
              <w:spacing w:before="0" w:beforeAutospacing="0" w:after="0" w:afterAutospacing="0"/>
              <w:ind w:left="0" w:right="0"/>
              <w:rPr>
                <w:rFonts w:hint="default"/>
                <w:highlight w:val="none"/>
              </w:rPr>
            </w:pPr>
          </w:p>
        </w:tc>
        <w:tc>
          <w:tcPr>
            <w:tcW w:w="1498" w:type="dxa"/>
            <w:vAlign w:val="center"/>
          </w:tcPr>
          <w:p w14:paraId="4AFEBDD8">
            <w:pPr>
              <w:pStyle w:val="8"/>
              <w:suppressLineNumbers w:val="0"/>
              <w:bidi w:val="0"/>
              <w:spacing w:before="0" w:beforeAutospacing="0" w:after="0" w:afterAutospacing="0"/>
              <w:ind w:left="0" w:leftChars="0" w:right="0" w:rightChars="0" w:firstLine="0" w:firstLineChars="0"/>
              <w:rPr>
                <w:rFonts w:hint="default"/>
                <w:highlight w:val="none"/>
              </w:rPr>
            </w:pPr>
            <w:r>
              <w:rPr>
                <w:rFonts w:hint="default"/>
                <w:highlight w:val="none"/>
              </w:rPr>
              <w:t>夜间</w:t>
            </w:r>
          </w:p>
        </w:tc>
        <w:tc>
          <w:tcPr>
            <w:tcW w:w="1000" w:type="dxa"/>
            <w:vAlign w:val="center"/>
          </w:tcPr>
          <w:p w14:paraId="310A5ED7">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50</w:t>
            </w:r>
          </w:p>
        </w:tc>
      </w:tr>
    </w:tbl>
    <w:p w14:paraId="0DE9DFED">
      <w:pPr>
        <w:ind w:left="0" w:leftChars="0" w:firstLine="0" w:firstLineChars="0"/>
        <w:rPr>
          <w:rFonts w:hAnsiTheme="minorEastAsia" w:eastAsiaTheme="minorEastAsia"/>
          <w:b/>
          <w:sz w:val="18"/>
          <w:szCs w:val="18"/>
          <w:highlight w:val="none"/>
        </w:rPr>
      </w:pPr>
      <w:r>
        <w:rPr>
          <w:rFonts w:hAnsiTheme="minorEastAsia" w:eastAsiaTheme="minorEastAsia"/>
          <w:b/>
          <w:sz w:val="18"/>
          <w:szCs w:val="18"/>
          <w:highlight w:val="none"/>
        </w:rPr>
        <w:t>注：石油类执行标准参照《地表水环境质量标准》（</w:t>
      </w:r>
      <w:r>
        <w:rPr>
          <w:rFonts w:eastAsiaTheme="minorEastAsia"/>
          <w:b/>
          <w:sz w:val="18"/>
          <w:szCs w:val="18"/>
          <w:highlight w:val="none"/>
        </w:rPr>
        <w:t>GB3838-2002</w:t>
      </w:r>
      <w:r>
        <w:rPr>
          <w:rFonts w:hAnsiTheme="minorEastAsia" w:eastAsiaTheme="minorEastAsia"/>
          <w:b/>
          <w:sz w:val="18"/>
          <w:szCs w:val="18"/>
          <w:highlight w:val="none"/>
        </w:rPr>
        <w:t>）</w:t>
      </w:r>
      <w:r>
        <w:rPr>
          <w:rFonts w:eastAsiaTheme="minorEastAsia"/>
          <w:szCs w:val="21"/>
          <w:highlight w:val="none"/>
        </w:rPr>
        <w:fldChar w:fldCharType="begin"/>
      </w:r>
      <w:r>
        <w:rPr>
          <w:rFonts w:eastAsiaTheme="minorEastAsia"/>
          <w:szCs w:val="21"/>
          <w:highlight w:val="none"/>
        </w:rPr>
        <w:instrText xml:space="preserve"> </w:instrText>
      </w:r>
      <w:r>
        <w:rPr>
          <w:rFonts w:hint="eastAsia" w:eastAsiaTheme="minorEastAsia"/>
          <w:szCs w:val="21"/>
          <w:highlight w:val="none"/>
        </w:rPr>
        <w:instrText xml:space="preserve">= 2 \* ROMAN</w:instrText>
      </w:r>
      <w:r>
        <w:rPr>
          <w:rFonts w:eastAsiaTheme="minorEastAsia"/>
          <w:szCs w:val="21"/>
          <w:highlight w:val="none"/>
        </w:rPr>
        <w:instrText xml:space="preserve"> </w:instrText>
      </w:r>
      <w:r>
        <w:rPr>
          <w:rFonts w:eastAsiaTheme="minorEastAsia"/>
          <w:szCs w:val="21"/>
          <w:highlight w:val="none"/>
        </w:rPr>
        <w:fldChar w:fldCharType="separate"/>
      </w:r>
      <w:r>
        <w:rPr>
          <w:rFonts w:eastAsiaTheme="minorEastAsia"/>
          <w:szCs w:val="21"/>
          <w:highlight w:val="none"/>
        </w:rPr>
        <w:t>Ⅲ</w:t>
      </w:r>
      <w:r>
        <w:rPr>
          <w:rFonts w:eastAsiaTheme="minorEastAsia"/>
          <w:szCs w:val="21"/>
          <w:highlight w:val="none"/>
        </w:rPr>
        <w:fldChar w:fldCharType="end"/>
      </w:r>
      <w:r>
        <w:rPr>
          <w:rFonts w:hAnsiTheme="minorEastAsia" w:eastAsiaTheme="minorEastAsia"/>
          <w:b/>
          <w:sz w:val="18"/>
          <w:szCs w:val="18"/>
          <w:highlight w:val="none"/>
        </w:rPr>
        <w:t>类标准要求</w:t>
      </w:r>
    </w:p>
    <w:p w14:paraId="767E5382">
      <w:pPr>
        <w:pStyle w:val="7"/>
        <w:bidi w:val="0"/>
        <w:rPr>
          <w:rFonts w:hint="default"/>
          <w:highlight w:val="none"/>
          <w:lang w:val="en-US" w:eastAsia="zh-CN"/>
        </w:rPr>
      </w:pPr>
      <w:r>
        <w:rPr>
          <w:rFonts w:hint="default"/>
          <w:highlight w:val="none"/>
          <w:lang w:val="en-US" w:eastAsia="zh-CN"/>
        </w:rPr>
        <w:t>表2-3-2建设用地土壤环境质量标准</w:t>
      </w:r>
    </w:p>
    <w:tbl>
      <w:tblPr>
        <w:tblStyle w:val="74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350"/>
        <w:gridCol w:w="750"/>
        <w:gridCol w:w="1834"/>
        <w:gridCol w:w="1283"/>
        <w:gridCol w:w="772"/>
        <w:gridCol w:w="772"/>
        <w:gridCol w:w="772"/>
        <w:gridCol w:w="773"/>
      </w:tblGrid>
      <w:tr w14:paraId="2BA6AD6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23" w:hRule="atLeast"/>
          <w:jc w:val="center"/>
        </w:trPr>
        <w:tc>
          <w:tcPr>
            <w:tcW w:w="1350" w:type="dxa"/>
            <w:vMerge w:val="restart"/>
            <w:tcBorders>
              <w:tl2br w:val="nil"/>
              <w:tr2bl w:val="nil"/>
            </w:tcBorders>
            <w:shd w:val="clear" w:color="auto" w:fill="auto"/>
            <w:vAlign w:val="center"/>
          </w:tcPr>
          <w:p w14:paraId="779E3A7C">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标准名称及级</w:t>
            </w:r>
          </w:p>
          <w:p w14:paraId="732B8A0B">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（类）别</w:t>
            </w:r>
          </w:p>
        </w:tc>
        <w:tc>
          <w:tcPr>
            <w:tcW w:w="750" w:type="dxa"/>
            <w:vMerge w:val="restart"/>
            <w:tcBorders>
              <w:tl2br w:val="nil"/>
              <w:tr2bl w:val="nil"/>
            </w:tcBorders>
            <w:shd w:val="clear" w:color="auto" w:fill="auto"/>
            <w:vAlign w:val="center"/>
          </w:tcPr>
          <w:p w14:paraId="36203758">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序号</w:t>
            </w:r>
          </w:p>
        </w:tc>
        <w:tc>
          <w:tcPr>
            <w:tcW w:w="1834" w:type="dxa"/>
            <w:vMerge w:val="restart"/>
            <w:tcBorders>
              <w:tl2br w:val="nil"/>
              <w:tr2bl w:val="nil"/>
            </w:tcBorders>
            <w:shd w:val="clear" w:color="auto" w:fill="auto"/>
            <w:vAlign w:val="center"/>
          </w:tcPr>
          <w:p w14:paraId="3186B128">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污染物项目</w:t>
            </w:r>
          </w:p>
        </w:tc>
        <w:tc>
          <w:tcPr>
            <w:tcW w:w="1283" w:type="dxa"/>
            <w:vMerge w:val="restart"/>
            <w:tcBorders>
              <w:tl2br w:val="nil"/>
              <w:tr2bl w:val="nil"/>
            </w:tcBorders>
            <w:shd w:val="clear" w:color="auto" w:fill="auto"/>
            <w:vAlign w:val="center"/>
          </w:tcPr>
          <w:p w14:paraId="3D73971E">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CAS</w:t>
            </w:r>
            <w:r>
              <w:rPr>
                <w:rFonts w:hint="eastAsia"/>
                <w:snapToGrid w:val="0"/>
                <w:highlight w:val="none"/>
                <w:lang w:val="en-US" w:eastAsia="en-US"/>
              </w:rPr>
              <w:t>编号</w:t>
            </w:r>
          </w:p>
        </w:tc>
        <w:tc>
          <w:tcPr>
            <w:tcW w:w="1544" w:type="dxa"/>
            <w:gridSpan w:val="2"/>
            <w:tcBorders>
              <w:tl2br w:val="nil"/>
              <w:tr2bl w:val="nil"/>
            </w:tcBorders>
            <w:shd w:val="clear" w:color="auto" w:fill="auto"/>
            <w:vAlign w:val="center"/>
          </w:tcPr>
          <w:p w14:paraId="6787CEC5">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筛选值</w:t>
            </w:r>
          </w:p>
        </w:tc>
        <w:tc>
          <w:tcPr>
            <w:tcW w:w="1545" w:type="dxa"/>
            <w:gridSpan w:val="2"/>
            <w:tcBorders>
              <w:tl2br w:val="nil"/>
              <w:tr2bl w:val="nil"/>
            </w:tcBorders>
            <w:shd w:val="clear" w:color="auto" w:fill="auto"/>
            <w:vAlign w:val="center"/>
          </w:tcPr>
          <w:p w14:paraId="4A1ABABA">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管制值</w:t>
            </w:r>
          </w:p>
        </w:tc>
      </w:tr>
      <w:tr w14:paraId="548A75B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1350" w:type="dxa"/>
            <w:vMerge w:val="continue"/>
            <w:tcBorders>
              <w:tl2br w:val="nil"/>
              <w:tr2bl w:val="nil"/>
            </w:tcBorders>
            <w:shd w:val="clear" w:color="auto" w:fill="auto"/>
            <w:vAlign w:val="center"/>
          </w:tcPr>
          <w:p w14:paraId="24CEF45D">
            <w:pPr>
              <w:pStyle w:val="8"/>
              <w:suppressLineNumbers w:val="0"/>
              <w:bidi w:val="0"/>
              <w:spacing w:before="0" w:beforeAutospacing="0" w:after="0" w:afterAutospacing="0"/>
              <w:ind w:left="0" w:right="0"/>
              <w:rPr>
                <w:rFonts w:hint="eastAsia"/>
                <w:snapToGrid w:val="0"/>
                <w:highlight w:val="none"/>
                <w:lang w:val="en-US" w:eastAsia="en-US"/>
              </w:rPr>
            </w:pPr>
          </w:p>
        </w:tc>
        <w:tc>
          <w:tcPr>
            <w:tcW w:w="750" w:type="dxa"/>
            <w:vMerge w:val="continue"/>
            <w:tcBorders>
              <w:tl2br w:val="nil"/>
              <w:tr2bl w:val="nil"/>
            </w:tcBorders>
            <w:shd w:val="clear" w:color="auto" w:fill="auto"/>
            <w:vAlign w:val="center"/>
          </w:tcPr>
          <w:p w14:paraId="58B009BB">
            <w:pPr>
              <w:pStyle w:val="8"/>
              <w:suppressLineNumbers w:val="0"/>
              <w:bidi w:val="0"/>
              <w:spacing w:before="0" w:beforeAutospacing="0" w:after="0" w:afterAutospacing="0"/>
              <w:ind w:left="0" w:right="0"/>
              <w:rPr>
                <w:rFonts w:hint="eastAsia"/>
                <w:snapToGrid w:val="0"/>
                <w:highlight w:val="none"/>
                <w:lang w:val="en-US" w:eastAsia="en-US"/>
              </w:rPr>
            </w:pPr>
          </w:p>
        </w:tc>
        <w:tc>
          <w:tcPr>
            <w:tcW w:w="1834" w:type="dxa"/>
            <w:vMerge w:val="continue"/>
            <w:tcBorders>
              <w:tl2br w:val="nil"/>
              <w:tr2bl w:val="nil"/>
            </w:tcBorders>
            <w:shd w:val="clear" w:color="auto" w:fill="auto"/>
            <w:vAlign w:val="center"/>
          </w:tcPr>
          <w:p w14:paraId="66018C62">
            <w:pPr>
              <w:pStyle w:val="8"/>
              <w:suppressLineNumbers w:val="0"/>
              <w:bidi w:val="0"/>
              <w:spacing w:before="0" w:beforeAutospacing="0" w:after="0" w:afterAutospacing="0"/>
              <w:ind w:left="0" w:right="0"/>
              <w:rPr>
                <w:rFonts w:hint="eastAsia"/>
                <w:snapToGrid w:val="0"/>
                <w:highlight w:val="none"/>
                <w:lang w:val="en-US" w:eastAsia="en-US"/>
              </w:rPr>
            </w:pPr>
          </w:p>
        </w:tc>
        <w:tc>
          <w:tcPr>
            <w:tcW w:w="1283" w:type="dxa"/>
            <w:vMerge w:val="continue"/>
            <w:tcBorders>
              <w:tl2br w:val="nil"/>
              <w:tr2bl w:val="nil"/>
            </w:tcBorders>
            <w:shd w:val="clear" w:color="auto" w:fill="auto"/>
            <w:vAlign w:val="center"/>
          </w:tcPr>
          <w:p w14:paraId="2E71D873">
            <w:pPr>
              <w:pStyle w:val="8"/>
              <w:suppressLineNumbers w:val="0"/>
              <w:bidi w:val="0"/>
              <w:spacing w:before="0" w:beforeAutospacing="0" w:after="0" w:afterAutospacing="0"/>
              <w:ind w:left="0" w:right="0"/>
              <w:rPr>
                <w:rFonts w:hint="default"/>
                <w:snapToGrid w:val="0"/>
                <w:highlight w:val="none"/>
                <w:lang w:val="en-US" w:eastAsia="en-US"/>
              </w:rPr>
            </w:pPr>
          </w:p>
        </w:tc>
        <w:tc>
          <w:tcPr>
            <w:tcW w:w="772" w:type="dxa"/>
            <w:tcBorders>
              <w:tl2br w:val="nil"/>
              <w:tr2bl w:val="nil"/>
            </w:tcBorders>
            <w:shd w:val="clear" w:color="auto" w:fill="auto"/>
            <w:vAlign w:val="center"/>
          </w:tcPr>
          <w:p w14:paraId="0673AC8A">
            <w:pPr>
              <w:pStyle w:val="8"/>
              <w:suppressLineNumbers w:val="0"/>
              <w:bidi w:val="0"/>
              <w:spacing w:before="0" w:beforeAutospacing="0" w:after="0" w:afterAutospacing="0"/>
              <w:ind w:left="0" w:right="0"/>
              <w:rPr>
                <w:rFonts w:hint="eastAsia" w:eastAsia="宋体"/>
                <w:snapToGrid w:val="0"/>
                <w:highlight w:val="none"/>
                <w:lang w:val="en-US" w:eastAsia="zh-CN"/>
              </w:rPr>
            </w:pPr>
            <w:r>
              <w:rPr>
                <w:rFonts w:hint="eastAsia"/>
                <w:snapToGrid w:val="0"/>
                <w:highlight w:val="none"/>
                <w:lang w:val="en-US" w:eastAsia="zh-CN"/>
              </w:rPr>
              <w:t>第一类用地</w:t>
            </w:r>
          </w:p>
        </w:tc>
        <w:tc>
          <w:tcPr>
            <w:tcW w:w="772" w:type="dxa"/>
            <w:tcBorders>
              <w:tl2br w:val="nil"/>
              <w:tr2bl w:val="nil"/>
            </w:tcBorders>
            <w:shd w:val="clear" w:color="auto" w:fill="auto"/>
            <w:vAlign w:val="center"/>
          </w:tcPr>
          <w:p w14:paraId="576FB315">
            <w:pPr>
              <w:pStyle w:val="8"/>
              <w:suppressLineNumbers w:val="0"/>
              <w:bidi w:val="0"/>
              <w:spacing w:before="0" w:beforeAutospacing="0" w:after="0" w:afterAutospacing="0"/>
              <w:ind w:left="0" w:right="0"/>
              <w:rPr>
                <w:rFonts w:hint="eastAsia" w:eastAsia="宋体"/>
                <w:snapToGrid w:val="0"/>
                <w:highlight w:val="none"/>
                <w:lang w:val="en-US" w:eastAsia="zh-CN"/>
              </w:rPr>
            </w:pPr>
            <w:r>
              <w:rPr>
                <w:rFonts w:hint="eastAsia"/>
                <w:snapToGrid w:val="0"/>
                <w:highlight w:val="none"/>
                <w:lang w:val="en-US" w:eastAsia="zh-CN"/>
              </w:rPr>
              <w:t>第二类用地</w:t>
            </w:r>
          </w:p>
        </w:tc>
        <w:tc>
          <w:tcPr>
            <w:tcW w:w="772" w:type="dxa"/>
            <w:tcBorders>
              <w:tl2br w:val="nil"/>
              <w:tr2bl w:val="nil"/>
            </w:tcBorders>
            <w:shd w:val="clear" w:color="auto" w:fill="auto"/>
            <w:vAlign w:val="center"/>
          </w:tcPr>
          <w:p w14:paraId="651C6047">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en-US"/>
              </w:rPr>
            </w:pPr>
            <w:r>
              <w:rPr>
                <w:rFonts w:hint="eastAsia"/>
                <w:snapToGrid w:val="0"/>
                <w:highlight w:val="none"/>
                <w:lang w:val="en-US" w:eastAsia="zh-CN"/>
              </w:rPr>
              <w:t>第一类用地</w:t>
            </w:r>
          </w:p>
        </w:tc>
        <w:tc>
          <w:tcPr>
            <w:tcW w:w="773" w:type="dxa"/>
            <w:tcBorders>
              <w:tl2br w:val="nil"/>
              <w:tr2bl w:val="nil"/>
            </w:tcBorders>
            <w:shd w:val="clear" w:color="auto" w:fill="auto"/>
            <w:vAlign w:val="center"/>
          </w:tcPr>
          <w:p w14:paraId="7505C8EE">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en-US"/>
              </w:rPr>
            </w:pPr>
            <w:r>
              <w:rPr>
                <w:rFonts w:hint="eastAsia"/>
                <w:snapToGrid w:val="0"/>
                <w:highlight w:val="none"/>
                <w:lang w:val="en-US" w:eastAsia="zh-CN"/>
              </w:rPr>
              <w:t>第二类用地</w:t>
            </w:r>
          </w:p>
        </w:tc>
      </w:tr>
      <w:tr w14:paraId="61E942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350" w:type="dxa"/>
            <w:vMerge w:val="restart"/>
            <w:tcBorders>
              <w:tl2br w:val="nil"/>
              <w:tr2bl w:val="nil"/>
            </w:tcBorders>
            <w:shd w:val="clear" w:color="auto" w:fill="auto"/>
            <w:vAlign w:val="center"/>
          </w:tcPr>
          <w:p w14:paraId="03FEB790">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《土壤环境质量建设用地土壤污染风险管控标准（试行）》（</w:t>
            </w:r>
            <w:r>
              <w:rPr>
                <w:rFonts w:hint="default"/>
                <w:snapToGrid w:val="0"/>
                <w:highlight w:val="none"/>
                <w:lang w:val="en-US" w:eastAsia="en-US"/>
              </w:rPr>
              <w:t>GB36600-2018</w:t>
            </w:r>
            <w:r>
              <w:rPr>
                <w:rFonts w:hint="eastAsia"/>
                <w:snapToGrid w:val="0"/>
                <w:highlight w:val="none"/>
                <w:lang w:val="en-US" w:eastAsia="en-US"/>
              </w:rPr>
              <w:t>）表</w:t>
            </w:r>
            <w:r>
              <w:rPr>
                <w:rFonts w:hint="default"/>
                <w:snapToGrid w:val="0"/>
                <w:highlight w:val="none"/>
                <w:lang w:val="en-US" w:eastAsia="en-US"/>
              </w:rPr>
              <w:t>1</w:t>
            </w:r>
            <w:r>
              <w:rPr>
                <w:rFonts w:hint="eastAsia"/>
                <w:snapToGrid w:val="0"/>
                <w:highlight w:val="none"/>
                <w:lang w:val="en-US" w:eastAsia="en-US"/>
              </w:rPr>
              <w:t>标准限值</w:t>
            </w:r>
          </w:p>
        </w:tc>
        <w:tc>
          <w:tcPr>
            <w:tcW w:w="6956" w:type="dxa"/>
            <w:gridSpan w:val="7"/>
            <w:tcBorders>
              <w:tl2br w:val="nil"/>
              <w:tr2bl w:val="nil"/>
            </w:tcBorders>
            <w:shd w:val="clear" w:color="auto" w:fill="auto"/>
            <w:vAlign w:val="center"/>
          </w:tcPr>
          <w:p w14:paraId="60FEDA28">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重金属和无机物</w:t>
            </w:r>
          </w:p>
        </w:tc>
      </w:tr>
      <w:tr w14:paraId="3222864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1F21F11B">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1E49E3F3">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w:t>
            </w:r>
          </w:p>
        </w:tc>
        <w:tc>
          <w:tcPr>
            <w:tcW w:w="1834" w:type="dxa"/>
            <w:tcBorders>
              <w:tl2br w:val="nil"/>
              <w:tr2bl w:val="nil"/>
            </w:tcBorders>
            <w:shd w:val="clear" w:color="auto" w:fill="auto"/>
            <w:vAlign w:val="center"/>
          </w:tcPr>
          <w:p w14:paraId="736565C5">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砷</w:t>
            </w:r>
          </w:p>
        </w:tc>
        <w:tc>
          <w:tcPr>
            <w:tcW w:w="1283" w:type="dxa"/>
            <w:tcBorders>
              <w:tl2br w:val="nil"/>
              <w:tr2bl w:val="nil"/>
            </w:tcBorders>
            <w:shd w:val="clear" w:color="auto" w:fill="auto"/>
            <w:vAlign w:val="center"/>
          </w:tcPr>
          <w:p w14:paraId="37F5ED52">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7440-38-2</w:t>
            </w:r>
          </w:p>
        </w:tc>
        <w:tc>
          <w:tcPr>
            <w:tcW w:w="772" w:type="dxa"/>
            <w:tcBorders>
              <w:tl2br w:val="nil"/>
              <w:tr2bl w:val="nil"/>
            </w:tcBorders>
            <w:shd w:val="clear" w:color="auto" w:fill="auto"/>
            <w:vAlign w:val="center"/>
          </w:tcPr>
          <w:p w14:paraId="3F032C81">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20</w:t>
            </w:r>
          </w:p>
        </w:tc>
        <w:tc>
          <w:tcPr>
            <w:tcW w:w="772" w:type="dxa"/>
            <w:tcBorders>
              <w:tl2br w:val="nil"/>
              <w:tr2bl w:val="nil"/>
            </w:tcBorders>
            <w:shd w:val="clear" w:color="auto" w:fill="auto"/>
            <w:vAlign w:val="center"/>
          </w:tcPr>
          <w:p w14:paraId="4DCFF70B">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60</w:t>
            </w:r>
          </w:p>
        </w:tc>
        <w:tc>
          <w:tcPr>
            <w:tcW w:w="772" w:type="dxa"/>
            <w:tcBorders>
              <w:tl2br w:val="nil"/>
              <w:tr2bl w:val="nil"/>
            </w:tcBorders>
            <w:shd w:val="clear" w:color="auto" w:fill="auto"/>
            <w:vAlign w:val="center"/>
          </w:tcPr>
          <w:p w14:paraId="01C18AD2">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120</w:t>
            </w:r>
          </w:p>
        </w:tc>
        <w:tc>
          <w:tcPr>
            <w:tcW w:w="773" w:type="dxa"/>
            <w:tcBorders>
              <w:tl2br w:val="nil"/>
              <w:tr2bl w:val="nil"/>
            </w:tcBorders>
            <w:shd w:val="clear" w:color="auto" w:fill="auto"/>
            <w:vAlign w:val="center"/>
          </w:tcPr>
          <w:p w14:paraId="7BD8852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140</w:t>
            </w:r>
          </w:p>
        </w:tc>
      </w:tr>
      <w:tr w14:paraId="2B8E99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3" w:hRule="atLeast"/>
          <w:jc w:val="center"/>
        </w:trPr>
        <w:tc>
          <w:tcPr>
            <w:tcW w:w="1350" w:type="dxa"/>
            <w:vMerge w:val="continue"/>
            <w:tcBorders>
              <w:tl2br w:val="nil"/>
              <w:tr2bl w:val="nil"/>
            </w:tcBorders>
            <w:shd w:val="clear" w:color="auto" w:fill="auto"/>
            <w:vAlign w:val="center"/>
          </w:tcPr>
          <w:p w14:paraId="58C340F2">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035D8092">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2</w:t>
            </w:r>
          </w:p>
        </w:tc>
        <w:tc>
          <w:tcPr>
            <w:tcW w:w="1834" w:type="dxa"/>
            <w:tcBorders>
              <w:tl2br w:val="nil"/>
              <w:tr2bl w:val="nil"/>
            </w:tcBorders>
            <w:shd w:val="clear" w:color="auto" w:fill="auto"/>
            <w:vAlign w:val="center"/>
          </w:tcPr>
          <w:p w14:paraId="1397561A">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镉</w:t>
            </w:r>
          </w:p>
        </w:tc>
        <w:tc>
          <w:tcPr>
            <w:tcW w:w="1283" w:type="dxa"/>
            <w:tcBorders>
              <w:tl2br w:val="nil"/>
              <w:tr2bl w:val="nil"/>
            </w:tcBorders>
            <w:shd w:val="clear" w:color="auto" w:fill="auto"/>
            <w:vAlign w:val="center"/>
          </w:tcPr>
          <w:p w14:paraId="023FFA12">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7440-43-9</w:t>
            </w:r>
          </w:p>
        </w:tc>
        <w:tc>
          <w:tcPr>
            <w:tcW w:w="772" w:type="dxa"/>
            <w:tcBorders>
              <w:tl2br w:val="nil"/>
              <w:tr2bl w:val="nil"/>
            </w:tcBorders>
            <w:shd w:val="clear" w:color="auto" w:fill="auto"/>
            <w:vAlign w:val="center"/>
          </w:tcPr>
          <w:p w14:paraId="2D7E0771">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20</w:t>
            </w:r>
          </w:p>
        </w:tc>
        <w:tc>
          <w:tcPr>
            <w:tcW w:w="772" w:type="dxa"/>
            <w:tcBorders>
              <w:tl2br w:val="nil"/>
              <w:tr2bl w:val="nil"/>
            </w:tcBorders>
            <w:shd w:val="clear" w:color="auto" w:fill="auto"/>
            <w:vAlign w:val="center"/>
          </w:tcPr>
          <w:p w14:paraId="5D46BDE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65</w:t>
            </w:r>
          </w:p>
        </w:tc>
        <w:tc>
          <w:tcPr>
            <w:tcW w:w="772" w:type="dxa"/>
            <w:tcBorders>
              <w:tl2br w:val="nil"/>
              <w:tr2bl w:val="nil"/>
            </w:tcBorders>
            <w:shd w:val="clear" w:color="auto" w:fill="auto"/>
            <w:vAlign w:val="center"/>
          </w:tcPr>
          <w:p w14:paraId="454B4AAA">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47</w:t>
            </w:r>
          </w:p>
        </w:tc>
        <w:tc>
          <w:tcPr>
            <w:tcW w:w="773" w:type="dxa"/>
            <w:tcBorders>
              <w:tl2br w:val="nil"/>
              <w:tr2bl w:val="nil"/>
            </w:tcBorders>
            <w:shd w:val="clear" w:color="auto" w:fill="auto"/>
            <w:vAlign w:val="center"/>
          </w:tcPr>
          <w:p w14:paraId="59A4400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172</w:t>
            </w:r>
          </w:p>
        </w:tc>
      </w:tr>
      <w:tr w14:paraId="7FC741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5E491694">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37D0956F">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3</w:t>
            </w:r>
          </w:p>
        </w:tc>
        <w:tc>
          <w:tcPr>
            <w:tcW w:w="1834" w:type="dxa"/>
            <w:tcBorders>
              <w:tl2br w:val="nil"/>
              <w:tr2bl w:val="nil"/>
            </w:tcBorders>
            <w:shd w:val="clear" w:color="auto" w:fill="auto"/>
            <w:vAlign w:val="center"/>
          </w:tcPr>
          <w:p w14:paraId="32600D24">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铬（六价）</w:t>
            </w:r>
          </w:p>
        </w:tc>
        <w:tc>
          <w:tcPr>
            <w:tcW w:w="1283" w:type="dxa"/>
            <w:tcBorders>
              <w:tl2br w:val="nil"/>
              <w:tr2bl w:val="nil"/>
            </w:tcBorders>
            <w:shd w:val="clear" w:color="auto" w:fill="auto"/>
            <w:vAlign w:val="center"/>
          </w:tcPr>
          <w:p w14:paraId="0AA70E16">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18540-29-9</w:t>
            </w:r>
          </w:p>
        </w:tc>
        <w:tc>
          <w:tcPr>
            <w:tcW w:w="772" w:type="dxa"/>
            <w:tcBorders>
              <w:tl2br w:val="nil"/>
              <w:tr2bl w:val="nil"/>
            </w:tcBorders>
            <w:shd w:val="clear" w:color="auto" w:fill="auto"/>
            <w:vAlign w:val="center"/>
          </w:tcPr>
          <w:p w14:paraId="7AAFCF04">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3.0</w:t>
            </w:r>
          </w:p>
        </w:tc>
        <w:tc>
          <w:tcPr>
            <w:tcW w:w="772" w:type="dxa"/>
            <w:tcBorders>
              <w:tl2br w:val="nil"/>
              <w:tr2bl w:val="nil"/>
            </w:tcBorders>
            <w:shd w:val="clear" w:color="auto" w:fill="auto"/>
            <w:vAlign w:val="center"/>
          </w:tcPr>
          <w:p w14:paraId="0466DAC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5.7</w:t>
            </w:r>
          </w:p>
        </w:tc>
        <w:tc>
          <w:tcPr>
            <w:tcW w:w="772" w:type="dxa"/>
            <w:tcBorders>
              <w:tl2br w:val="nil"/>
              <w:tr2bl w:val="nil"/>
            </w:tcBorders>
            <w:shd w:val="clear" w:color="auto" w:fill="auto"/>
            <w:vAlign w:val="center"/>
          </w:tcPr>
          <w:p w14:paraId="22AA1C80">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30</w:t>
            </w:r>
          </w:p>
        </w:tc>
        <w:tc>
          <w:tcPr>
            <w:tcW w:w="773" w:type="dxa"/>
            <w:tcBorders>
              <w:tl2br w:val="nil"/>
              <w:tr2bl w:val="nil"/>
            </w:tcBorders>
            <w:shd w:val="clear" w:color="auto" w:fill="auto"/>
            <w:vAlign w:val="center"/>
          </w:tcPr>
          <w:p w14:paraId="5584C47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78</w:t>
            </w:r>
          </w:p>
        </w:tc>
      </w:tr>
      <w:tr w14:paraId="7582B79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1BA98905">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0002CE5D">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4</w:t>
            </w:r>
          </w:p>
        </w:tc>
        <w:tc>
          <w:tcPr>
            <w:tcW w:w="1834" w:type="dxa"/>
            <w:tcBorders>
              <w:tl2br w:val="nil"/>
              <w:tr2bl w:val="nil"/>
            </w:tcBorders>
            <w:shd w:val="clear" w:color="auto" w:fill="auto"/>
            <w:vAlign w:val="center"/>
          </w:tcPr>
          <w:p w14:paraId="06DC1BF4">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铜</w:t>
            </w:r>
          </w:p>
        </w:tc>
        <w:tc>
          <w:tcPr>
            <w:tcW w:w="1283" w:type="dxa"/>
            <w:tcBorders>
              <w:tl2br w:val="nil"/>
              <w:tr2bl w:val="nil"/>
            </w:tcBorders>
            <w:shd w:val="clear" w:color="auto" w:fill="auto"/>
            <w:vAlign w:val="center"/>
          </w:tcPr>
          <w:p w14:paraId="675D333C">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7440-50-8</w:t>
            </w:r>
          </w:p>
        </w:tc>
        <w:tc>
          <w:tcPr>
            <w:tcW w:w="772" w:type="dxa"/>
            <w:tcBorders>
              <w:tl2br w:val="nil"/>
              <w:tr2bl w:val="nil"/>
            </w:tcBorders>
            <w:shd w:val="clear" w:color="auto" w:fill="auto"/>
            <w:vAlign w:val="center"/>
          </w:tcPr>
          <w:p w14:paraId="3BA05E5A">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2000</w:t>
            </w:r>
          </w:p>
        </w:tc>
        <w:tc>
          <w:tcPr>
            <w:tcW w:w="772" w:type="dxa"/>
            <w:tcBorders>
              <w:tl2br w:val="nil"/>
              <w:tr2bl w:val="nil"/>
            </w:tcBorders>
            <w:shd w:val="clear" w:color="auto" w:fill="auto"/>
            <w:vAlign w:val="center"/>
          </w:tcPr>
          <w:p w14:paraId="11AA860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18000</w:t>
            </w:r>
          </w:p>
        </w:tc>
        <w:tc>
          <w:tcPr>
            <w:tcW w:w="772" w:type="dxa"/>
            <w:tcBorders>
              <w:tl2br w:val="nil"/>
              <w:tr2bl w:val="nil"/>
            </w:tcBorders>
            <w:shd w:val="clear" w:color="auto" w:fill="auto"/>
            <w:vAlign w:val="center"/>
          </w:tcPr>
          <w:p w14:paraId="1C72E3BC">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8000</w:t>
            </w:r>
          </w:p>
        </w:tc>
        <w:tc>
          <w:tcPr>
            <w:tcW w:w="773" w:type="dxa"/>
            <w:tcBorders>
              <w:tl2br w:val="nil"/>
              <w:tr2bl w:val="nil"/>
            </w:tcBorders>
            <w:shd w:val="clear" w:color="auto" w:fill="auto"/>
            <w:vAlign w:val="center"/>
          </w:tcPr>
          <w:p w14:paraId="3B7C07B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36000</w:t>
            </w:r>
          </w:p>
        </w:tc>
      </w:tr>
      <w:tr w14:paraId="1A243E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7303C49A">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30126606">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5</w:t>
            </w:r>
          </w:p>
        </w:tc>
        <w:tc>
          <w:tcPr>
            <w:tcW w:w="1834" w:type="dxa"/>
            <w:tcBorders>
              <w:tl2br w:val="nil"/>
              <w:tr2bl w:val="nil"/>
            </w:tcBorders>
            <w:shd w:val="clear" w:color="auto" w:fill="auto"/>
            <w:vAlign w:val="center"/>
          </w:tcPr>
          <w:p w14:paraId="0FD8CF60">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铅</w:t>
            </w:r>
          </w:p>
        </w:tc>
        <w:tc>
          <w:tcPr>
            <w:tcW w:w="1283" w:type="dxa"/>
            <w:tcBorders>
              <w:tl2br w:val="nil"/>
              <w:tr2bl w:val="nil"/>
            </w:tcBorders>
            <w:shd w:val="clear" w:color="auto" w:fill="auto"/>
            <w:vAlign w:val="center"/>
          </w:tcPr>
          <w:p w14:paraId="68511069">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7439-92-1</w:t>
            </w:r>
          </w:p>
        </w:tc>
        <w:tc>
          <w:tcPr>
            <w:tcW w:w="772" w:type="dxa"/>
            <w:tcBorders>
              <w:tl2br w:val="nil"/>
              <w:tr2bl w:val="nil"/>
            </w:tcBorders>
            <w:shd w:val="clear" w:color="auto" w:fill="auto"/>
            <w:vAlign w:val="center"/>
          </w:tcPr>
          <w:p w14:paraId="4D39343C">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400</w:t>
            </w:r>
          </w:p>
        </w:tc>
        <w:tc>
          <w:tcPr>
            <w:tcW w:w="772" w:type="dxa"/>
            <w:tcBorders>
              <w:tl2br w:val="nil"/>
              <w:tr2bl w:val="nil"/>
            </w:tcBorders>
            <w:shd w:val="clear" w:color="auto" w:fill="auto"/>
            <w:vAlign w:val="center"/>
          </w:tcPr>
          <w:p w14:paraId="165AC90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800</w:t>
            </w:r>
          </w:p>
        </w:tc>
        <w:tc>
          <w:tcPr>
            <w:tcW w:w="772" w:type="dxa"/>
            <w:tcBorders>
              <w:tl2br w:val="nil"/>
              <w:tr2bl w:val="nil"/>
            </w:tcBorders>
            <w:shd w:val="clear" w:color="auto" w:fill="auto"/>
            <w:vAlign w:val="center"/>
          </w:tcPr>
          <w:p w14:paraId="09C9791F">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800</w:t>
            </w:r>
          </w:p>
        </w:tc>
        <w:tc>
          <w:tcPr>
            <w:tcW w:w="773" w:type="dxa"/>
            <w:tcBorders>
              <w:tl2br w:val="nil"/>
              <w:tr2bl w:val="nil"/>
            </w:tcBorders>
            <w:shd w:val="clear" w:color="auto" w:fill="auto"/>
            <w:vAlign w:val="center"/>
          </w:tcPr>
          <w:p w14:paraId="7C50317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2500</w:t>
            </w:r>
          </w:p>
        </w:tc>
      </w:tr>
      <w:tr w14:paraId="3D7F57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6444345E">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0BE5F381">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6</w:t>
            </w:r>
          </w:p>
        </w:tc>
        <w:tc>
          <w:tcPr>
            <w:tcW w:w="1834" w:type="dxa"/>
            <w:tcBorders>
              <w:tl2br w:val="nil"/>
              <w:tr2bl w:val="nil"/>
            </w:tcBorders>
            <w:shd w:val="clear" w:color="auto" w:fill="auto"/>
            <w:vAlign w:val="center"/>
          </w:tcPr>
          <w:p w14:paraId="71B85D2C">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汞</w:t>
            </w:r>
          </w:p>
        </w:tc>
        <w:tc>
          <w:tcPr>
            <w:tcW w:w="1283" w:type="dxa"/>
            <w:tcBorders>
              <w:tl2br w:val="nil"/>
              <w:tr2bl w:val="nil"/>
            </w:tcBorders>
            <w:shd w:val="clear" w:color="auto" w:fill="auto"/>
            <w:vAlign w:val="center"/>
          </w:tcPr>
          <w:p w14:paraId="72CD98A3">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7439-97-6</w:t>
            </w:r>
          </w:p>
        </w:tc>
        <w:tc>
          <w:tcPr>
            <w:tcW w:w="772" w:type="dxa"/>
            <w:tcBorders>
              <w:tl2br w:val="nil"/>
              <w:tr2bl w:val="nil"/>
            </w:tcBorders>
            <w:shd w:val="clear" w:color="auto" w:fill="auto"/>
            <w:vAlign w:val="center"/>
          </w:tcPr>
          <w:p w14:paraId="7C2D9EFC">
            <w:pPr>
              <w:pStyle w:val="8"/>
              <w:suppressLineNumbers w:val="0"/>
              <w:bidi w:val="0"/>
              <w:spacing w:before="0" w:beforeAutospacing="0" w:after="0" w:afterAutospacing="0"/>
              <w:ind w:left="0" w:right="0"/>
              <w:rPr>
                <w:rFonts w:hint="eastAsia" w:eastAsia="宋体"/>
                <w:snapToGrid w:val="0"/>
                <w:highlight w:val="none"/>
                <w:lang w:val="en-US" w:eastAsia="zh-CN"/>
              </w:rPr>
            </w:pPr>
            <w:r>
              <w:rPr>
                <w:rFonts w:hint="eastAsia"/>
                <w:snapToGrid w:val="0"/>
                <w:highlight w:val="none"/>
                <w:lang w:val="en-US" w:eastAsia="zh-CN"/>
              </w:rPr>
              <w:t>8</w:t>
            </w:r>
          </w:p>
        </w:tc>
        <w:tc>
          <w:tcPr>
            <w:tcW w:w="772" w:type="dxa"/>
            <w:tcBorders>
              <w:tl2br w:val="nil"/>
              <w:tr2bl w:val="nil"/>
            </w:tcBorders>
            <w:shd w:val="clear" w:color="auto" w:fill="auto"/>
            <w:vAlign w:val="center"/>
          </w:tcPr>
          <w:p w14:paraId="5D47EB7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38</w:t>
            </w:r>
          </w:p>
        </w:tc>
        <w:tc>
          <w:tcPr>
            <w:tcW w:w="772" w:type="dxa"/>
            <w:tcBorders>
              <w:tl2br w:val="nil"/>
              <w:tr2bl w:val="nil"/>
            </w:tcBorders>
            <w:shd w:val="clear" w:color="auto" w:fill="auto"/>
            <w:vAlign w:val="center"/>
          </w:tcPr>
          <w:p w14:paraId="679AAAEA">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33</w:t>
            </w:r>
          </w:p>
        </w:tc>
        <w:tc>
          <w:tcPr>
            <w:tcW w:w="773" w:type="dxa"/>
            <w:tcBorders>
              <w:tl2br w:val="nil"/>
              <w:tr2bl w:val="nil"/>
            </w:tcBorders>
            <w:shd w:val="clear" w:color="auto" w:fill="auto"/>
            <w:vAlign w:val="center"/>
          </w:tcPr>
          <w:p w14:paraId="4908ECD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82</w:t>
            </w:r>
          </w:p>
        </w:tc>
      </w:tr>
      <w:tr w14:paraId="1519F1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1350" w:type="dxa"/>
            <w:vMerge w:val="continue"/>
            <w:tcBorders>
              <w:tl2br w:val="nil"/>
              <w:tr2bl w:val="nil"/>
            </w:tcBorders>
            <w:shd w:val="clear" w:color="auto" w:fill="auto"/>
            <w:vAlign w:val="center"/>
          </w:tcPr>
          <w:p w14:paraId="6CDBDFA7">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5D7FDA6A">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w:t>
            </w:r>
          </w:p>
        </w:tc>
        <w:tc>
          <w:tcPr>
            <w:tcW w:w="1834" w:type="dxa"/>
            <w:tcBorders>
              <w:tl2br w:val="nil"/>
              <w:tr2bl w:val="nil"/>
            </w:tcBorders>
            <w:shd w:val="clear" w:color="auto" w:fill="auto"/>
            <w:vAlign w:val="center"/>
          </w:tcPr>
          <w:p w14:paraId="2E9A242F">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镍</w:t>
            </w:r>
          </w:p>
        </w:tc>
        <w:tc>
          <w:tcPr>
            <w:tcW w:w="1283" w:type="dxa"/>
            <w:tcBorders>
              <w:tl2br w:val="nil"/>
              <w:tr2bl w:val="nil"/>
            </w:tcBorders>
            <w:shd w:val="clear" w:color="auto" w:fill="auto"/>
            <w:vAlign w:val="center"/>
          </w:tcPr>
          <w:p w14:paraId="0E3A6807">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7440-02-0</w:t>
            </w:r>
          </w:p>
        </w:tc>
        <w:tc>
          <w:tcPr>
            <w:tcW w:w="772" w:type="dxa"/>
            <w:tcBorders>
              <w:tl2br w:val="nil"/>
              <w:tr2bl w:val="nil"/>
            </w:tcBorders>
            <w:shd w:val="clear" w:color="auto" w:fill="auto"/>
            <w:vAlign w:val="center"/>
          </w:tcPr>
          <w:p w14:paraId="240B31C5">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150</w:t>
            </w:r>
          </w:p>
        </w:tc>
        <w:tc>
          <w:tcPr>
            <w:tcW w:w="772" w:type="dxa"/>
            <w:tcBorders>
              <w:tl2br w:val="nil"/>
              <w:tr2bl w:val="nil"/>
            </w:tcBorders>
            <w:shd w:val="clear" w:color="auto" w:fill="auto"/>
            <w:vAlign w:val="center"/>
          </w:tcPr>
          <w:p w14:paraId="2A86A0D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900</w:t>
            </w:r>
          </w:p>
        </w:tc>
        <w:tc>
          <w:tcPr>
            <w:tcW w:w="772" w:type="dxa"/>
            <w:tcBorders>
              <w:tl2br w:val="nil"/>
              <w:tr2bl w:val="nil"/>
            </w:tcBorders>
            <w:shd w:val="clear" w:color="auto" w:fill="auto"/>
            <w:vAlign w:val="center"/>
          </w:tcPr>
          <w:p w14:paraId="54C2EF16">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600</w:t>
            </w:r>
          </w:p>
        </w:tc>
        <w:tc>
          <w:tcPr>
            <w:tcW w:w="773" w:type="dxa"/>
            <w:tcBorders>
              <w:tl2br w:val="nil"/>
              <w:tr2bl w:val="nil"/>
            </w:tcBorders>
            <w:shd w:val="clear" w:color="auto" w:fill="auto"/>
            <w:vAlign w:val="center"/>
          </w:tcPr>
          <w:p w14:paraId="1C45F7A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2000</w:t>
            </w:r>
          </w:p>
        </w:tc>
      </w:tr>
      <w:tr w14:paraId="266AF7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1350" w:type="dxa"/>
            <w:vMerge w:val="continue"/>
            <w:tcBorders>
              <w:tl2br w:val="nil"/>
              <w:tr2bl w:val="nil"/>
            </w:tcBorders>
            <w:shd w:val="clear" w:color="auto" w:fill="auto"/>
            <w:vAlign w:val="center"/>
          </w:tcPr>
          <w:p w14:paraId="69A5DCB0">
            <w:pPr>
              <w:pStyle w:val="8"/>
              <w:suppressLineNumbers w:val="0"/>
              <w:bidi w:val="0"/>
              <w:spacing w:before="0" w:beforeAutospacing="0" w:after="0" w:afterAutospacing="0"/>
              <w:ind w:left="0" w:right="0"/>
              <w:rPr>
                <w:rFonts w:hint="default"/>
                <w:snapToGrid w:val="0"/>
                <w:highlight w:val="none"/>
                <w:lang w:val="en-US" w:eastAsia="en-US"/>
              </w:rPr>
            </w:pPr>
          </w:p>
        </w:tc>
        <w:tc>
          <w:tcPr>
            <w:tcW w:w="6956" w:type="dxa"/>
            <w:gridSpan w:val="7"/>
            <w:tcBorders>
              <w:tl2br w:val="nil"/>
              <w:tr2bl w:val="nil"/>
            </w:tcBorders>
            <w:shd w:val="clear" w:color="auto" w:fill="auto"/>
            <w:vAlign w:val="center"/>
          </w:tcPr>
          <w:p w14:paraId="7CC2C309">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挥发性有机物</w:t>
            </w:r>
          </w:p>
        </w:tc>
      </w:tr>
      <w:tr w14:paraId="253D920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6F6B3513">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049BD94A">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8</w:t>
            </w:r>
          </w:p>
        </w:tc>
        <w:tc>
          <w:tcPr>
            <w:tcW w:w="1834" w:type="dxa"/>
            <w:tcBorders>
              <w:tl2br w:val="nil"/>
              <w:tr2bl w:val="nil"/>
            </w:tcBorders>
            <w:shd w:val="clear" w:color="auto" w:fill="auto"/>
            <w:vAlign w:val="center"/>
          </w:tcPr>
          <w:p w14:paraId="7F15290F">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四氯化碳</w:t>
            </w:r>
          </w:p>
        </w:tc>
        <w:tc>
          <w:tcPr>
            <w:tcW w:w="1283" w:type="dxa"/>
            <w:tcBorders>
              <w:tl2br w:val="nil"/>
              <w:tr2bl w:val="nil"/>
            </w:tcBorders>
            <w:shd w:val="clear" w:color="auto" w:fill="auto"/>
            <w:vAlign w:val="center"/>
          </w:tcPr>
          <w:p w14:paraId="33EBAE83">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56-23-5</w:t>
            </w:r>
          </w:p>
        </w:tc>
        <w:tc>
          <w:tcPr>
            <w:tcW w:w="772" w:type="dxa"/>
            <w:tcBorders>
              <w:tl2br w:val="nil"/>
              <w:tr2bl w:val="nil"/>
            </w:tcBorders>
            <w:shd w:val="clear" w:color="auto" w:fill="auto"/>
            <w:vAlign w:val="center"/>
          </w:tcPr>
          <w:p w14:paraId="5A9E3414">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0.9</w:t>
            </w:r>
          </w:p>
        </w:tc>
        <w:tc>
          <w:tcPr>
            <w:tcW w:w="772" w:type="dxa"/>
            <w:tcBorders>
              <w:tl2br w:val="nil"/>
              <w:tr2bl w:val="nil"/>
            </w:tcBorders>
            <w:shd w:val="clear" w:color="auto" w:fill="auto"/>
            <w:vAlign w:val="center"/>
          </w:tcPr>
          <w:p w14:paraId="4FF560A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2.8</w:t>
            </w:r>
          </w:p>
        </w:tc>
        <w:tc>
          <w:tcPr>
            <w:tcW w:w="772" w:type="dxa"/>
            <w:tcBorders>
              <w:tl2br w:val="nil"/>
              <w:tr2bl w:val="nil"/>
            </w:tcBorders>
            <w:shd w:val="clear" w:color="auto" w:fill="auto"/>
            <w:vAlign w:val="center"/>
          </w:tcPr>
          <w:p w14:paraId="4B3EF726">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9</w:t>
            </w:r>
          </w:p>
        </w:tc>
        <w:tc>
          <w:tcPr>
            <w:tcW w:w="773" w:type="dxa"/>
            <w:tcBorders>
              <w:tl2br w:val="nil"/>
              <w:tr2bl w:val="nil"/>
            </w:tcBorders>
            <w:shd w:val="clear" w:color="auto" w:fill="auto"/>
            <w:vAlign w:val="center"/>
          </w:tcPr>
          <w:p w14:paraId="2119ADB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36</w:t>
            </w:r>
          </w:p>
        </w:tc>
      </w:tr>
      <w:tr w14:paraId="4DC8D8E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4E0D9329">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5100D2D1">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9</w:t>
            </w:r>
          </w:p>
        </w:tc>
        <w:tc>
          <w:tcPr>
            <w:tcW w:w="1834" w:type="dxa"/>
            <w:tcBorders>
              <w:tl2br w:val="nil"/>
              <w:tr2bl w:val="nil"/>
            </w:tcBorders>
            <w:shd w:val="clear" w:color="auto" w:fill="auto"/>
            <w:vAlign w:val="center"/>
          </w:tcPr>
          <w:p w14:paraId="1943C659">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氯仿</w:t>
            </w:r>
          </w:p>
        </w:tc>
        <w:tc>
          <w:tcPr>
            <w:tcW w:w="1283" w:type="dxa"/>
            <w:tcBorders>
              <w:tl2br w:val="nil"/>
              <w:tr2bl w:val="nil"/>
            </w:tcBorders>
            <w:shd w:val="clear" w:color="auto" w:fill="auto"/>
            <w:vAlign w:val="center"/>
          </w:tcPr>
          <w:p w14:paraId="037C1F28">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67-66-3</w:t>
            </w:r>
          </w:p>
        </w:tc>
        <w:tc>
          <w:tcPr>
            <w:tcW w:w="772" w:type="dxa"/>
            <w:tcBorders>
              <w:tl2br w:val="nil"/>
              <w:tr2bl w:val="nil"/>
            </w:tcBorders>
            <w:shd w:val="clear" w:color="auto" w:fill="auto"/>
            <w:vAlign w:val="center"/>
          </w:tcPr>
          <w:p w14:paraId="2B599D24">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0.3</w:t>
            </w:r>
          </w:p>
        </w:tc>
        <w:tc>
          <w:tcPr>
            <w:tcW w:w="772" w:type="dxa"/>
            <w:tcBorders>
              <w:tl2br w:val="nil"/>
              <w:tr2bl w:val="nil"/>
            </w:tcBorders>
            <w:shd w:val="clear" w:color="auto" w:fill="auto"/>
            <w:vAlign w:val="center"/>
          </w:tcPr>
          <w:p w14:paraId="1D9E530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0.9</w:t>
            </w:r>
          </w:p>
        </w:tc>
        <w:tc>
          <w:tcPr>
            <w:tcW w:w="772" w:type="dxa"/>
            <w:tcBorders>
              <w:tl2br w:val="nil"/>
              <w:tr2bl w:val="nil"/>
            </w:tcBorders>
            <w:shd w:val="clear" w:color="auto" w:fill="auto"/>
            <w:vAlign w:val="center"/>
          </w:tcPr>
          <w:p w14:paraId="5A50513A">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w:t>
            </w:r>
          </w:p>
        </w:tc>
        <w:tc>
          <w:tcPr>
            <w:tcW w:w="773" w:type="dxa"/>
            <w:tcBorders>
              <w:tl2br w:val="nil"/>
              <w:tr2bl w:val="nil"/>
            </w:tcBorders>
            <w:shd w:val="clear" w:color="auto" w:fill="auto"/>
            <w:vAlign w:val="center"/>
          </w:tcPr>
          <w:p w14:paraId="74A71C8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10</w:t>
            </w:r>
          </w:p>
        </w:tc>
      </w:tr>
      <w:tr w14:paraId="5C8C0A4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1CDC7EE5">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6408AB97">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10</w:t>
            </w:r>
          </w:p>
        </w:tc>
        <w:tc>
          <w:tcPr>
            <w:tcW w:w="1834" w:type="dxa"/>
            <w:tcBorders>
              <w:tl2br w:val="nil"/>
              <w:tr2bl w:val="nil"/>
            </w:tcBorders>
            <w:shd w:val="clear" w:color="auto" w:fill="auto"/>
            <w:vAlign w:val="center"/>
          </w:tcPr>
          <w:p w14:paraId="63FB5EDD">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氯甲烷</w:t>
            </w:r>
          </w:p>
        </w:tc>
        <w:tc>
          <w:tcPr>
            <w:tcW w:w="1283" w:type="dxa"/>
            <w:tcBorders>
              <w:tl2br w:val="nil"/>
              <w:tr2bl w:val="nil"/>
            </w:tcBorders>
            <w:shd w:val="clear" w:color="auto" w:fill="auto"/>
            <w:vAlign w:val="center"/>
          </w:tcPr>
          <w:p w14:paraId="55299FF7">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74-87-3</w:t>
            </w:r>
          </w:p>
        </w:tc>
        <w:tc>
          <w:tcPr>
            <w:tcW w:w="772" w:type="dxa"/>
            <w:tcBorders>
              <w:tl2br w:val="nil"/>
              <w:tr2bl w:val="nil"/>
            </w:tcBorders>
            <w:shd w:val="clear" w:color="auto" w:fill="auto"/>
            <w:vAlign w:val="center"/>
          </w:tcPr>
          <w:p w14:paraId="3786FFA5">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12</w:t>
            </w:r>
          </w:p>
        </w:tc>
        <w:tc>
          <w:tcPr>
            <w:tcW w:w="772" w:type="dxa"/>
            <w:tcBorders>
              <w:tl2br w:val="nil"/>
              <w:tr2bl w:val="nil"/>
            </w:tcBorders>
            <w:shd w:val="clear" w:color="auto" w:fill="auto"/>
            <w:vAlign w:val="center"/>
          </w:tcPr>
          <w:p w14:paraId="3C1978A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37</w:t>
            </w:r>
          </w:p>
        </w:tc>
        <w:tc>
          <w:tcPr>
            <w:tcW w:w="772" w:type="dxa"/>
            <w:tcBorders>
              <w:tl2br w:val="nil"/>
              <w:tr2bl w:val="nil"/>
            </w:tcBorders>
            <w:shd w:val="clear" w:color="auto" w:fill="auto"/>
            <w:vAlign w:val="center"/>
          </w:tcPr>
          <w:p w14:paraId="31B9E6C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21</w:t>
            </w:r>
          </w:p>
        </w:tc>
        <w:tc>
          <w:tcPr>
            <w:tcW w:w="773" w:type="dxa"/>
            <w:tcBorders>
              <w:tl2br w:val="nil"/>
              <w:tr2bl w:val="nil"/>
            </w:tcBorders>
            <w:shd w:val="clear" w:color="auto" w:fill="auto"/>
            <w:vAlign w:val="center"/>
          </w:tcPr>
          <w:p w14:paraId="1E15781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120</w:t>
            </w:r>
          </w:p>
        </w:tc>
      </w:tr>
      <w:tr w14:paraId="3C463D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330A7AB3">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5E8009BB">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11</w:t>
            </w:r>
          </w:p>
        </w:tc>
        <w:tc>
          <w:tcPr>
            <w:tcW w:w="1834" w:type="dxa"/>
            <w:tcBorders>
              <w:tl2br w:val="nil"/>
              <w:tr2bl w:val="nil"/>
            </w:tcBorders>
            <w:shd w:val="clear" w:color="auto" w:fill="auto"/>
            <w:vAlign w:val="center"/>
          </w:tcPr>
          <w:p w14:paraId="369FA977">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1-</w:t>
            </w:r>
            <w:r>
              <w:rPr>
                <w:rFonts w:hint="eastAsia"/>
                <w:snapToGrid w:val="0"/>
                <w:highlight w:val="none"/>
                <w:lang w:val="en-US" w:eastAsia="en-US"/>
              </w:rPr>
              <w:t>二氯乙烷</w:t>
            </w:r>
          </w:p>
        </w:tc>
        <w:tc>
          <w:tcPr>
            <w:tcW w:w="1283" w:type="dxa"/>
            <w:tcBorders>
              <w:tl2br w:val="nil"/>
              <w:tr2bl w:val="nil"/>
            </w:tcBorders>
            <w:shd w:val="clear" w:color="auto" w:fill="auto"/>
            <w:vAlign w:val="center"/>
          </w:tcPr>
          <w:p w14:paraId="1ECEF466">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75-34-3</w:t>
            </w:r>
          </w:p>
        </w:tc>
        <w:tc>
          <w:tcPr>
            <w:tcW w:w="772" w:type="dxa"/>
            <w:tcBorders>
              <w:tl2br w:val="nil"/>
              <w:tr2bl w:val="nil"/>
            </w:tcBorders>
            <w:shd w:val="clear" w:color="auto" w:fill="auto"/>
            <w:vAlign w:val="center"/>
          </w:tcPr>
          <w:p w14:paraId="0266A1EA">
            <w:pPr>
              <w:pStyle w:val="8"/>
              <w:suppressLineNumbers w:val="0"/>
              <w:bidi w:val="0"/>
              <w:spacing w:before="0" w:beforeAutospacing="0" w:after="0" w:afterAutospacing="0"/>
              <w:ind w:left="0" w:right="0"/>
              <w:rPr>
                <w:rFonts w:hint="eastAsia" w:eastAsia="宋体"/>
                <w:snapToGrid w:val="0"/>
                <w:highlight w:val="none"/>
                <w:lang w:val="en-US" w:eastAsia="zh-CN"/>
              </w:rPr>
            </w:pPr>
            <w:r>
              <w:rPr>
                <w:rFonts w:hint="eastAsia"/>
                <w:snapToGrid w:val="0"/>
                <w:highlight w:val="none"/>
                <w:lang w:val="en-US" w:eastAsia="zh-CN"/>
              </w:rPr>
              <w:t>3</w:t>
            </w:r>
          </w:p>
        </w:tc>
        <w:tc>
          <w:tcPr>
            <w:tcW w:w="772" w:type="dxa"/>
            <w:tcBorders>
              <w:tl2br w:val="nil"/>
              <w:tr2bl w:val="nil"/>
            </w:tcBorders>
            <w:shd w:val="clear" w:color="auto" w:fill="auto"/>
            <w:vAlign w:val="center"/>
          </w:tcPr>
          <w:p w14:paraId="58BC1CA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9</w:t>
            </w:r>
          </w:p>
        </w:tc>
        <w:tc>
          <w:tcPr>
            <w:tcW w:w="772" w:type="dxa"/>
            <w:tcBorders>
              <w:tl2br w:val="nil"/>
              <w:tr2bl w:val="nil"/>
            </w:tcBorders>
            <w:shd w:val="clear" w:color="auto" w:fill="auto"/>
            <w:vAlign w:val="center"/>
          </w:tcPr>
          <w:p w14:paraId="7A0C33B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20</w:t>
            </w:r>
          </w:p>
        </w:tc>
        <w:tc>
          <w:tcPr>
            <w:tcW w:w="773" w:type="dxa"/>
            <w:tcBorders>
              <w:tl2br w:val="nil"/>
              <w:tr2bl w:val="nil"/>
            </w:tcBorders>
            <w:shd w:val="clear" w:color="auto" w:fill="auto"/>
            <w:vAlign w:val="center"/>
          </w:tcPr>
          <w:p w14:paraId="1A0AD68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100</w:t>
            </w:r>
          </w:p>
        </w:tc>
      </w:tr>
      <w:tr w14:paraId="1242E6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3F45C7A7">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7CBC77F7">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12</w:t>
            </w:r>
          </w:p>
        </w:tc>
        <w:tc>
          <w:tcPr>
            <w:tcW w:w="1834" w:type="dxa"/>
            <w:tcBorders>
              <w:tl2br w:val="nil"/>
              <w:tr2bl w:val="nil"/>
            </w:tcBorders>
            <w:shd w:val="clear" w:color="auto" w:fill="auto"/>
            <w:vAlign w:val="center"/>
          </w:tcPr>
          <w:p w14:paraId="53B0B0A1">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en-US"/>
              </w:rPr>
              <w:t>二氯乙烷</w:t>
            </w:r>
          </w:p>
        </w:tc>
        <w:tc>
          <w:tcPr>
            <w:tcW w:w="1283" w:type="dxa"/>
            <w:tcBorders>
              <w:tl2br w:val="nil"/>
              <w:tr2bl w:val="nil"/>
            </w:tcBorders>
            <w:shd w:val="clear" w:color="auto" w:fill="auto"/>
            <w:vAlign w:val="center"/>
          </w:tcPr>
          <w:p w14:paraId="2D41F4F1">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107-06-2</w:t>
            </w:r>
          </w:p>
        </w:tc>
        <w:tc>
          <w:tcPr>
            <w:tcW w:w="772" w:type="dxa"/>
            <w:tcBorders>
              <w:tl2br w:val="nil"/>
              <w:tr2bl w:val="nil"/>
            </w:tcBorders>
            <w:shd w:val="clear" w:color="auto" w:fill="auto"/>
            <w:vAlign w:val="center"/>
          </w:tcPr>
          <w:p w14:paraId="12C4C046">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0.52</w:t>
            </w:r>
          </w:p>
        </w:tc>
        <w:tc>
          <w:tcPr>
            <w:tcW w:w="772" w:type="dxa"/>
            <w:tcBorders>
              <w:tl2br w:val="nil"/>
              <w:tr2bl w:val="nil"/>
            </w:tcBorders>
            <w:shd w:val="clear" w:color="auto" w:fill="auto"/>
            <w:vAlign w:val="center"/>
          </w:tcPr>
          <w:p w14:paraId="5B2BC91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w:t>
            </w:r>
          </w:p>
        </w:tc>
        <w:tc>
          <w:tcPr>
            <w:tcW w:w="772" w:type="dxa"/>
            <w:tcBorders>
              <w:tl2br w:val="nil"/>
              <w:tr2bl w:val="nil"/>
            </w:tcBorders>
            <w:shd w:val="clear" w:color="auto" w:fill="auto"/>
            <w:vAlign w:val="center"/>
          </w:tcPr>
          <w:p w14:paraId="501A892D">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6</w:t>
            </w:r>
          </w:p>
        </w:tc>
        <w:tc>
          <w:tcPr>
            <w:tcW w:w="773" w:type="dxa"/>
            <w:tcBorders>
              <w:tl2br w:val="nil"/>
              <w:tr2bl w:val="nil"/>
            </w:tcBorders>
            <w:shd w:val="clear" w:color="auto" w:fill="auto"/>
            <w:vAlign w:val="center"/>
          </w:tcPr>
          <w:p w14:paraId="14F11C5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21</w:t>
            </w:r>
          </w:p>
        </w:tc>
      </w:tr>
      <w:tr w14:paraId="4F6115F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4" w:hRule="atLeast"/>
          <w:jc w:val="center"/>
        </w:trPr>
        <w:tc>
          <w:tcPr>
            <w:tcW w:w="1350" w:type="dxa"/>
            <w:vMerge w:val="continue"/>
            <w:tcBorders>
              <w:tl2br w:val="nil"/>
              <w:tr2bl w:val="nil"/>
            </w:tcBorders>
            <w:shd w:val="clear" w:color="auto" w:fill="auto"/>
            <w:vAlign w:val="center"/>
          </w:tcPr>
          <w:p w14:paraId="6CF45F05">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7BF5C7E2">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13</w:t>
            </w:r>
          </w:p>
        </w:tc>
        <w:tc>
          <w:tcPr>
            <w:tcW w:w="1834" w:type="dxa"/>
            <w:tcBorders>
              <w:tl2br w:val="nil"/>
              <w:tr2bl w:val="nil"/>
            </w:tcBorders>
            <w:shd w:val="clear" w:color="auto" w:fill="auto"/>
            <w:vAlign w:val="center"/>
          </w:tcPr>
          <w:p w14:paraId="5111A70C">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1-</w:t>
            </w:r>
            <w:r>
              <w:rPr>
                <w:rFonts w:hint="eastAsia"/>
                <w:snapToGrid w:val="0"/>
                <w:highlight w:val="none"/>
                <w:lang w:val="en-US" w:eastAsia="en-US"/>
              </w:rPr>
              <w:t>二氯乙烯</w:t>
            </w:r>
          </w:p>
        </w:tc>
        <w:tc>
          <w:tcPr>
            <w:tcW w:w="1283" w:type="dxa"/>
            <w:tcBorders>
              <w:tl2br w:val="nil"/>
              <w:tr2bl w:val="nil"/>
            </w:tcBorders>
            <w:shd w:val="clear" w:color="auto" w:fill="auto"/>
            <w:vAlign w:val="center"/>
          </w:tcPr>
          <w:p w14:paraId="5E41706C">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75-35-4</w:t>
            </w:r>
          </w:p>
        </w:tc>
        <w:tc>
          <w:tcPr>
            <w:tcW w:w="772" w:type="dxa"/>
            <w:tcBorders>
              <w:tl2br w:val="nil"/>
              <w:tr2bl w:val="nil"/>
            </w:tcBorders>
            <w:shd w:val="clear" w:color="auto" w:fill="auto"/>
            <w:vAlign w:val="center"/>
          </w:tcPr>
          <w:p w14:paraId="520FEC5F">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12</w:t>
            </w:r>
          </w:p>
        </w:tc>
        <w:tc>
          <w:tcPr>
            <w:tcW w:w="772" w:type="dxa"/>
            <w:tcBorders>
              <w:tl2br w:val="nil"/>
              <w:tr2bl w:val="nil"/>
            </w:tcBorders>
            <w:shd w:val="clear" w:color="auto" w:fill="auto"/>
            <w:vAlign w:val="center"/>
          </w:tcPr>
          <w:p w14:paraId="79B0CCC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66</w:t>
            </w:r>
          </w:p>
        </w:tc>
        <w:tc>
          <w:tcPr>
            <w:tcW w:w="772" w:type="dxa"/>
            <w:tcBorders>
              <w:tl2br w:val="nil"/>
              <w:tr2bl w:val="nil"/>
            </w:tcBorders>
            <w:shd w:val="clear" w:color="auto" w:fill="auto"/>
            <w:vAlign w:val="center"/>
          </w:tcPr>
          <w:p w14:paraId="6517496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40</w:t>
            </w:r>
          </w:p>
        </w:tc>
        <w:tc>
          <w:tcPr>
            <w:tcW w:w="773" w:type="dxa"/>
            <w:tcBorders>
              <w:tl2br w:val="nil"/>
              <w:tr2bl w:val="nil"/>
            </w:tcBorders>
            <w:shd w:val="clear" w:color="auto" w:fill="auto"/>
            <w:vAlign w:val="center"/>
          </w:tcPr>
          <w:p w14:paraId="7BDDA1B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200</w:t>
            </w:r>
          </w:p>
        </w:tc>
      </w:tr>
    </w:tbl>
    <w:p w14:paraId="5984F0CF">
      <w:pPr>
        <w:pStyle w:val="8"/>
        <w:bidi w:val="0"/>
        <w:rPr>
          <w:rFonts w:hint="eastAsia"/>
          <w:highlight w:val="none"/>
          <w:lang w:val="en-US" w:eastAsia="zh-CN"/>
        </w:rPr>
      </w:pPr>
    </w:p>
    <w:p w14:paraId="2BEF81E6">
      <w:pPr>
        <w:pStyle w:val="7"/>
        <w:bidi w:val="0"/>
        <w:rPr>
          <w:rFonts w:hint="default"/>
          <w:highlight w:val="none"/>
          <w:lang w:val="en-US" w:eastAsia="zh-CN"/>
        </w:rPr>
      </w:pPr>
      <w:r>
        <w:rPr>
          <w:rFonts w:hint="eastAsia"/>
          <w:highlight w:val="none"/>
          <w:lang w:val="en-US" w:eastAsia="zh-CN"/>
        </w:rPr>
        <w:t>续</w:t>
      </w:r>
      <w:r>
        <w:rPr>
          <w:rFonts w:hint="default"/>
          <w:highlight w:val="none"/>
          <w:lang w:val="en-US" w:eastAsia="zh-CN"/>
        </w:rPr>
        <w:t>表2-3-2建设用地土壤环境质量标准</w:t>
      </w:r>
    </w:p>
    <w:tbl>
      <w:tblPr>
        <w:tblStyle w:val="74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350"/>
        <w:gridCol w:w="750"/>
        <w:gridCol w:w="1834"/>
        <w:gridCol w:w="16"/>
        <w:gridCol w:w="1267"/>
        <w:gridCol w:w="772"/>
        <w:gridCol w:w="11"/>
        <w:gridCol w:w="761"/>
        <w:gridCol w:w="6"/>
        <w:gridCol w:w="766"/>
        <w:gridCol w:w="17"/>
        <w:gridCol w:w="756"/>
      </w:tblGrid>
      <w:tr w14:paraId="7878FB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jc w:val="center"/>
        </w:trPr>
        <w:tc>
          <w:tcPr>
            <w:tcW w:w="1350" w:type="dxa"/>
            <w:vMerge w:val="restart"/>
            <w:tcBorders>
              <w:tl2br w:val="nil"/>
              <w:tr2bl w:val="nil"/>
            </w:tcBorders>
            <w:shd w:val="clear" w:color="auto" w:fill="auto"/>
            <w:vAlign w:val="center"/>
          </w:tcPr>
          <w:p w14:paraId="01A58A80">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《土壤环境质量建设用地土壤污染风险管控标准（试行）》（</w:t>
            </w:r>
            <w:r>
              <w:rPr>
                <w:rFonts w:hint="default"/>
                <w:snapToGrid w:val="0"/>
                <w:highlight w:val="none"/>
                <w:lang w:val="en-US" w:eastAsia="en-US"/>
              </w:rPr>
              <w:t>GB36600-2018</w:t>
            </w:r>
            <w:r>
              <w:rPr>
                <w:rFonts w:hint="eastAsia"/>
                <w:snapToGrid w:val="0"/>
                <w:highlight w:val="none"/>
                <w:lang w:val="en-US" w:eastAsia="en-US"/>
              </w:rPr>
              <w:t>）表</w:t>
            </w:r>
            <w:r>
              <w:rPr>
                <w:rFonts w:hint="default"/>
                <w:snapToGrid w:val="0"/>
                <w:highlight w:val="none"/>
                <w:lang w:val="en-US" w:eastAsia="en-US"/>
              </w:rPr>
              <w:t>1</w:t>
            </w:r>
            <w:r>
              <w:rPr>
                <w:rFonts w:hint="eastAsia"/>
                <w:snapToGrid w:val="0"/>
                <w:highlight w:val="none"/>
                <w:lang w:val="en-US" w:eastAsia="en-US"/>
              </w:rPr>
              <w:t>中标准限值</w:t>
            </w:r>
          </w:p>
        </w:tc>
        <w:tc>
          <w:tcPr>
            <w:tcW w:w="750" w:type="dxa"/>
            <w:tcBorders>
              <w:tl2br w:val="nil"/>
              <w:tr2bl w:val="nil"/>
            </w:tcBorders>
            <w:shd w:val="clear" w:color="auto" w:fill="auto"/>
            <w:vAlign w:val="center"/>
          </w:tcPr>
          <w:p w14:paraId="37345978">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14</w:t>
            </w:r>
          </w:p>
        </w:tc>
        <w:tc>
          <w:tcPr>
            <w:tcW w:w="1834" w:type="dxa"/>
            <w:tcBorders>
              <w:tl2br w:val="nil"/>
              <w:tr2bl w:val="nil"/>
            </w:tcBorders>
            <w:shd w:val="clear" w:color="auto" w:fill="auto"/>
            <w:vAlign w:val="center"/>
          </w:tcPr>
          <w:p w14:paraId="1AC49624">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顺</w:t>
            </w: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en-US"/>
              </w:rPr>
              <w:t>二氯乙烯</w:t>
            </w:r>
          </w:p>
        </w:tc>
        <w:tc>
          <w:tcPr>
            <w:tcW w:w="1283" w:type="dxa"/>
            <w:gridSpan w:val="2"/>
            <w:tcBorders>
              <w:tl2br w:val="nil"/>
              <w:tr2bl w:val="nil"/>
            </w:tcBorders>
            <w:shd w:val="clear" w:color="auto" w:fill="auto"/>
            <w:vAlign w:val="center"/>
          </w:tcPr>
          <w:p w14:paraId="523093C2">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156-59-2</w:t>
            </w:r>
          </w:p>
        </w:tc>
        <w:tc>
          <w:tcPr>
            <w:tcW w:w="772" w:type="dxa"/>
            <w:tcBorders>
              <w:tl2br w:val="nil"/>
              <w:tr2bl w:val="nil"/>
            </w:tcBorders>
            <w:shd w:val="clear" w:color="auto" w:fill="auto"/>
            <w:vAlign w:val="center"/>
          </w:tcPr>
          <w:p w14:paraId="3203027B">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66</w:t>
            </w:r>
          </w:p>
        </w:tc>
        <w:tc>
          <w:tcPr>
            <w:tcW w:w="772" w:type="dxa"/>
            <w:gridSpan w:val="2"/>
            <w:tcBorders>
              <w:tl2br w:val="nil"/>
              <w:tr2bl w:val="nil"/>
            </w:tcBorders>
            <w:shd w:val="clear" w:color="auto" w:fill="auto"/>
            <w:vAlign w:val="center"/>
          </w:tcPr>
          <w:p w14:paraId="61386FD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596</w:t>
            </w:r>
          </w:p>
        </w:tc>
        <w:tc>
          <w:tcPr>
            <w:tcW w:w="772" w:type="dxa"/>
            <w:gridSpan w:val="2"/>
            <w:tcBorders>
              <w:tl2br w:val="nil"/>
              <w:tr2bl w:val="nil"/>
            </w:tcBorders>
            <w:shd w:val="clear" w:color="auto" w:fill="auto"/>
            <w:vAlign w:val="center"/>
          </w:tcPr>
          <w:p w14:paraId="7054D0F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200</w:t>
            </w:r>
          </w:p>
        </w:tc>
        <w:tc>
          <w:tcPr>
            <w:tcW w:w="773" w:type="dxa"/>
            <w:gridSpan w:val="2"/>
            <w:tcBorders>
              <w:tl2br w:val="nil"/>
              <w:tr2bl w:val="nil"/>
            </w:tcBorders>
            <w:shd w:val="clear" w:color="auto" w:fill="auto"/>
            <w:vAlign w:val="center"/>
          </w:tcPr>
          <w:p w14:paraId="30D2E9C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2000</w:t>
            </w:r>
          </w:p>
        </w:tc>
      </w:tr>
      <w:tr w14:paraId="4D440D3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2CDFA1BC">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409EBD87">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15</w:t>
            </w:r>
          </w:p>
        </w:tc>
        <w:tc>
          <w:tcPr>
            <w:tcW w:w="1850" w:type="dxa"/>
            <w:gridSpan w:val="2"/>
            <w:tcBorders>
              <w:tl2br w:val="nil"/>
              <w:tr2bl w:val="nil"/>
            </w:tcBorders>
            <w:shd w:val="clear" w:color="auto" w:fill="auto"/>
            <w:vAlign w:val="center"/>
          </w:tcPr>
          <w:p w14:paraId="193187FB">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反</w:t>
            </w: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en-US"/>
              </w:rPr>
              <w:t>二氯乙烯</w:t>
            </w:r>
          </w:p>
        </w:tc>
        <w:tc>
          <w:tcPr>
            <w:tcW w:w="1267" w:type="dxa"/>
            <w:tcBorders>
              <w:tl2br w:val="nil"/>
              <w:tr2bl w:val="nil"/>
            </w:tcBorders>
            <w:shd w:val="clear" w:color="auto" w:fill="auto"/>
            <w:vAlign w:val="center"/>
          </w:tcPr>
          <w:p w14:paraId="08DFBEB1">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156-60-5</w:t>
            </w:r>
          </w:p>
        </w:tc>
        <w:tc>
          <w:tcPr>
            <w:tcW w:w="783" w:type="dxa"/>
            <w:gridSpan w:val="2"/>
            <w:tcBorders>
              <w:tl2br w:val="nil"/>
              <w:tr2bl w:val="nil"/>
            </w:tcBorders>
            <w:shd w:val="clear" w:color="auto" w:fill="auto"/>
            <w:vAlign w:val="center"/>
          </w:tcPr>
          <w:p w14:paraId="4159EA4B">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10</w:t>
            </w:r>
          </w:p>
        </w:tc>
        <w:tc>
          <w:tcPr>
            <w:tcW w:w="767" w:type="dxa"/>
            <w:gridSpan w:val="2"/>
            <w:tcBorders>
              <w:tl2br w:val="nil"/>
              <w:tr2bl w:val="nil"/>
            </w:tcBorders>
            <w:shd w:val="clear" w:color="auto" w:fill="auto"/>
            <w:vAlign w:val="center"/>
          </w:tcPr>
          <w:p w14:paraId="17387A6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54</w:t>
            </w:r>
          </w:p>
        </w:tc>
        <w:tc>
          <w:tcPr>
            <w:tcW w:w="783" w:type="dxa"/>
            <w:gridSpan w:val="2"/>
            <w:tcBorders>
              <w:tl2br w:val="nil"/>
              <w:tr2bl w:val="nil"/>
            </w:tcBorders>
            <w:shd w:val="clear" w:color="auto" w:fill="auto"/>
            <w:vAlign w:val="center"/>
          </w:tcPr>
          <w:p w14:paraId="0BBFD67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31</w:t>
            </w:r>
          </w:p>
        </w:tc>
        <w:tc>
          <w:tcPr>
            <w:tcW w:w="756" w:type="dxa"/>
            <w:tcBorders>
              <w:tl2br w:val="nil"/>
              <w:tr2bl w:val="nil"/>
            </w:tcBorders>
            <w:shd w:val="clear" w:color="auto" w:fill="auto"/>
            <w:vAlign w:val="center"/>
          </w:tcPr>
          <w:p w14:paraId="5716135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163</w:t>
            </w:r>
          </w:p>
        </w:tc>
      </w:tr>
      <w:tr w14:paraId="52FA5C1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31E61744">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0F0ACE72">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16</w:t>
            </w:r>
          </w:p>
        </w:tc>
        <w:tc>
          <w:tcPr>
            <w:tcW w:w="1850" w:type="dxa"/>
            <w:gridSpan w:val="2"/>
            <w:tcBorders>
              <w:tl2br w:val="nil"/>
              <w:tr2bl w:val="nil"/>
            </w:tcBorders>
            <w:shd w:val="clear" w:color="auto" w:fill="auto"/>
            <w:vAlign w:val="center"/>
          </w:tcPr>
          <w:p w14:paraId="08727E3D">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二氯甲烷</w:t>
            </w:r>
          </w:p>
        </w:tc>
        <w:tc>
          <w:tcPr>
            <w:tcW w:w="1267" w:type="dxa"/>
            <w:tcBorders>
              <w:tl2br w:val="nil"/>
              <w:tr2bl w:val="nil"/>
            </w:tcBorders>
            <w:shd w:val="clear" w:color="auto" w:fill="auto"/>
            <w:vAlign w:val="center"/>
          </w:tcPr>
          <w:p w14:paraId="35587344">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75-09-2</w:t>
            </w:r>
          </w:p>
        </w:tc>
        <w:tc>
          <w:tcPr>
            <w:tcW w:w="783" w:type="dxa"/>
            <w:gridSpan w:val="2"/>
            <w:tcBorders>
              <w:tl2br w:val="nil"/>
              <w:tr2bl w:val="nil"/>
            </w:tcBorders>
            <w:shd w:val="clear" w:color="auto" w:fill="auto"/>
            <w:vAlign w:val="center"/>
          </w:tcPr>
          <w:p w14:paraId="394CE177">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94</w:t>
            </w:r>
          </w:p>
        </w:tc>
        <w:tc>
          <w:tcPr>
            <w:tcW w:w="767" w:type="dxa"/>
            <w:gridSpan w:val="2"/>
            <w:tcBorders>
              <w:tl2br w:val="nil"/>
              <w:tr2bl w:val="nil"/>
            </w:tcBorders>
            <w:shd w:val="clear" w:color="auto" w:fill="auto"/>
            <w:vAlign w:val="center"/>
          </w:tcPr>
          <w:p w14:paraId="54EF48CA">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616</w:t>
            </w:r>
          </w:p>
        </w:tc>
        <w:tc>
          <w:tcPr>
            <w:tcW w:w="783" w:type="dxa"/>
            <w:gridSpan w:val="2"/>
            <w:tcBorders>
              <w:tl2br w:val="nil"/>
              <w:tr2bl w:val="nil"/>
            </w:tcBorders>
            <w:shd w:val="clear" w:color="auto" w:fill="auto"/>
            <w:vAlign w:val="center"/>
          </w:tcPr>
          <w:p w14:paraId="0EB87F0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300</w:t>
            </w:r>
          </w:p>
        </w:tc>
        <w:tc>
          <w:tcPr>
            <w:tcW w:w="756" w:type="dxa"/>
            <w:tcBorders>
              <w:tl2br w:val="nil"/>
              <w:tr2bl w:val="nil"/>
            </w:tcBorders>
            <w:shd w:val="clear" w:color="auto" w:fill="auto"/>
            <w:vAlign w:val="center"/>
          </w:tcPr>
          <w:p w14:paraId="2A26F48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200</w:t>
            </w:r>
          </w:p>
        </w:tc>
      </w:tr>
      <w:tr w14:paraId="386164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08F0B1AC">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1855BD38">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17</w:t>
            </w:r>
          </w:p>
        </w:tc>
        <w:tc>
          <w:tcPr>
            <w:tcW w:w="1850" w:type="dxa"/>
            <w:gridSpan w:val="2"/>
            <w:tcBorders>
              <w:tl2br w:val="nil"/>
              <w:tr2bl w:val="nil"/>
            </w:tcBorders>
            <w:shd w:val="clear" w:color="auto" w:fill="auto"/>
            <w:vAlign w:val="center"/>
          </w:tcPr>
          <w:p w14:paraId="5E3E0D46">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en-US"/>
              </w:rPr>
              <w:t>二氯丙烷</w:t>
            </w:r>
          </w:p>
        </w:tc>
        <w:tc>
          <w:tcPr>
            <w:tcW w:w="1267" w:type="dxa"/>
            <w:tcBorders>
              <w:tl2br w:val="nil"/>
              <w:tr2bl w:val="nil"/>
            </w:tcBorders>
            <w:shd w:val="clear" w:color="auto" w:fill="auto"/>
            <w:vAlign w:val="center"/>
          </w:tcPr>
          <w:p w14:paraId="6EA42D1D">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78-87-5</w:t>
            </w:r>
          </w:p>
        </w:tc>
        <w:tc>
          <w:tcPr>
            <w:tcW w:w="783" w:type="dxa"/>
            <w:gridSpan w:val="2"/>
            <w:tcBorders>
              <w:tl2br w:val="nil"/>
              <w:tr2bl w:val="nil"/>
            </w:tcBorders>
            <w:shd w:val="clear" w:color="auto" w:fill="auto"/>
            <w:vAlign w:val="center"/>
          </w:tcPr>
          <w:p w14:paraId="7881A455">
            <w:pPr>
              <w:pStyle w:val="8"/>
              <w:suppressLineNumbers w:val="0"/>
              <w:bidi w:val="0"/>
              <w:spacing w:before="0" w:beforeAutospacing="0" w:after="0" w:afterAutospacing="0"/>
              <w:ind w:left="0" w:right="0"/>
              <w:rPr>
                <w:rFonts w:hint="eastAsia" w:eastAsia="宋体"/>
                <w:snapToGrid w:val="0"/>
                <w:highlight w:val="none"/>
                <w:lang w:val="en-US" w:eastAsia="zh-CN"/>
              </w:rPr>
            </w:pPr>
            <w:r>
              <w:rPr>
                <w:rFonts w:hint="eastAsia"/>
                <w:snapToGrid w:val="0"/>
                <w:highlight w:val="none"/>
                <w:lang w:val="en-US" w:eastAsia="zh-CN"/>
              </w:rPr>
              <w:t>1</w:t>
            </w:r>
          </w:p>
        </w:tc>
        <w:tc>
          <w:tcPr>
            <w:tcW w:w="767" w:type="dxa"/>
            <w:gridSpan w:val="2"/>
            <w:tcBorders>
              <w:tl2br w:val="nil"/>
              <w:tr2bl w:val="nil"/>
            </w:tcBorders>
            <w:shd w:val="clear" w:color="auto" w:fill="auto"/>
            <w:vAlign w:val="center"/>
          </w:tcPr>
          <w:p w14:paraId="17EE192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w:t>
            </w:r>
          </w:p>
        </w:tc>
        <w:tc>
          <w:tcPr>
            <w:tcW w:w="783" w:type="dxa"/>
            <w:gridSpan w:val="2"/>
            <w:tcBorders>
              <w:tl2br w:val="nil"/>
              <w:tr2bl w:val="nil"/>
            </w:tcBorders>
            <w:shd w:val="clear" w:color="auto" w:fill="auto"/>
            <w:vAlign w:val="center"/>
          </w:tcPr>
          <w:p w14:paraId="5B268F0E">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w:t>
            </w:r>
          </w:p>
        </w:tc>
        <w:tc>
          <w:tcPr>
            <w:tcW w:w="756" w:type="dxa"/>
            <w:tcBorders>
              <w:tl2br w:val="nil"/>
              <w:tr2bl w:val="nil"/>
            </w:tcBorders>
            <w:shd w:val="clear" w:color="auto" w:fill="auto"/>
            <w:vAlign w:val="center"/>
          </w:tcPr>
          <w:p w14:paraId="31DFCEF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47</w:t>
            </w:r>
          </w:p>
        </w:tc>
      </w:tr>
      <w:tr w14:paraId="19692D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70BB0911">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0B56502A">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18</w:t>
            </w:r>
          </w:p>
        </w:tc>
        <w:tc>
          <w:tcPr>
            <w:tcW w:w="1850" w:type="dxa"/>
            <w:gridSpan w:val="2"/>
            <w:tcBorders>
              <w:tl2br w:val="nil"/>
              <w:tr2bl w:val="nil"/>
            </w:tcBorders>
            <w:shd w:val="clear" w:color="auto" w:fill="auto"/>
            <w:vAlign w:val="center"/>
          </w:tcPr>
          <w:p w14:paraId="3875770B">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en-US"/>
              </w:rPr>
              <w:t>四氯乙烷</w:t>
            </w:r>
          </w:p>
        </w:tc>
        <w:tc>
          <w:tcPr>
            <w:tcW w:w="1267" w:type="dxa"/>
            <w:tcBorders>
              <w:tl2br w:val="nil"/>
              <w:tr2bl w:val="nil"/>
            </w:tcBorders>
            <w:shd w:val="clear" w:color="auto" w:fill="auto"/>
            <w:vAlign w:val="center"/>
          </w:tcPr>
          <w:p w14:paraId="0DB0C8A2">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630-20-6</w:t>
            </w:r>
          </w:p>
        </w:tc>
        <w:tc>
          <w:tcPr>
            <w:tcW w:w="783" w:type="dxa"/>
            <w:gridSpan w:val="2"/>
            <w:tcBorders>
              <w:tl2br w:val="nil"/>
              <w:tr2bl w:val="nil"/>
            </w:tcBorders>
            <w:shd w:val="clear" w:color="auto" w:fill="auto"/>
            <w:vAlign w:val="center"/>
          </w:tcPr>
          <w:p w14:paraId="11EB55F0">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2.6</w:t>
            </w:r>
          </w:p>
        </w:tc>
        <w:tc>
          <w:tcPr>
            <w:tcW w:w="767" w:type="dxa"/>
            <w:gridSpan w:val="2"/>
            <w:tcBorders>
              <w:tl2br w:val="nil"/>
              <w:tr2bl w:val="nil"/>
            </w:tcBorders>
            <w:shd w:val="clear" w:color="auto" w:fill="auto"/>
            <w:vAlign w:val="center"/>
          </w:tcPr>
          <w:p w14:paraId="02CC5550">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10</w:t>
            </w:r>
          </w:p>
        </w:tc>
        <w:tc>
          <w:tcPr>
            <w:tcW w:w="783" w:type="dxa"/>
            <w:gridSpan w:val="2"/>
            <w:tcBorders>
              <w:tl2br w:val="nil"/>
              <w:tr2bl w:val="nil"/>
            </w:tcBorders>
            <w:shd w:val="clear" w:color="auto" w:fill="auto"/>
            <w:vAlign w:val="center"/>
          </w:tcPr>
          <w:p w14:paraId="2534034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26</w:t>
            </w:r>
          </w:p>
        </w:tc>
        <w:tc>
          <w:tcPr>
            <w:tcW w:w="756" w:type="dxa"/>
            <w:tcBorders>
              <w:tl2br w:val="nil"/>
              <w:tr2bl w:val="nil"/>
            </w:tcBorders>
            <w:shd w:val="clear" w:color="auto" w:fill="auto"/>
            <w:vAlign w:val="center"/>
          </w:tcPr>
          <w:p w14:paraId="5D64E47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100</w:t>
            </w:r>
          </w:p>
        </w:tc>
      </w:tr>
      <w:tr w14:paraId="1355EE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4" w:hRule="atLeast"/>
          <w:jc w:val="center"/>
        </w:trPr>
        <w:tc>
          <w:tcPr>
            <w:tcW w:w="1350" w:type="dxa"/>
            <w:vMerge w:val="continue"/>
            <w:tcBorders>
              <w:tl2br w:val="nil"/>
              <w:tr2bl w:val="nil"/>
            </w:tcBorders>
            <w:shd w:val="clear" w:color="auto" w:fill="auto"/>
            <w:vAlign w:val="center"/>
          </w:tcPr>
          <w:p w14:paraId="3512435B">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6E4D3C25">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19</w:t>
            </w:r>
          </w:p>
        </w:tc>
        <w:tc>
          <w:tcPr>
            <w:tcW w:w="1850" w:type="dxa"/>
            <w:gridSpan w:val="2"/>
            <w:tcBorders>
              <w:tl2br w:val="nil"/>
              <w:tr2bl w:val="nil"/>
            </w:tcBorders>
            <w:shd w:val="clear" w:color="auto" w:fill="auto"/>
            <w:vAlign w:val="center"/>
          </w:tcPr>
          <w:p w14:paraId="25AACCE7">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en-US"/>
              </w:rPr>
              <w:t>四氯乙烷</w:t>
            </w:r>
          </w:p>
        </w:tc>
        <w:tc>
          <w:tcPr>
            <w:tcW w:w="1267" w:type="dxa"/>
            <w:tcBorders>
              <w:tl2br w:val="nil"/>
              <w:tr2bl w:val="nil"/>
            </w:tcBorders>
            <w:shd w:val="clear" w:color="auto" w:fill="auto"/>
            <w:vAlign w:val="center"/>
          </w:tcPr>
          <w:p w14:paraId="297C92CA">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79-34-5</w:t>
            </w:r>
          </w:p>
        </w:tc>
        <w:tc>
          <w:tcPr>
            <w:tcW w:w="783" w:type="dxa"/>
            <w:gridSpan w:val="2"/>
            <w:tcBorders>
              <w:tl2br w:val="nil"/>
              <w:tr2bl w:val="nil"/>
            </w:tcBorders>
            <w:shd w:val="clear" w:color="auto" w:fill="auto"/>
            <w:vAlign w:val="center"/>
          </w:tcPr>
          <w:p w14:paraId="37A78BAB">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1.6</w:t>
            </w:r>
          </w:p>
        </w:tc>
        <w:tc>
          <w:tcPr>
            <w:tcW w:w="767" w:type="dxa"/>
            <w:gridSpan w:val="2"/>
            <w:tcBorders>
              <w:tl2br w:val="nil"/>
              <w:tr2bl w:val="nil"/>
            </w:tcBorders>
            <w:shd w:val="clear" w:color="auto" w:fill="auto"/>
            <w:vAlign w:val="center"/>
          </w:tcPr>
          <w:p w14:paraId="06F8293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6.8</w:t>
            </w:r>
          </w:p>
        </w:tc>
        <w:tc>
          <w:tcPr>
            <w:tcW w:w="783" w:type="dxa"/>
            <w:gridSpan w:val="2"/>
            <w:tcBorders>
              <w:tl2br w:val="nil"/>
              <w:tr2bl w:val="nil"/>
            </w:tcBorders>
            <w:shd w:val="clear" w:color="auto" w:fill="auto"/>
            <w:vAlign w:val="center"/>
          </w:tcPr>
          <w:p w14:paraId="3442103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14</w:t>
            </w:r>
          </w:p>
        </w:tc>
        <w:tc>
          <w:tcPr>
            <w:tcW w:w="756" w:type="dxa"/>
            <w:tcBorders>
              <w:tl2br w:val="nil"/>
              <w:tr2bl w:val="nil"/>
            </w:tcBorders>
            <w:shd w:val="clear" w:color="auto" w:fill="auto"/>
            <w:vAlign w:val="center"/>
          </w:tcPr>
          <w:p w14:paraId="1F54D35B">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50</w:t>
            </w:r>
          </w:p>
        </w:tc>
      </w:tr>
      <w:tr w14:paraId="0938B2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23EB83B0">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5C58CC61">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20</w:t>
            </w:r>
          </w:p>
        </w:tc>
        <w:tc>
          <w:tcPr>
            <w:tcW w:w="1850" w:type="dxa"/>
            <w:gridSpan w:val="2"/>
            <w:tcBorders>
              <w:tl2br w:val="nil"/>
              <w:tr2bl w:val="nil"/>
            </w:tcBorders>
            <w:shd w:val="clear" w:color="auto" w:fill="auto"/>
            <w:vAlign w:val="center"/>
          </w:tcPr>
          <w:p w14:paraId="1E809C9C">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en-US"/>
              </w:rPr>
              <w:t>四氯乙烯</w:t>
            </w:r>
          </w:p>
        </w:tc>
        <w:tc>
          <w:tcPr>
            <w:tcW w:w="1267" w:type="dxa"/>
            <w:tcBorders>
              <w:tl2br w:val="nil"/>
              <w:tr2bl w:val="nil"/>
            </w:tcBorders>
            <w:shd w:val="clear" w:color="auto" w:fill="auto"/>
            <w:vAlign w:val="center"/>
          </w:tcPr>
          <w:p w14:paraId="608896D6">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127-18-4</w:t>
            </w:r>
          </w:p>
        </w:tc>
        <w:tc>
          <w:tcPr>
            <w:tcW w:w="783" w:type="dxa"/>
            <w:gridSpan w:val="2"/>
            <w:tcBorders>
              <w:tl2br w:val="nil"/>
              <w:tr2bl w:val="nil"/>
            </w:tcBorders>
            <w:shd w:val="clear" w:color="auto" w:fill="auto"/>
            <w:vAlign w:val="center"/>
          </w:tcPr>
          <w:p w14:paraId="38E800AD">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11</w:t>
            </w:r>
          </w:p>
        </w:tc>
        <w:tc>
          <w:tcPr>
            <w:tcW w:w="767" w:type="dxa"/>
            <w:gridSpan w:val="2"/>
            <w:tcBorders>
              <w:tl2br w:val="nil"/>
              <w:tr2bl w:val="nil"/>
            </w:tcBorders>
            <w:shd w:val="clear" w:color="auto" w:fill="auto"/>
            <w:vAlign w:val="center"/>
          </w:tcPr>
          <w:p w14:paraId="3A56140B">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53</w:t>
            </w:r>
          </w:p>
        </w:tc>
        <w:tc>
          <w:tcPr>
            <w:tcW w:w="783" w:type="dxa"/>
            <w:gridSpan w:val="2"/>
            <w:tcBorders>
              <w:tl2br w:val="nil"/>
              <w:tr2bl w:val="nil"/>
            </w:tcBorders>
            <w:shd w:val="clear" w:color="auto" w:fill="auto"/>
            <w:vAlign w:val="center"/>
          </w:tcPr>
          <w:p w14:paraId="164A2B4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34</w:t>
            </w:r>
          </w:p>
        </w:tc>
        <w:tc>
          <w:tcPr>
            <w:tcW w:w="756" w:type="dxa"/>
            <w:tcBorders>
              <w:tl2br w:val="nil"/>
              <w:tr2bl w:val="nil"/>
            </w:tcBorders>
            <w:shd w:val="clear" w:color="auto" w:fill="auto"/>
            <w:vAlign w:val="center"/>
          </w:tcPr>
          <w:p w14:paraId="4A9EE83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183</w:t>
            </w:r>
          </w:p>
        </w:tc>
      </w:tr>
      <w:tr w14:paraId="1309C9A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50" w:type="dxa"/>
            <w:vMerge w:val="continue"/>
            <w:tcBorders>
              <w:tl2br w:val="nil"/>
              <w:tr2bl w:val="nil"/>
            </w:tcBorders>
            <w:shd w:val="clear" w:color="auto" w:fill="auto"/>
            <w:vAlign w:val="center"/>
          </w:tcPr>
          <w:p w14:paraId="48C6AE94">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558FA436">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21</w:t>
            </w:r>
          </w:p>
        </w:tc>
        <w:tc>
          <w:tcPr>
            <w:tcW w:w="1850" w:type="dxa"/>
            <w:gridSpan w:val="2"/>
            <w:tcBorders>
              <w:tl2br w:val="nil"/>
              <w:tr2bl w:val="nil"/>
            </w:tcBorders>
            <w:shd w:val="clear" w:color="auto" w:fill="auto"/>
            <w:vAlign w:val="center"/>
          </w:tcPr>
          <w:p w14:paraId="2063A9C5">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1-</w:t>
            </w:r>
            <w:r>
              <w:rPr>
                <w:rFonts w:hint="eastAsia"/>
                <w:snapToGrid w:val="0"/>
                <w:highlight w:val="none"/>
                <w:lang w:val="en-US" w:eastAsia="en-US"/>
              </w:rPr>
              <w:t>三氯乙烷</w:t>
            </w:r>
          </w:p>
        </w:tc>
        <w:tc>
          <w:tcPr>
            <w:tcW w:w="1267" w:type="dxa"/>
            <w:tcBorders>
              <w:tl2br w:val="nil"/>
              <w:tr2bl w:val="nil"/>
            </w:tcBorders>
            <w:shd w:val="clear" w:color="auto" w:fill="auto"/>
            <w:vAlign w:val="center"/>
          </w:tcPr>
          <w:p w14:paraId="646592EC">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71-55-6</w:t>
            </w:r>
          </w:p>
        </w:tc>
        <w:tc>
          <w:tcPr>
            <w:tcW w:w="783" w:type="dxa"/>
            <w:gridSpan w:val="2"/>
            <w:tcBorders>
              <w:tl2br w:val="nil"/>
              <w:tr2bl w:val="nil"/>
            </w:tcBorders>
            <w:shd w:val="clear" w:color="auto" w:fill="auto"/>
            <w:vAlign w:val="center"/>
          </w:tcPr>
          <w:p w14:paraId="2264F6EB">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701</w:t>
            </w:r>
          </w:p>
        </w:tc>
        <w:tc>
          <w:tcPr>
            <w:tcW w:w="767" w:type="dxa"/>
            <w:gridSpan w:val="2"/>
            <w:tcBorders>
              <w:tl2br w:val="nil"/>
              <w:tr2bl w:val="nil"/>
            </w:tcBorders>
            <w:shd w:val="clear" w:color="auto" w:fill="auto"/>
            <w:vAlign w:val="center"/>
          </w:tcPr>
          <w:p w14:paraId="43819AD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840</w:t>
            </w:r>
          </w:p>
        </w:tc>
        <w:tc>
          <w:tcPr>
            <w:tcW w:w="783" w:type="dxa"/>
            <w:gridSpan w:val="2"/>
            <w:tcBorders>
              <w:tl2br w:val="nil"/>
              <w:tr2bl w:val="nil"/>
            </w:tcBorders>
            <w:shd w:val="clear" w:color="auto" w:fill="auto"/>
            <w:vAlign w:val="center"/>
          </w:tcPr>
          <w:p w14:paraId="5A30045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840</w:t>
            </w:r>
          </w:p>
        </w:tc>
        <w:tc>
          <w:tcPr>
            <w:tcW w:w="756" w:type="dxa"/>
            <w:tcBorders>
              <w:tl2br w:val="nil"/>
              <w:tr2bl w:val="nil"/>
            </w:tcBorders>
            <w:shd w:val="clear" w:color="auto" w:fill="auto"/>
            <w:vAlign w:val="center"/>
          </w:tcPr>
          <w:p w14:paraId="75F574E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840</w:t>
            </w:r>
          </w:p>
        </w:tc>
      </w:tr>
      <w:tr w14:paraId="725B7C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5C7A6242">
            <w:pPr>
              <w:pStyle w:val="8"/>
              <w:suppressLineNumbers w:val="0"/>
              <w:bidi w:val="0"/>
              <w:spacing w:before="0" w:beforeAutospacing="0" w:after="0" w:afterAutospacing="0"/>
              <w:ind w:left="0" w:right="0"/>
              <w:rPr>
                <w:rFonts w:hint="default"/>
                <w:snapToGrid w:val="0"/>
                <w:highlight w:val="none"/>
                <w:lang w:val="en-US" w:eastAsia="en-US"/>
              </w:rPr>
            </w:pPr>
          </w:p>
        </w:tc>
        <w:tc>
          <w:tcPr>
            <w:tcW w:w="750" w:type="dxa"/>
            <w:tcBorders>
              <w:tl2br w:val="nil"/>
              <w:tr2bl w:val="nil"/>
            </w:tcBorders>
            <w:shd w:val="clear" w:color="auto" w:fill="auto"/>
            <w:vAlign w:val="center"/>
          </w:tcPr>
          <w:p w14:paraId="463C592A">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22</w:t>
            </w:r>
          </w:p>
        </w:tc>
        <w:tc>
          <w:tcPr>
            <w:tcW w:w="1850" w:type="dxa"/>
            <w:gridSpan w:val="2"/>
            <w:tcBorders>
              <w:tl2br w:val="nil"/>
              <w:tr2bl w:val="nil"/>
            </w:tcBorders>
            <w:shd w:val="clear" w:color="auto" w:fill="auto"/>
            <w:vAlign w:val="center"/>
          </w:tcPr>
          <w:p w14:paraId="6DA5AB96">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en-US"/>
              </w:rPr>
              <w:t>三氯乙烷</w:t>
            </w:r>
          </w:p>
        </w:tc>
        <w:tc>
          <w:tcPr>
            <w:tcW w:w="1267" w:type="dxa"/>
            <w:tcBorders>
              <w:tl2br w:val="nil"/>
              <w:tr2bl w:val="nil"/>
            </w:tcBorders>
            <w:shd w:val="clear" w:color="auto" w:fill="auto"/>
            <w:vAlign w:val="center"/>
          </w:tcPr>
          <w:p w14:paraId="7AFD7150">
            <w:pPr>
              <w:pStyle w:val="8"/>
              <w:suppressLineNumbers w:val="0"/>
              <w:bidi w:val="0"/>
              <w:spacing w:before="0" w:beforeAutospacing="0" w:after="0" w:afterAutospacing="0"/>
              <w:ind w:left="0" w:right="0"/>
              <w:rPr>
                <w:rFonts w:hint="default"/>
                <w:snapToGrid w:val="0"/>
                <w:highlight w:val="none"/>
                <w:lang w:val="en-US" w:eastAsia="en-US"/>
              </w:rPr>
            </w:pPr>
            <w:r>
              <w:rPr>
                <w:rFonts w:hint="default"/>
                <w:snapToGrid w:val="0"/>
                <w:highlight w:val="none"/>
                <w:lang w:val="en-US" w:eastAsia="en-US"/>
              </w:rPr>
              <w:t>79-00-5</w:t>
            </w:r>
          </w:p>
        </w:tc>
        <w:tc>
          <w:tcPr>
            <w:tcW w:w="783" w:type="dxa"/>
            <w:gridSpan w:val="2"/>
            <w:tcBorders>
              <w:tl2br w:val="nil"/>
              <w:tr2bl w:val="nil"/>
            </w:tcBorders>
            <w:shd w:val="clear" w:color="auto" w:fill="auto"/>
            <w:vAlign w:val="center"/>
          </w:tcPr>
          <w:p w14:paraId="4021E507">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0.6</w:t>
            </w:r>
          </w:p>
        </w:tc>
        <w:tc>
          <w:tcPr>
            <w:tcW w:w="767" w:type="dxa"/>
            <w:gridSpan w:val="2"/>
            <w:tcBorders>
              <w:tl2br w:val="nil"/>
              <w:tr2bl w:val="nil"/>
            </w:tcBorders>
            <w:shd w:val="clear" w:color="auto" w:fill="auto"/>
            <w:vAlign w:val="center"/>
          </w:tcPr>
          <w:p w14:paraId="3F4404E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2.8</w:t>
            </w:r>
          </w:p>
        </w:tc>
        <w:tc>
          <w:tcPr>
            <w:tcW w:w="783" w:type="dxa"/>
            <w:gridSpan w:val="2"/>
            <w:tcBorders>
              <w:tl2br w:val="nil"/>
              <w:tr2bl w:val="nil"/>
            </w:tcBorders>
            <w:shd w:val="clear" w:color="auto" w:fill="auto"/>
            <w:vAlign w:val="center"/>
          </w:tcPr>
          <w:p w14:paraId="390633B8">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w:t>
            </w:r>
          </w:p>
        </w:tc>
        <w:tc>
          <w:tcPr>
            <w:tcW w:w="756" w:type="dxa"/>
            <w:tcBorders>
              <w:tl2br w:val="nil"/>
              <w:tr2bl w:val="nil"/>
            </w:tcBorders>
            <w:shd w:val="clear" w:color="auto" w:fill="auto"/>
            <w:vAlign w:val="center"/>
          </w:tcPr>
          <w:p w14:paraId="279CBF9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w:t>
            </w:r>
          </w:p>
        </w:tc>
      </w:tr>
      <w:tr w14:paraId="0FA8F32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4" w:hRule="atLeast"/>
          <w:jc w:val="center"/>
        </w:trPr>
        <w:tc>
          <w:tcPr>
            <w:tcW w:w="1350" w:type="dxa"/>
            <w:vMerge w:val="continue"/>
            <w:tcBorders>
              <w:tl2br w:val="nil"/>
              <w:tr2bl w:val="nil"/>
            </w:tcBorders>
            <w:shd w:val="clear" w:color="auto" w:fill="auto"/>
            <w:vAlign w:val="center"/>
          </w:tcPr>
          <w:p w14:paraId="2FB3EBED">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12099F6C">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23</w:t>
            </w:r>
          </w:p>
        </w:tc>
        <w:tc>
          <w:tcPr>
            <w:tcW w:w="1850" w:type="dxa"/>
            <w:gridSpan w:val="2"/>
            <w:tcBorders>
              <w:tl2br w:val="nil"/>
              <w:tr2bl w:val="nil"/>
            </w:tcBorders>
            <w:shd w:val="clear" w:color="auto" w:fill="auto"/>
            <w:vAlign w:val="center"/>
          </w:tcPr>
          <w:p w14:paraId="64ED66E3">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三氯乙烯</w:t>
            </w:r>
          </w:p>
        </w:tc>
        <w:tc>
          <w:tcPr>
            <w:tcW w:w="1267" w:type="dxa"/>
            <w:tcBorders>
              <w:tl2br w:val="nil"/>
              <w:tr2bl w:val="nil"/>
            </w:tcBorders>
            <w:shd w:val="clear" w:color="auto" w:fill="auto"/>
            <w:vAlign w:val="center"/>
          </w:tcPr>
          <w:p w14:paraId="285389B4">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79-01-6</w:t>
            </w:r>
          </w:p>
        </w:tc>
        <w:tc>
          <w:tcPr>
            <w:tcW w:w="783" w:type="dxa"/>
            <w:gridSpan w:val="2"/>
            <w:tcBorders>
              <w:tl2br w:val="nil"/>
              <w:tr2bl w:val="nil"/>
            </w:tcBorders>
            <w:shd w:val="clear" w:color="auto" w:fill="auto"/>
            <w:vAlign w:val="center"/>
          </w:tcPr>
          <w:p w14:paraId="3517BCAA">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0.7</w:t>
            </w:r>
          </w:p>
        </w:tc>
        <w:tc>
          <w:tcPr>
            <w:tcW w:w="767" w:type="dxa"/>
            <w:gridSpan w:val="2"/>
            <w:tcBorders>
              <w:tl2br w:val="nil"/>
              <w:tr2bl w:val="nil"/>
            </w:tcBorders>
            <w:shd w:val="clear" w:color="auto" w:fill="auto"/>
            <w:vAlign w:val="center"/>
          </w:tcPr>
          <w:p w14:paraId="63AD861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2.8</w:t>
            </w:r>
          </w:p>
        </w:tc>
        <w:tc>
          <w:tcPr>
            <w:tcW w:w="783" w:type="dxa"/>
            <w:gridSpan w:val="2"/>
            <w:tcBorders>
              <w:tl2br w:val="nil"/>
              <w:tr2bl w:val="nil"/>
            </w:tcBorders>
            <w:shd w:val="clear" w:color="auto" w:fill="auto"/>
            <w:vAlign w:val="center"/>
          </w:tcPr>
          <w:p w14:paraId="63A4BC32">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7</w:t>
            </w:r>
          </w:p>
        </w:tc>
        <w:tc>
          <w:tcPr>
            <w:tcW w:w="756" w:type="dxa"/>
            <w:tcBorders>
              <w:tl2br w:val="nil"/>
              <w:tr2bl w:val="nil"/>
            </w:tcBorders>
            <w:shd w:val="clear" w:color="auto" w:fill="auto"/>
            <w:vAlign w:val="center"/>
          </w:tcPr>
          <w:p w14:paraId="298C6B7A">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20</w:t>
            </w:r>
          </w:p>
        </w:tc>
      </w:tr>
      <w:tr w14:paraId="42B2B33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27C082CB">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0F665406">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24</w:t>
            </w:r>
          </w:p>
        </w:tc>
        <w:tc>
          <w:tcPr>
            <w:tcW w:w="1850" w:type="dxa"/>
            <w:gridSpan w:val="2"/>
            <w:tcBorders>
              <w:tl2br w:val="nil"/>
              <w:tr2bl w:val="nil"/>
            </w:tcBorders>
            <w:shd w:val="clear" w:color="auto" w:fill="auto"/>
            <w:vAlign w:val="center"/>
          </w:tcPr>
          <w:p w14:paraId="7B00E969">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zh-CN"/>
              </w:rPr>
              <w:t>，</w:t>
            </w:r>
            <w:r>
              <w:rPr>
                <w:rFonts w:hint="default"/>
                <w:snapToGrid w:val="0"/>
                <w:highlight w:val="none"/>
                <w:lang w:val="en-US" w:eastAsia="en-US"/>
              </w:rPr>
              <w:t>3-</w:t>
            </w:r>
            <w:r>
              <w:rPr>
                <w:rFonts w:hint="eastAsia"/>
                <w:snapToGrid w:val="0"/>
                <w:highlight w:val="none"/>
                <w:lang w:val="en-US" w:eastAsia="en-US"/>
              </w:rPr>
              <w:t>三氯丙烷</w:t>
            </w:r>
          </w:p>
        </w:tc>
        <w:tc>
          <w:tcPr>
            <w:tcW w:w="1267" w:type="dxa"/>
            <w:tcBorders>
              <w:tl2br w:val="nil"/>
              <w:tr2bl w:val="nil"/>
            </w:tcBorders>
            <w:shd w:val="clear" w:color="auto" w:fill="auto"/>
            <w:vAlign w:val="center"/>
          </w:tcPr>
          <w:p w14:paraId="3D07E6F1">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96-18-4</w:t>
            </w:r>
          </w:p>
        </w:tc>
        <w:tc>
          <w:tcPr>
            <w:tcW w:w="783" w:type="dxa"/>
            <w:gridSpan w:val="2"/>
            <w:tcBorders>
              <w:tl2br w:val="nil"/>
              <w:tr2bl w:val="nil"/>
            </w:tcBorders>
            <w:shd w:val="clear" w:color="auto" w:fill="auto"/>
            <w:vAlign w:val="center"/>
          </w:tcPr>
          <w:p w14:paraId="07A0F058">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0.05</w:t>
            </w:r>
          </w:p>
        </w:tc>
        <w:tc>
          <w:tcPr>
            <w:tcW w:w="767" w:type="dxa"/>
            <w:gridSpan w:val="2"/>
            <w:tcBorders>
              <w:tl2br w:val="nil"/>
              <w:tr2bl w:val="nil"/>
            </w:tcBorders>
            <w:shd w:val="clear" w:color="auto" w:fill="auto"/>
            <w:vAlign w:val="center"/>
          </w:tcPr>
          <w:p w14:paraId="5741F54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0.5</w:t>
            </w:r>
          </w:p>
        </w:tc>
        <w:tc>
          <w:tcPr>
            <w:tcW w:w="783" w:type="dxa"/>
            <w:gridSpan w:val="2"/>
            <w:tcBorders>
              <w:tl2br w:val="nil"/>
              <w:tr2bl w:val="nil"/>
            </w:tcBorders>
            <w:shd w:val="clear" w:color="auto" w:fill="auto"/>
            <w:vAlign w:val="center"/>
          </w:tcPr>
          <w:p w14:paraId="4DF4567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0.5</w:t>
            </w:r>
          </w:p>
        </w:tc>
        <w:tc>
          <w:tcPr>
            <w:tcW w:w="756" w:type="dxa"/>
            <w:tcBorders>
              <w:tl2br w:val="nil"/>
              <w:tr2bl w:val="nil"/>
            </w:tcBorders>
            <w:shd w:val="clear" w:color="auto" w:fill="auto"/>
            <w:vAlign w:val="center"/>
          </w:tcPr>
          <w:p w14:paraId="165A2AE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w:t>
            </w:r>
          </w:p>
        </w:tc>
      </w:tr>
      <w:tr w14:paraId="4C27D1A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4BBF04D4">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476F5DD2">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25</w:t>
            </w:r>
          </w:p>
        </w:tc>
        <w:tc>
          <w:tcPr>
            <w:tcW w:w="1850" w:type="dxa"/>
            <w:gridSpan w:val="2"/>
            <w:tcBorders>
              <w:tl2br w:val="nil"/>
              <w:tr2bl w:val="nil"/>
            </w:tcBorders>
            <w:shd w:val="clear" w:color="auto" w:fill="auto"/>
            <w:vAlign w:val="center"/>
          </w:tcPr>
          <w:p w14:paraId="24621BF4">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氯乙烯</w:t>
            </w:r>
          </w:p>
        </w:tc>
        <w:tc>
          <w:tcPr>
            <w:tcW w:w="1267" w:type="dxa"/>
            <w:tcBorders>
              <w:tl2br w:val="nil"/>
              <w:tr2bl w:val="nil"/>
            </w:tcBorders>
            <w:shd w:val="clear" w:color="auto" w:fill="auto"/>
            <w:vAlign w:val="center"/>
          </w:tcPr>
          <w:p w14:paraId="70065CE8">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75-01-4</w:t>
            </w:r>
          </w:p>
        </w:tc>
        <w:tc>
          <w:tcPr>
            <w:tcW w:w="783" w:type="dxa"/>
            <w:gridSpan w:val="2"/>
            <w:tcBorders>
              <w:tl2br w:val="nil"/>
              <w:tr2bl w:val="nil"/>
            </w:tcBorders>
            <w:shd w:val="clear" w:color="auto" w:fill="auto"/>
            <w:vAlign w:val="center"/>
          </w:tcPr>
          <w:p w14:paraId="7E971D5F">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0.12</w:t>
            </w:r>
          </w:p>
        </w:tc>
        <w:tc>
          <w:tcPr>
            <w:tcW w:w="767" w:type="dxa"/>
            <w:gridSpan w:val="2"/>
            <w:tcBorders>
              <w:tl2br w:val="nil"/>
              <w:tr2bl w:val="nil"/>
            </w:tcBorders>
            <w:shd w:val="clear" w:color="auto" w:fill="auto"/>
            <w:vAlign w:val="center"/>
          </w:tcPr>
          <w:p w14:paraId="7B6A9B8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0.43</w:t>
            </w:r>
          </w:p>
        </w:tc>
        <w:tc>
          <w:tcPr>
            <w:tcW w:w="783" w:type="dxa"/>
            <w:gridSpan w:val="2"/>
            <w:tcBorders>
              <w:tl2br w:val="nil"/>
              <w:tr2bl w:val="nil"/>
            </w:tcBorders>
            <w:shd w:val="clear" w:color="auto" w:fill="auto"/>
            <w:vAlign w:val="center"/>
          </w:tcPr>
          <w:p w14:paraId="43DBF7C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1.2</w:t>
            </w:r>
          </w:p>
        </w:tc>
        <w:tc>
          <w:tcPr>
            <w:tcW w:w="756" w:type="dxa"/>
            <w:tcBorders>
              <w:tl2br w:val="nil"/>
              <w:tr2bl w:val="nil"/>
            </w:tcBorders>
            <w:shd w:val="clear" w:color="auto" w:fill="auto"/>
            <w:vAlign w:val="center"/>
          </w:tcPr>
          <w:p w14:paraId="03F66089">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4.3</w:t>
            </w:r>
          </w:p>
        </w:tc>
      </w:tr>
      <w:tr w14:paraId="5CBC0C0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4FCE5F65">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468D579F">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26</w:t>
            </w:r>
          </w:p>
        </w:tc>
        <w:tc>
          <w:tcPr>
            <w:tcW w:w="1850" w:type="dxa"/>
            <w:gridSpan w:val="2"/>
            <w:tcBorders>
              <w:tl2br w:val="nil"/>
              <w:tr2bl w:val="nil"/>
            </w:tcBorders>
            <w:shd w:val="clear" w:color="auto" w:fill="auto"/>
            <w:vAlign w:val="center"/>
          </w:tcPr>
          <w:p w14:paraId="64CF0359">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苯</w:t>
            </w:r>
          </w:p>
        </w:tc>
        <w:tc>
          <w:tcPr>
            <w:tcW w:w="1267" w:type="dxa"/>
            <w:tcBorders>
              <w:tl2br w:val="nil"/>
              <w:tr2bl w:val="nil"/>
            </w:tcBorders>
            <w:shd w:val="clear" w:color="auto" w:fill="auto"/>
            <w:vAlign w:val="center"/>
          </w:tcPr>
          <w:p w14:paraId="34F52423">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71-43-2</w:t>
            </w:r>
          </w:p>
        </w:tc>
        <w:tc>
          <w:tcPr>
            <w:tcW w:w="783" w:type="dxa"/>
            <w:gridSpan w:val="2"/>
            <w:tcBorders>
              <w:tl2br w:val="nil"/>
              <w:tr2bl w:val="nil"/>
            </w:tcBorders>
            <w:shd w:val="clear" w:color="auto" w:fill="auto"/>
            <w:vAlign w:val="center"/>
          </w:tcPr>
          <w:p w14:paraId="622ABC58">
            <w:pPr>
              <w:pStyle w:val="8"/>
              <w:suppressLineNumbers w:val="0"/>
              <w:bidi w:val="0"/>
              <w:spacing w:before="0" w:beforeAutospacing="0" w:after="0" w:afterAutospacing="0"/>
              <w:ind w:left="0" w:right="0"/>
              <w:rPr>
                <w:rFonts w:hint="eastAsia" w:eastAsia="宋体"/>
                <w:snapToGrid w:val="0"/>
                <w:highlight w:val="none"/>
                <w:lang w:val="en-US" w:eastAsia="zh-CN"/>
              </w:rPr>
            </w:pPr>
            <w:r>
              <w:rPr>
                <w:rFonts w:hint="eastAsia"/>
                <w:snapToGrid w:val="0"/>
                <w:highlight w:val="none"/>
                <w:lang w:val="en-US" w:eastAsia="zh-CN"/>
              </w:rPr>
              <w:t>1</w:t>
            </w:r>
          </w:p>
        </w:tc>
        <w:tc>
          <w:tcPr>
            <w:tcW w:w="767" w:type="dxa"/>
            <w:gridSpan w:val="2"/>
            <w:tcBorders>
              <w:tl2br w:val="nil"/>
              <w:tr2bl w:val="nil"/>
            </w:tcBorders>
            <w:shd w:val="clear" w:color="auto" w:fill="auto"/>
            <w:vAlign w:val="center"/>
          </w:tcPr>
          <w:p w14:paraId="21A1E06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4</w:t>
            </w:r>
          </w:p>
        </w:tc>
        <w:tc>
          <w:tcPr>
            <w:tcW w:w="783" w:type="dxa"/>
            <w:gridSpan w:val="2"/>
            <w:tcBorders>
              <w:tl2br w:val="nil"/>
              <w:tr2bl w:val="nil"/>
            </w:tcBorders>
            <w:shd w:val="clear" w:color="auto" w:fill="auto"/>
            <w:vAlign w:val="center"/>
          </w:tcPr>
          <w:p w14:paraId="0C3A598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10</w:t>
            </w:r>
          </w:p>
        </w:tc>
        <w:tc>
          <w:tcPr>
            <w:tcW w:w="756" w:type="dxa"/>
            <w:tcBorders>
              <w:tl2br w:val="nil"/>
              <w:tr2bl w:val="nil"/>
            </w:tcBorders>
            <w:shd w:val="clear" w:color="auto" w:fill="auto"/>
            <w:vAlign w:val="center"/>
          </w:tcPr>
          <w:p w14:paraId="2771EF3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40</w:t>
            </w:r>
          </w:p>
        </w:tc>
      </w:tr>
      <w:tr w14:paraId="0FF5BC8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174A4E6E">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70EEE2F7">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27</w:t>
            </w:r>
          </w:p>
        </w:tc>
        <w:tc>
          <w:tcPr>
            <w:tcW w:w="1850" w:type="dxa"/>
            <w:gridSpan w:val="2"/>
            <w:tcBorders>
              <w:tl2br w:val="nil"/>
              <w:tr2bl w:val="nil"/>
            </w:tcBorders>
            <w:shd w:val="clear" w:color="auto" w:fill="auto"/>
            <w:vAlign w:val="center"/>
          </w:tcPr>
          <w:p w14:paraId="179FA704">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氯苯</w:t>
            </w:r>
          </w:p>
        </w:tc>
        <w:tc>
          <w:tcPr>
            <w:tcW w:w="1267" w:type="dxa"/>
            <w:tcBorders>
              <w:tl2br w:val="nil"/>
              <w:tr2bl w:val="nil"/>
            </w:tcBorders>
            <w:shd w:val="clear" w:color="auto" w:fill="auto"/>
            <w:vAlign w:val="center"/>
          </w:tcPr>
          <w:p w14:paraId="3C4DE43C">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108-90-7</w:t>
            </w:r>
          </w:p>
        </w:tc>
        <w:tc>
          <w:tcPr>
            <w:tcW w:w="783" w:type="dxa"/>
            <w:gridSpan w:val="2"/>
            <w:tcBorders>
              <w:tl2br w:val="nil"/>
              <w:tr2bl w:val="nil"/>
            </w:tcBorders>
            <w:shd w:val="clear" w:color="auto" w:fill="auto"/>
            <w:vAlign w:val="center"/>
          </w:tcPr>
          <w:p w14:paraId="298901E8">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68</w:t>
            </w:r>
          </w:p>
        </w:tc>
        <w:tc>
          <w:tcPr>
            <w:tcW w:w="767" w:type="dxa"/>
            <w:gridSpan w:val="2"/>
            <w:tcBorders>
              <w:tl2br w:val="nil"/>
              <w:tr2bl w:val="nil"/>
            </w:tcBorders>
            <w:shd w:val="clear" w:color="auto" w:fill="auto"/>
            <w:vAlign w:val="center"/>
          </w:tcPr>
          <w:p w14:paraId="347FE71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270</w:t>
            </w:r>
          </w:p>
        </w:tc>
        <w:tc>
          <w:tcPr>
            <w:tcW w:w="783" w:type="dxa"/>
            <w:gridSpan w:val="2"/>
            <w:tcBorders>
              <w:tl2br w:val="nil"/>
              <w:tr2bl w:val="nil"/>
            </w:tcBorders>
            <w:shd w:val="clear" w:color="auto" w:fill="auto"/>
            <w:vAlign w:val="center"/>
          </w:tcPr>
          <w:p w14:paraId="5B34153A">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200</w:t>
            </w:r>
          </w:p>
        </w:tc>
        <w:tc>
          <w:tcPr>
            <w:tcW w:w="756" w:type="dxa"/>
            <w:tcBorders>
              <w:tl2br w:val="nil"/>
              <w:tr2bl w:val="nil"/>
            </w:tcBorders>
            <w:shd w:val="clear" w:color="auto" w:fill="auto"/>
            <w:vAlign w:val="center"/>
          </w:tcPr>
          <w:p w14:paraId="0F04B8E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1000</w:t>
            </w:r>
          </w:p>
        </w:tc>
      </w:tr>
      <w:tr w14:paraId="31C116A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center"/>
          </w:tcPr>
          <w:p w14:paraId="0FE3C523">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21799BB4">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28</w:t>
            </w:r>
          </w:p>
        </w:tc>
        <w:tc>
          <w:tcPr>
            <w:tcW w:w="1850" w:type="dxa"/>
            <w:gridSpan w:val="2"/>
            <w:tcBorders>
              <w:tl2br w:val="nil"/>
              <w:tr2bl w:val="nil"/>
            </w:tcBorders>
            <w:shd w:val="clear" w:color="auto" w:fill="auto"/>
            <w:vAlign w:val="center"/>
          </w:tcPr>
          <w:p w14:paraId="4A603010">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en-US"/>
              </w:rPr>
              <w:t>二氯苯</w:t>
            </w:r>
          </w:p>
        </w:tc>
        <w:tc>
          <w:tcPr>
            <w:tcW w:w="1267" w:type="dxa"/>
            <w:tcBorders>
              <w:tl2br w:val="nil"/>
              <w:tr2bl w:val="nil"/>
            </w:tcBorders>
            <w:shd w:val="clear" w:color="auto" w:fill="auto"/>
            <w:vAlign w:val="center"/>
          </w:tcPr>
          <w:p w14:paraId="2F52B46B">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95-50-1</w:t>
            </w:r>
          </w:p>
        </w:tc>
        <w:tc>
          <w:tcPr>
            <w:tcW w:w="783" w:type="dxa"/>
            <w:gridSpan w:val="2"/>
            <w:tcBorders>
              <w:tl2br w:val="nil"/>
              <w:tr2bl w:val="nil"/>
            </w:tcBorders>
            <w:shd w:val="clear" w:color="auto" w:fill="auto"/>
            <w:vAlign w:val="center"/>
          </w:tcPr>
          <w:p w14:paraId="6A430728">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560</w:t>
            </w:r>
          </w:p>
        </w:tc>
        <w:tc>
          <w:tcPr>
            <w:tcW w:w="767" w:type="dxa"/>
            <w:gridSpan w:val="2"/>
            <w:tcBorders>
              <w:tl2br w:val="nil"/>
              <w:tr2bl w:val="nil"/>
            </w:tcBorders>
            <w:shd w:val="clear" w:color="auto" w:fill="auto"/>
            <w:vAlign w:val="center"/>
          </w:tcPr>
          <w:p w14:paraId="657D0D4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560</w:t>
            </w:r>
          </w:p>
        </w:tc>
        <w:tc>
          <w:tcPr>
            <w:tcW w:w="783" w:type="dxa"/>
            <w:gridSpan w:val="2"/>
            <w:tcBorders>
              <w:tl2br w:val="nil"/>
              <w:tr2bl w:val="nil"/>
            </w:tcBorders>
            <w:shd w:val="clear" w:color="auto" w:fill="auto"/>
            <w:vAlign w:val="center"/>
          </w:tcPr>
          <w:p w14:paraId="32F530F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560</w:t>
            </w:r>
          </w:p>
        </w:tc>
        <w:tc>
          <w:tcPr>
            <w:tcW w:w="756" w:type="dxa"/>
            <w:tcBorders>
              <w:tl2br w:val="nil"/>
              <w:tr2bl w:val="nil"/>
            </w:tcBorders>
            <w:shd w:val="clear" w:color="auto" w:fill="auto"/>
            <w:vAlign w:val="center"/>
          </w:tcPr>
          <w:p w14:paraId="2B888B59">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560</w:t>
            </w:r>
          </w:p>
        </w:tc>
      </w:tr>
      <w:tr w14:paraId="581124A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4" w:hRule="atLeast"/>
          <w:jc w:val="center"/>
        </w:trPr>
        <w:tc>
          <w:tcPr>
            <w:tcW w:w="1350" w:type="dxa"/>
            <w:vMerge w:val="continue"/>
            <w:tcBorders>
              <w:tl2br w:val="nil"/>
              <w:tr2bl w:val="nil"/>
            </w:tcBorders>
            <w:shd w:val="clear" w:color="auto" w:fill="auto"/>
            <w:vAlign w:val="top"/>
          </w:tcPr>
          <w:p w14:paraId="19106325">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4BEEFC39">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29</w:t>
            </w:r>
          </w:p>
        </w:tc>
        <w:tc>
          <w:tcPr>
            <w:tcW w:w="1850" w:type="dxa"/>
            <w:gridSpan w:val="2"/>
            <w:tcBorders>
              <w:tl2br w:val="nil"/>
              <w:tr2bl w:val="nil"/>
            </w:tcBorders>
            <w:shd w:val="clear" w:color="auto" w:fill="auto"/>
            <w:vAlign w:val="center"/>
          </w:tcPr>
          <w:p w14:paraId="14B6F415">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4-</w:t>
            </w:r>
            <w:r>
              <w:rPr>
                <w:rFonts w:hint="eastAsia"/>
                <w:snapToGrid w:val="0"/>
                <w:highlight w:val="none"/>
                <w:lang w:val="en-US" w:eastAsia="en-US"/>
              </w:rPr>
              <w:t>二氯苯</w:t>
            </w:r>
          </w:p>
        </w:tc>
        <w:tc>
          <w:tcPr>
            <w:tcW w:w="1267" w:type="dxa"/>
            <w:tcBorders>
              <w:tl2br w:val="nil"/>
              <w:tr2bl w:val="nil"/>
            </w:tcBorders>
            <w:shd w:val="clear" w:color="auto" w:fill="auto"/>
            <w:vAlign w:val="center"/>
          </w:tcPr>
          <w:p w14:paraId="02962DC6">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106-46-7</w:t>
            </w:r>
          </w:p>
        </w:tc>
        <w:tc>
          <w:tcPr>
            <w:tcW w:w="783" w:type="dxa"/>
            <w:gridSpan w:val="2"/>
            <w:tcBorders>
              <w:tl2br w:val="nil"/>
              <w:tr2bl w:val="nil"/>
            </w:tcBorders>
            <w:shd w:val="clear" w:color="auto" w:fill="auto"/>
            <w:vAlign w:val="center"/>
          </w:tcPr>
          <w:p w14:paraId="7D2A62B8">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5.6</w:t>
            </w:r>
          </w:p>
        </w:tc>
        <w:tc>
          <w:tcPr>
            <w:tcW w:w="767" w:type="dxa"/>
            <w:gridSpan w:val="2"/>
            <w:tcBorders>
              <w:tl2br w:val="nil"/>
              <w:tr2bl w:val="nil"/>
            </w:tcBorders>
            <w:shd w:val="clear" w:color="auto" w:fill="auto"/>
            <w:vAlign w:val="center"/>
          </w:tcPr>
          <w:p w14:paraId="4AC7039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20</w:t>
            </w:r>
          </w:p>
        </w:tc>
        <w:tc>
          <w:tcPr>
            <w:tcW w:w="783" w:type="dxa"/>
            <w:gridSpan w:val="2"/>
            <w:tcBorders>
              <w:tl2br w:val="nil"/>
              <w:tr2bl w:val="nil"/>
            </w:tcBorders>
            <w:shd w:val="clear" w:color="auto" w:fill="auto"/>
            <w:vAlign w:val="center"/>
          </w:tcPr>
          <w:p w14:paraId="6D4A399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56</w:t>
            </w:r>
          </w:p>
        </w:tc>
        <w:tc>
          <w:tcPr>
            <w:tcW w:w="756" w:type="dxa"/>
            <w:tcBorders>
              <w:tl2br w:val="nil"/>
              <w:tr2bl w:val="nil"/>
            </w:tcBorders>
            <w:shd w:val="clear" w:color="auto" w:fill="auto"/>
            <w:vAlign w:val="center"/>
          </w:tcPr>
          <w:p w14:paraId="58AE75B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200</w:t>
            </w:r>
          </w:p>
        </w:tc>
      </w:tr>
      <w:tr w14:paraId="39BA536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78ADAD98">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638065DD">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30</w:t>
            </w:r>
          </w:p>
        </w:tc>
        <w:tc>
          <w:tcPr>
            <w:tcW w:w="1850" w:type="dxa"/>
            <w:gridSpan w:val="2"/>
            <w:tcBorders>
              <w:tl2br w:val="nil"/>
              <w:tr2bl w:val="nil"/>
            </w:tcBorders>
            <w:shd w:val="clear" w:color="auto" w:fill="auto"/>
            <w:vAlign w:val="center"/>
          </w:tcPr>
          <w:p w14:paraId="0E18C2F7">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乙苯</w:t>
            </w:r>
          </w:p>
        </w:tc>
        <w:tc>
          <w:tcPr>
            <w:tcW w:w="1267" w:type="dxa"/>
            <w:tcBorders>
              <w:tl2br w:val="nil"/>
              <w:tr2bl w:val="nil"/>
            </w:tcBorders>
            <w:shd w:val="clear" w:color="auto" w:fill="auto"/>
            <w:vAlign w:val="center"/>
          </w:tcPr>
          <w:p w14:paraId="31FB2748">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100-41-4</w:t>
            </w:r>
          </w:p>
        </w:tc>
        <w:tc>
          <w:tcPr>
            <w:tcW w:w="783" w:type="dxa"/>
            <w:gridSpan w:val="2"/>
            <w:tcBorders>
              <w:tl2br w:val="nil"/>
              <w:tr2bl w:val="nil"/>
            </w:tcBorders>
            <w:shd w:val="clear" w:color="auto" w:fill="auto"/>
            <w:vAlign w:val="center"/>
          </w:tcPr>
          <w:p w14:paraId="24D2E6A7">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7.2</w:t>
            </w:r>
          </w:p>
        </w:tc>
        <w:tc>
          <w:tcPr>
            <w:tcW w:w="767" w:type="dxa"/>
            <w:gridSpan w:val="2"/>
            <w:tcBorders>
              <w:tl2br w:val="nil"/>
              <w:tr2bl w:val="nil"/>
            </w:tcBorders>
            <w:shd w:val="clear" w:color="auto" w:fill="auto"/>
            <w:vAlign w:val="center"/>
          </w:tcPr>
          <w:p w14:paraId="227BCC0A">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28</w:t>
            </w:r>
          </w:p>
        </w:tc>
        <w:tc>
          <w:tcPr>
            <w:tcW w:w="783" w:type="dxa"/>
            <w:gridSpan w:val="2"/>
            <w:tcBorders>
              <w:tl2br w:val="nil"/>
              <w:tr2bl w:val="nil"/>
            </w:tcBorders>
            <w:shd w:val="clear" w:color="auto" w:fill="auto"/>
            <w:vAlign w:val="center"/>
          </w:tcPr>
          <w:p w14:paraId="5910FA5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72</w:t>
            </w:r>
          </w:p>
        </w:tc>
        <w:tc>
          <w:tcPr>
            <w:tcW w:w="756" w:type="dxa"/>
            <w:tcBorders>
              <w:tl2br w:val="nil"/>
              <w:tr2bl w:val="nil"/>
            </w:tcBorders>
            <w:shd w:val="clear" w:color="auto" w:fill="auto"/>
            <w:vAlign w:val="center"/>
          </w:tcPr>
          <w:p w14:paraId="09B1D9A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280</w:t>
            </w:r>
          </w:p>
        </w:tc>
      </w:tr>
      <w:tr w14:paraId="7A09027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43D49B77">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02F8A3D9">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31</w:t>
            </w:r>
          </w:p>
        </w:tc>
        <w:tc>
          <w:tcPr>
            <w:tcW w:w="1850" w:type="dxa"/>
            <w:gridSpan w:val="2"/>
            <w:tcBorders>
              <w:tl2br w:val="nil"/>
              <w:tr2bl w:val="nil"/>
            </w:tcBorders>
            <w:shd w:val="clear" w:color="auto" w:fill="auto"/>
            <w:vAlign w:val="center"/>
          </w:tcPr>
          <w:p w14:paraId="01C9BB59">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苯乙烯</w:t>
            </w:r>
          </w:p>
        </w:tc>
        <w:tc>
          <w:tcPr>
            <w:tcW w:w="1267" w:type="dxa"/>
            <w:tcBorders>
              <w:tl2br w:val="nil"/>
              <w:tr2bl w:val="nil"/>
            </w:tcBorders>
            <w:shd w:val="clear" w:color="auto" w:fill="auto"/>
            <w:vAlign w:val="center"/>
          </w:tcPr>
          <w:p w14:paraId="01F9CB35">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100-42-5</w:t>
            </w:r>
          </w:p>
        </w:tc>
        <w:tc>
          <w:tcPr>
            <w:tcW w:w="783" w:type="dxa"/>
            <w:gridSpan w:val="2"/>
            <w:tcBorders>
              <w:tl2br w:val="nil"/>
              <w:tr2bl w:val="nil"/>
            </w:tcBorders>
            <w:shd w:val="clear" w:color="auto" w:fill="auto"/>
            <w:vAlign w:val="center"/>
          </w:tcPr>
          <w:p w14:paraId="1C7041F6">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1290</w:t>
            </w:r>
          </w:p>
        </w:tc>
        <w:tc>
          <w:tcPr>
            <w:tcW w:w="767" w:type="dxa"/>
            <w:gridSpan w:val="2"/>
            <w:tcBorders>
              <w:tl2br w:val="nil"/>
              <w:tr2bl w:val="nil"/>
            </w:tcBorders>
            <w:shd w:val="clear" w:color="auto" w:fill="auto"/>
            <w:vAlign w:val="center"/>
          </w:tcPr>
          <w:p w14:paraId="2B4C20D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1290</w:t>
            </w:r>
          </w:p>
        </w:tc>
        <w:tc>
          <w:tcPr>
            <w:tcW w:w="783" w:type="dxa"/>
            <w:gridSpan w:val="2"/>
            <w:tcBorders>
              <w:tl2br w:val="nil"/>
              <w:tr2bl w:val="nil"/>
            </w:tcBorders>
            <w:shd w:val="clear" w:color="auto" w:fill="auto"/>
            <w:vAlign w:val="center"/>
          </w:tcPr>
          <w:p w14:paraId="022FC12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1290</w:t>
            </w:r>
          </w:p>
        </w:tc>
        <w:tc>
          <w:tcPr>
            <w:tcW w:w="756" w:type="dxa"/>
            <w:tcBorders>
              <w:tl2br w:val="nil"/>
              <w:tr2bl w:val="nil"/>
            </w:tcBorders>
            <w:shd w:val="clear" w:color="auto" w:fill="auto"/>
            <w:vAlign w:val="center"/>
          </w:tcPr>
          <w:p w14:paraId="5A06747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1290</w:t>
            </w:r>
          </w:p>
        </w:tc>
      </w:tr>
      <w:tr w14:paraId="06785A8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12" w:hRule="atLeast"/>
          <w:jc w:val="center"/>
        </w:trPr>
        <w:tc>
          <w:tcPr>
            <w:tcW w:w="1350" w:type="dxa"/>
            <w:vMerge w:val="continue"/>
            <w:tcBorders>
              <w:tl2br w:val="nil"/>
              <w:tr2bl w:val="nil"/>
            </w:tcBorders>
            <w:shd w:val="clear" w:color="auto" w:fill="auto"/>
            <w:vAlign w:val="top"/>
          </w:tcPr>
          <w:p w14:paraId="09CD9BC4">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4952FBDE">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32</w:t>
            </w:r>
          </w:p>
        </w:tc>
        <w:tc>
          <w:tcPr>
            <w:tcW w:w="1850" w:type="dxa"/>
            <w:gridSpan w:val="2"/>
            <w:tcBorders>
              <w:tl2br w:val="nil"/>
              <w:tr2bl w:val="nil"/>
            </w:tcBorders>
            <w:shd w:val="clear" w:color="auto" w:fill="auto"/>
            <w:vAlign w:val="center"/>
          </w:tcPr>
          <w:p w14:paraId="6BBAAA9E">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甲苯</w:t>
            </w:r>
          </w:p>
        </w:tc>
        <w:tc>
          <w:tcPr>
            <w:tcW w:w="1267" w:type="dxa"/>
            <w:tcBorders>
              <w:tl2br w:val="nil"/>
              <w:tr2bl w:val="nil"/>
            </w:tcBorders>
            <w:shd w:val="clear" w:color="auto" w:fill="auto"/>
            <w:vAlign w:val="center"/>
          </w:tcPr>
          <w:p w14:paraId="1EF7C38A">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108-88-3</w:t>
            </w:r>
          </w:p>
        </w:tc>
        <w:tc>
          <w:tcPr>
            <w:tcW w:w="783" w:type="dxa"/>
            <w:gridSpan w:val="2"/>
            <w:tcBorders>
              <w:tl2br w:val="nil"/>
              <w:tr2bl w:val="nil"/>
            </w:tcBorders>
            <w:shd w:val="clear" w:color="auto" w:fill="auto"/>
            <w:vAlign w:val="center"/>
          </w:tcPr>
          <w:p w14:paraId="0732855E">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1200</w:t>
            </w:r>
          </w:p>
        </w:tc>
        <w:tc>
          <w:tcPr>
            <w:tcW w:w="767" w:type="dxa"/>
            <w:gridSpan w:val="2"/>
            <w:tcBorders>
              <w:tl2br w:val="nil"/>
              <w:tr2bl w:val="nil"/>
            </w:tcBorders>
            <w:shd w:val="clear" w:color="auto" w:fill="auto"/>
            <w:vAlign w:val="center"/>
          </w:tcPr>
          <w:p w14:paraId="43989EF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1200</w:t>
            </w:r>
          </w:p>
        </w:tc>
        <w:tc>
          <w:tcPr>
            <w:tcW w:w="783" w:type="dxa"/>
            <w:gridSpan w:val="2"/>
            <w:tcBorders>
              <w:tl2br w:val="nil"/>
              <w:tr2bl w:val="nil"/>
            </w:tcBorders>
            <w:shd w:val="clear" w:color="auto" w:fill="auto"/>
            <w:vAlign w:val="center"/>
          </w:tcPr>
          <w:p w14:paraId="4B98EA0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1200</w:t>
            </w:r>
          </w:p>
        </w:tc>
        <w:tc>
          <w:tcPr>
            <w:tcW w:w="756" w:type="dxa"/>
            <w:tcBorders>
              <w:tl2br w:val="nil"/>
              <w:tr2bl w:val="nil"/>
            </w:tcBorders>
            <w:shd w:val="clear" w:color="auto" w:fill="auto"/>
            <w:vAlign w:val="center"/>
          </w:tcPr>
          <w:p w14:paraId="4229F8FB">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1200</w:t>
            </w:r>
          </w:p>
        </w:tc>
      </w:tr>
      <w:tr w14:paraId="76A71B5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96" w:hRule="atLeast"/>
          <w:jc w:val="center"/>
        </w:trPr>
        <w:tc>
          <w:tcPr>
            <w:tcW w:w="1350" w:type="dxa"/>
            <w:vMerge w:val="continue"/>
            <w:tcBorders>
              <w:tl2br w:val="nil"/>
              <w:tr2bl w:val="nil"/>
            </w:tcBorders>
            <w:shd w:val="clear" w:color="auto" w:fill="auto"/>
            <w:vAlign w:val="top"/>
          </w:tcPr>
          <w:p w14:paraId="6FC31BB4">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72D6DDA4">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33</w:t>
            </w:r>
          </w:p>
        </w:tc>
        <w:tc>
          <w:tcPr>
            <w:tcW w:w="1850" w:type="dxa"/>
            <w:gridSpan w:val="2"/>
            <w:tcBorders>
              <w:tl2br w:val="nil"/>
              <w:tr2bl w:val="nil"/>
            </w:tcBorders>
            <w:shd w:val="clear" w:color="auto" w:fill="auto"/>
            <w:vAlign w:val="center"/>
          </w:tcPr>
          <w:p w14:paraId="3DC4C79E">
            <w:pPr>
              <w:pStyle w:val="8"/>
              <w:suppressLineNumbers w:val="0"/>
              <w:bidi w:val="0"/>
              <w:spacing w:before="0" w:beforeAutospacing="0" w:after="0" w:afterAutospacing="0"/>
              <w:ind w:left="0" w:right="0"/>
              <w:rPr>
                <w:rFonts w:hint="eastAsia"/>
                <w:snapToGrid w:val="0"/>
                <w:highlight w:val="none"/>
                <w:lang w:val="en-US" w:eastAsia="en-US"/>
              </w:rPr>
            </w:pPr>
            <w:r>
              <w:rPr>
                <w:rFonts w:hint="eastAsia"/>
                <w:snapToGrid w:val="0"/>
                <w:highlight w:val="none"/>
                <w:lang w:val="en-US" w:eastAsia="en-US"/>
              </w:rPr>
              <w:t>间二甲苯</w:t>
            </w:r>
            <w:r>
              <w:rPr>
                <w:rFonts w:hint="default"/>
                <w:snapToGrid w:val="0"/>
                <w:highlight w:val="none"/>
                <w:lang w:val="en-US" w:eastAsia="en-US"/>
              </w:rPr>
              <w:t>+</w:t>
            </w:r>
            <w:r>
              <w:rPr>
                <w:rFonts w:hint="eastAsia"/>
                <w:snapToGrid w:val="0"/>
                <w:highlight w:val="none"/>
                <w:lang w:val="en-US" w:eastAsia="en-US"/>
              </w:rPr>
              <w:t>对二</w:t>
            </w:r>
          </w:p>
          <w:p w14:paraId="41DB14CD">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甲苯</w:t>
            </w:r>
          </w:p>
        </w:tc>
        <w:tc>
          <w:tcPr>
            <w:tcW w:w="1267" w:type="dxa"/>
            <w:tcBorders>
              <w:tl2br w:val="nil"/>
              <w:tr2bl w:val="nil"/>
            </w:tcBorders>
            <w:shd w:val="clear" w:color="auto" w:fill="auto"/>
            <w:vAlign w:val="center"/>
          </w:tcPr>
          <w:p w14:paraId="2864815E">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108-38-3</w:t>
            </w:r>
            <w:r>
              <w:rPr>
                <w:rFonts w:hint="eastAsia"/>
                <w:snapToGrid w:val="0"/>
                <w:highlight w:val="none"/>
                <w:lang w:val="en-US" w:eastAsia="en-US"/>
              </w:rPr>
              <w:t>，</w:t>
            </w:r>
            <w:r>
              <w:rPr>
                <w:rFonts w:hint="default"/>
                <w:snapToGrid w:val="0"/>
                <w:highlight w:val="none"/>
                <w:lang w:val="en-US" w:eastAsia="en-US"/>
              </w:rPr>
              <w:t>106-42-3</w:t>
            </w:r>
          </w:p>
        </w:tc>
        <w:tc>
          <w:tcPr>
            <w:tcW w:w="783" w:type="dxa"/>
            <w:gridSpan w:val="2"/>
            <w:tcBorders>
              <w:tl2br w:val="nil"/>
              <w:tr2bl w:val="nil"/>
            </w:tcBorders>
            <w:shd w:val="clear" w:color="auto" w:fill="auto"/>
            <w:vAlign w:val="center"/>
          </w:tcPr>
          <w:p w14:paraId="04010ACE">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163</w:t>
            </w:r>
          </w:p>
        </w:tc>
        <w:tc>
          <w:tcPr>
            <w:tcW w:w="767" w:type="dxa"/>
            <w:gridSpan w:val="2"/>
            <w:tcBorders>
              <w:tl2br w:val="nil"/>
              <w:tr2bl w:val="nil"/>
            </w:tcBorders>
            <w:shd w:val="clear" w:color="auto" w:fill="auto"/>
            <w:vAlign w:val="center"/>
          </w:tcPr>
          <w:p w14:paraId="4F37685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570</w:t>
            </w:r>
          </w:p>
        </w:tc>
        <w:tc>
          <w:tcPr>
            <w:tcW w:w="783" w:type="dxa"/>
            <w:gridSpan w:val="2"/>
            <w:tcBorders>
              <w:tl2br w:val="nil"/>
              <w:tr2bl w:val="nil"/>
            </w:tcBorders>
            <w:shd w:val="clear" w:color="auto" w:fill="auto"/>
            <w:vAlign w:val="center"/>
          </w:tcPr>
          <w:p w14:paraId="39FF24F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500</w:t>
            </w:r>
          </w:p>
        </w:tc>
        <w:tc>
          <w:tcPr>
            <w:tcW w:w="756" w:type="dxa"/>
            <w:tcBorders>
              <w:tl2br w:val="nil"/>
              <w:tr2bl w:val="nil"/>
            </w:tcBorders>
            <w:shd w:val="clear" w:color="auto" w:fill="auto"/>
            <w:vAlign w:val="center"/>
          </w:tcPr>
          <w:p w14:paraId="5587366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570</w:t>
            </w:r>
          </w:p>
        </w:tc>
      </w:tr>
      <w:tr w14:paraId="7CA6396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73EAA01A">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19DDDAE5">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34</w:t>
            </w:r>
          </w:p>
        </w:tc>
        <w:tc>
          <w:tcPr>
            <w:tcW w:w="1850" w:type="dxa"/>
            <w:gridSpan w:val="2"/>
            <w:tcBorders>
              <w:tl2br w:val="nil"/>
              <w:tr2bl w:val="nil"/>
            </w:tcBorders>
            <w:shd w:val="clear" w:color="auto" w:fill="auto"/>
            <w:vAlign w:val="center"/>
          </w:tcPr>
          <w:p w14:paraId="0464D81F">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邻二甲苯</w:t>
            </w:r>
          </w:p>
        </w:tc>
        <w:tc>
          <w:tcPr>
            <w:tcW w:w="1267" w:type="dxa"/>
            <w:tcBorders>
              <w:tl2br w:val="nil"/>
              <w:tr2bl w:val="nil"/>
            </w:tcBorders>
            <w:shd w:val="clear" w:color="auto" w:fill="auto"/>
            <w:vAlign w:val="center"/>
          </w:tcPr>
          <w:p w14:paraId="156350E1">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95-47-6</w:t>
            </w:r>
          </w:p>
        </w:tc>
        <w:tc>
          <w:tcPr>
            <w:tcW w:w="783" w:type="dxa"/>
            <w:gridSpan w:val="2"/>
            <w:tcBorders>
              <w:tl2br w:val="nil"/>
              <w:tr2bl w:val="nil"/>
            </w:tcBorders>
            <w:shd w:val="clear" w:color="auto" w:fill="auto"/>
            <w:vAlign w:val="center"/>
          </w:tcPr>
          <w:p w14:paraId="4D04B6C7">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222</w:t>
            </w:r>
          </w:p>
        </w:tc>
        <w:tc>
          <w:tcPr>
            <w:tcW w:w="767" w:type="dxa"/>
            <w:gridSpan w:val="2"/>
            <w:tcBorders>
              <w:tl2br w:val="nil"/>
              <w:tr2bl w:val="nil"/>
            </w:tcBorders>
            <w:shd w:val="clear" w:color="auto" w:fill="auto"/>
            <w:vAlign w:val="center"/>
          </w:tcPr>
          <w:p w14:paraId="0037CBCA">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640</w:t>
            </w:r>
          </w:p>
        </w:tc>
        <w:tc>
          <w:tcPr>
            <w:tcW w:w="783" w:type="dxa"/>
            <w:gridSpan w:val="2"/>
            <w:tcBorders>
              <w:tl2br w:val="nil"/>
              <w:tr2bl w:val="nil"/>
            </w:tcBorders>
            <w:shd w:val="clear" w:color="auto" w:fill="auto"/>
            <w:vAlign w:val="center"/>
          </w:tcPr>
          <w:p w14:paraId="5FF4924B">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640</w:t>
            </w:r>
          </w:p>
        </w:tc>
        <w:tc>
          <w:tcPr>
            <w:tcW w:w="756" w:type="dxa"/>
            <w:tcBorders>
              <w:tl2br w:val="nil"/>
              <w:tr2bl w:val="nil"/>
            </w:tcBorders>
            <w:shd w:val="clear" w:color="auto" w:fill="auto"/>
            <w:vAlign w:val="center"/>
          </w:tcPr>
          <w:p w14:paraId="5E42FC8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640</w:t>
            </w:r>
          </w:p>
        </w:tc>
      </w:tr>
      <w:tr w14:paraId="2E3BBE3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13" w:hRule="atLeast"/>
          <w:jc w:val="center"/>
        </w:trPr>
        <w:tc>
          <w:tcPr>
            <w:tcW w:w="1350" w:type="dxa"/>
            <w:vMerge w:val="continue"/>
            <w:tcBorders>
              <w:tl2br w:val="nil"/>
              <w:tr2bl w:val="nil"/>
            </w:tcBorders>
            <w:shd w:val="clear" w:color="auto" w:fill="auto"/>
            <w:vAlign w:val="top"/>
          </w:tcPr>
          <w:p w14:paraId="79239293">
            <w:pPr>
              <w:pStyle w:val="8"/>
              <w:suppressLineNumbers w:val="0"/>
              <w:bidi w:val="0"/>
              <w:spacing w:before="0" w:beforeAutospacing="0" w:after="0" w:afterAutospacing="0"/>
              <w:ind w:left="0" w:right="0"/>
              <w:rPr>
                <w:rFonts w:hint="default"/>
                <w:snapToGrid w:val="0"/>
                <w:highlight w:val="none"/>
                <w:lang w:eastAsia="en-US"/>
              </w:rPr>
            </w:pPr>
          </w:p>
        </w:tc>
        <w:tc>
          <w:tcPr>
            <w:tcW w:w="6956" w:type="dxa"/>
            <w:gridSpan w:val="11"/>
            <w:tcBorders>
              <w:tl2br w:val="nil"/>
              <w:tr2bl w:val="nil"/>
            </w:tcBorders>
            <w:shd w:val="clear" w:color="auto" w:fill="auto"/>
            <w:vAlign w:val="center"/>
          </w:tcPr>
          <w:p w14:paraId="36493C02">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半挥发性有机物</w:t>
            </w:r>
          </w:p>
        </w:tc>
      </w:tr>
      <w:tr w14:paraId="081C363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5FF2E3AC">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6B063542">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35</w:t>
            </w:r>
          </w:p>
        </w:tc>
        <w:tc>
          <w:tcPr>
            <w:tcW w:w="1850" w:type="dxa"/>
            <w:gridSpan w:val="2"/>
            <w:tcBorders>
              <w:tl2br w:val="nil"/>
              <w:tr2bl w:val="nil"/>
            </w:tcBorders>
            <w:shd w:val="clear" w:color="auto" w:fill="auto"/>
            <w:vAlign w:val="center"/>
          </w:tcPr>
          <w:p w14:paraId="395DF61D">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硝基苯</w:t>
            </w:r>
          </w:p>
        </w:tc>
        <w:tc>
          <w:tcPr>
            <w:tcW w:w="1267" w:type="dxa"/>
            <w:tcBorders>
              <w:tl2br w:val="nil"/>
              <w:tr2bl w:val="nil"/>
            </w:tcBorders>
            <w:shd w:val="clear" w:color="auto" w:fill="auto"/>
            <w:vAlign w:val="center"/>
          </w:tcPr>
          <w:p w14:paraId="1AAE211E">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98-95-3</w:t>
            </w:r>
          </w:p>
        </w:tc>
        <w:tc>
          <w:tcPr>
            <w:tcW w:w="783" w:type="dxa"/>
            <w:gridSpan w:val="2"/>
            <w:tcBorders>
              <w:tl2br w:val="nil"/>
              <w:tr2bl w:val="nil"/>
            </w:tcBorders>
            <w:shd w:val="clear" w:color="auto" w:fill="auto"/>
            <w:vAlign w:val="center"/>
          </w:tcPr>
          <w:p w14:paraId="4A85DF6B">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34</w:t>
            </w:r>
          </w:p>
        </w:tc>
        <w:tc>
          <w:tcPr>
            <w:tcW w:w="767" w:type="dxa"/>
            <w:gridSpan w:val="2"/>
            <w:tcBorders>
              <w:tl2br w:val="nil"/>
              <w:tr2bl w:val="nil"/>
            </w:tcBorders>
            <w:shd w:val="clear" w:color="auto" w:fill="auto"/>
            <w:vAlign w:val="center"/>
          </w:tcPr>
          <w:p w14:paraId="3EFDFC0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76</w:t>
            </w:r>
          </w:p>
        </w:tc>
        <w:tc>
          <w:tcPr>
            <w:tcW w:w="783" w:type="dxa"/>
            <w:gridSpan w:val="2"/>
            <w:tcBorders>
              <w:tl2br w:val="nil"/>
              <w:tr2bl w:val="nil"/>
            </w:tcBorders>
            <w:shd w:val="clear" w:color="auto" w:fill="auto"/>
            <w:vAlign w:val="center"/>
          </w:tcPr>
          <w:p w14:paraId="52BDAFB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190</w:t>
            </w:r>
          </w:p>
        </w:tc>
        <w:tc>
          <w:tcPr>
            <w:tcW w:w="756" w:type="dxa"/>
            <w:tcBorders>
              <w:tl2br w:val="nil"/>
              <w:tr2bl w:val="nil"/>
            </w:tcBorders>
            <w:shd w:val="clear" w:color="auto" w:fill="auto"/>
            <w:vAlign w:val="center"/>
          </w:tcPr>
          <w:p w14:paraId="2D3ED04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760</w:t>
            </w:r>
          </w:p>
        </w:tc>
      </w:tr>
      <w:tr w14:paraId="0EE27D6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2BCD77B5">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1BFD0C70">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36</w:t>
            </w:r>
          </w:p>
        </w:tc>
        <w:tc>
          <w:tcPr>
            <w:tcW w:w="1850" w:type="dxa"/>
            <w:gridSpan w:val="2"/>
            <w:tcBorders>
              <w:tl2br w:val="nil"/>
              <w:tr2bl w:val="nil"/>
            </w:tcBorders>
            <w:shd w:val="clear" w:color="auto" w:fill="auto"/>
            <w:vAlign w:val="center"/>
          </w:tcPr>
          <w:p w14:paraId="1258463E">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苯胺</w:t>
            </w:r>
          </w:p>
        </w:tc>
        <w:tc>
          <w:tcPr>
            <w:tcW w:w="1267" w:type="dxa"/>
            <w:tcBorders>
              <w:tl2br w:val="nil"/>
              <w:tr2bl w:val="nil"/>
            </w:tcBorders>
            <w:shd w:val="clear" w:color="auto" w:fill="auto"/>
            <w:vAlign w:val="center"/>
          </w:tcPr>
          <w:p w14:paraId="6B2B030C">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62-53-3</w:t>
            </w:r>
          </w:p>
        </w:tc>
        <w:tc>
          <w:tcPr>
            <w:tcW w:w="783" w:type="dxa"/>
            <w:gridSpan w:val="2"/>
            <w:tcBorders>
              <w:tl2br w:val="nil"/>
              <w:tr2bl w:val="nil"/>
            </w:tcBorders>
            <w:shd w:val="clear" w:color="auto" w:fill="auto"/>
            <w:vAlign w:val="center"/>
          </w:tcPr>
          <w:p w14:paraId="1C49B468">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92</w:t>
            </w:r>
          </w:p>
        </w:tc>
        <w:tc>
          <w:tcPr>
            <w:tcW w:w="767" w:type="dxa"/>
            <w:gridSpan w:val="2"/>
            <w:tcBorders>
              <w:tl2br w:val="nil"/>
              <w:tr2bl w:val="nil"/>
            </w:tcBorders>
            <w:shd w:val="clear" w:color="auto" w:fill="auto"/>
            <w:vAlign w:val="center"/>
          </w:tcPr>
          <w:p w14:paraId="1C1C381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260</w:t>
            </w:r>
          </w:p>
        </w:tc>
        <w:tc>
          <w:tcPr>
            <w:tcW w:w="783" w:type="dxa"/>
            <w:gridSpan w:val="2"/>
            <w:tcBorders>
              <w:tl2br w:val="nil"/>
              <w:tr2bl w:val="nil"/>
            </w:tcBorders>
            <w:shd w:val="clear" w:color="auto" w:fill="auto"/>
            <w:vAlign w:val="center"/>
          </w:tcPr>
          <w:p w14:paraId="44F9835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211</w:t>
            </w:r>
          </w:p>
        </w:tc>
        <w:tc>
          <w:tcPr>
            <w:tcW w:w="756" w:type="dxa"/>
            <w:tcBorders>
              <w:tl2br w:val="nil"/>
              <w:tr2bl w:val="nil"/>
            </w:tcBorders>
            <w:shd w:val="clear" w:color="auto" w:fill="auto"/>
            <w:vAlign w:val="center"/>
          </w:tcPr>
          <w:p w14:paraId="352EDCC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663</w:t>
            </w:r>
          </w:p>
        </w:tc>
      </w:tr>
      <w:tr w14:paraId="7BBE504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176C47A1">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399CDA0A">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37</w:t>
            </w:r>
          </w:p>
        </w:tc>
        <w:tc>
          <w:tcPr>
            <w:tcW w:w="1850" w:type="dxa"/>
            <w:gridSpan w:val="2"/>
            <w:tcBorders>
              <w:tl2br w:val="nil"/>
              <w:tr2bl w:val="nil"/>
            </w:tcBorders>
            <w:shd w:val="clear" w:color="auto" w:fill="auto"/>
            <w:vAlign w:val="center"/>
          </w:tcPr>
          <w:p w14:paraId="25DB8E7F">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w:t>
            </w:r>
            <w:r>
              <w:rPr>
                <w:rFonts w:hint="eastAsia"/>
                <w:snapToGrid w:val="0"/>
                <w:highlight w:val="none"/>
                <w:lang w:val="en-US" w:eastAsia="en-US"/>
              </w:rPr>
              <w:t>氯酚</w:t>
            </w:r>
          </w:p>
        </w:tc>
        <w:tc>
          <w:tcPr>
            <w:tcW w:w="1267" w:type="dxa"/>
            <w:tcBorders>
              <w:tl2br w:val="nil"/>
              <w:tr2bl w:val="nil"/>
            </w:tcBorders>
            <w:shd w:val="clear" w:color="auto" w:fill="auto"/>
            <w:vAlign w:val="center"/>
          </w:tcPr>
          <w:p w14:paraId="68E5E472">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95-57-8</w:t>
            </w:r>
          </w:p>
        </w:tc>
        <w:tc>
          <w:tcPr>
            <w:tcW w:w="783" w:type="dxa"/>
            <w:gridSpan w:val="2"/>
            <w:tcBorders>
              <w:tl2br w:val="nil"/>
              <w:tr2bl w:val="nil"/>
            </w:tcBorders>
            <w:shd w:val="clear" w:color="auto" w:fill="auto"/>
            <w:vAlign w:val="center"/>
          </w:tcPr>
          <w:p w14:paraId="61B06682">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250</w:t>
            </w:r>
          </w:p>
        </w:tc>
        <w:tc>
          <w:tcPr>
            <w:tcW w:w="767" w:type="dxa"/>
            <w:gridSpan w:val="2"/>
            <w:tcBorders>
              <w:tl2br w:val="nil"/>
              <w:tr2bl w:val="nil"/>
            </w:tcBorders>
            <w:shd w:val="clear" w:color="auto" w:fill="auto"/>
            <w:vAlign w:val="center"/>
          </w:tcPr>
          <w:p w14:paraId="083818A0">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2256</w:t>
            </w:r>
          </w:p>
        </w:tc>
        <w:tc>
          <w:tcPr>
            <w:tcW w:w="783" w:type="dxa"/>
            <w:gridSpan w:val="2"/>
            <w:tcBorders>
              <w:tl2br w:val="nil"/>
              <w:tr2bl w:val="nil"/>
            </w:tcBorders>
            <w:shd w:val="clear" w:color="auto" w:fill="auto"/>
            <w:vAlign w:val="center"/>
          </w:tcPr>
          <w:p w14:paraId="421F99A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500</w:t>
            </w:r>
          </w:p>
        </w:tc>
        <w:tc>
          <w:tcPr>
            <w:tcW w:w="756" w:type="dxa"/>
            <w:tcBorders>
              <w:tl2br w:val="nil"/>
              <w:tr2bl w:val="nil"/>
            </w:tcBorders>
            <w:shd w:val="clear" w:color="auto" w:fill="auto"/>
            <w:vAlign w:val="center"/>
          </w:tcPr>
          <w:p w14:paraId="3C3475D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4500</w:t>
            </w:r>
          </w:p>
        </w:tc>
      </w:tr>
      <w:tr w14:paraId="4BE44B2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28B4D233">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2DE12EAC">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38</w:t>
            </w:r>
          </w:p>
        </w:tc>
        <w:tc>
          <w:tcPr>
            <w:tcW w:w="1850" w:type="dxa"/>
            <w:gridSpan w:val="2"/>
            <w:tcBorders>
              <w:tl2br w:val="nil"/>
              <w:tr2bl w:val="nil"/>
            </w:tcBorders>
            <w:shd w:val="clear" w:color="auto" w:fill="auto"/>
            <w:vAlign w:val="center"/>
          </w:tcPr>
          <w:p w14:paraId="2518D677">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苯并</w:t>
            </w:r>
            <w:r>
              <w:rPr>
                <w:rFonts w:hint="default"/>
                <w:snapToGrid w:val="0"/>
                <w:highlight w:val="none"/>
                <w:lang w:val="en-US" w:eastAsia="en-US"/>
              </w:rPr>
              <w:t>[a]</w:t>
            </w:r>
            <w:r>
              <w:rPr>
                <w:rFonts w:hint="eastAsia"/>
                <w:snapToGrid w:val="0"/>
                <w:highlight w:val="none"/>
                <w:lang w:val="en-US" w:eastAsia="en-US"/>
              </w:rPr>
              <w:t>蒽</w:t>
            </w:r>
          </w:p>
        </w:tc>
        <w:tc>
          <w:tcPr>
            <w:tcW w:w="1267" w:type="dxa"/>
            <w:tcBorders>
              <w:tl2br w:val="nil"/>
              <w:tr2bl w:val="nil"/>
            </w:tcBorders>
            <w:shd w:val="clear" w:color="auto" w:fill="auto"/>
            <w:vAlign w:val="center"/>
          </w:tcPr>
          <w:p w14:paraId="548B12D9">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56-55-3</w:t>
            </w:r>
          </w:p>
        </w:tc>
        <w:tc>
          <w:tcPr>
            <w:tcW w:w="783" w:type="dxa"/>
            <w:gridSpan w:val="2"/>
            <w:tcBorders>
              <w:tl2br w:val="nil"/>
              <w:tr2bl w:val="nil"/>
            </w:tcBorders>
            <w:shd w:val="clear" w:color="auto" w:fill="auto"/>
            <w:vAlign w:val="center"/>
          </w:tcPr>
          <w:p w14:paraId="67B63210">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5.5</w:t>
            </w:r>
          </w:p>
        </w:tc>
        <w:tc>
          <w:tcPr>
            <w:tcW w:w="767" w:type="dxa"/>
            <w:gridSpan w:val="2"/>
            <w:tcBorders>
              <w:tl2br w:val="nil"/>
              <w:tr2bl w:val="nil"/>
            </w:tcBorders>
            <w:shd w:val="clear" w:color="auto" w:fill="auto"/>
            <w:vAlign w:val="center"/>
          </w:tcPr>
          <w:p w14:paraId="1B57936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w:t>
            </w:r>
          </w:p>
        </w:tc>
        <w:tc>
          <w:tcPr>
            <w:tcW w:w="783" w:type="dxa"/>
            <w:gridSpan w:val="2"/>
            <w:tcBorders>
              <w:tl2br w:val="nil"/>
              <w:tr2bl w:val="nil"/>
            </w:tcBorders>
            <w:shd w:val="clear" w:color="auto" w:fill="auto"/>
            <w:vAlign w:val="center"/>
          </w:tcPr>
          <w:p w14:paraId="32F9921B">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55</w:t>
            </w:r>
          </w:p>
        </w:tc>
        <w:tc>
          <w:tcPr>
            <w:tcW w:w="756" w:type="dxa"/>
            <w:tcBorders>
              <w:tl2br w:val="nil"/>
              <w:tr2bl w:val="nil"/>
            </w:tcBorders>
            <w:shd w:val="clear" w:color="auto" w:fill="auto"/>
            <w:vAlign w:val="center"/>
          </w:tcPr>
          <w:p w14:paraId="752254D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151</w:t>
            </w:r>
          </w:p>
        </w:tc>
      </w:tr>
      <w:tr w14:paraId="2B6E4CC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26A7C5A2">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522F9FF6">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39</w:t>
            </w:r>
          </w:p>
        </w:tc>
        <w:tc>
          <w:tcPr>
            <w:tcW w:w="1850" w:type="dxa"/>
            <w:gridSpan w:val="2"/>
            <w:tcBorders>
              <w:tl2br w:val="nil"/>
              <w:tr2bl w:val="nil"/>
            </w:tcBorders>
            <w:shd w:val="clear" w:color="auto" w:fill="auto"/>
            <w:vAlign w:val="center"/>
          </w:tcPr>
          <w:p w14:paraId="1C7456DF">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苯并</w:t>
            </w:r>
            <w:r>
              <w:rPr>
                <w:rFonts w:hint="default"/>
                <w:snapToGrid w:val="0"/>
                <w:highlight w:val="none"/>
                <w:lang w:val="en-US" w:eastAsia="en-US"/>
              </w:rPr>
              <w:t>[a]</w:t>
            </w:r>
            <w:r>
              <w:rPr>
                <w:rFonts w:hint="eastAsia"/>
                <w:snapToGrid w:val="0"/>
                <w:highlight w:val="none"/>
                <w:lang w:val="en-US" w:eastAsia="en-US"/>
              </w:rPr>
              <w:t>芘</w:t>
            </w:r>
          </w:p>
        </w:tc>
        <w:tc>
          <w:tcPr>
            <w:tcW w:w="1267" w:type="dxa"/>
            <w:tcBorders>
              <w:tl2br w:val="nil"/>
              <w:tr2bl w:val="nil"/>
            </w:tcBorders>
            <w:shd w:val="clear" w:color="auto" w:fill="auto"/>
            <w:vAlign w:val="center"/>
          </w:tcPr>
          <w:p w14:paraId="5D6AC4C6">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50-32-8</w:t>
            </w:r>
          </w:p>
        </w:tc>
        <w:tc>
          <w:tcPr>
            <w:tcW w:w="783" w:type="dxa"/>
            <w:gridSpan w:val="2"/>
            <w:tcBorders>
              <w:tl2br w:val="nil"/>
              <w:tr2bl w:val="nil"/>
            </w:tcBorders>
            <w:shd w:val="clear" w:color="auto" w:fill="auto"/>
            <w:vAlign w:val="center"/>
          </w:tcPr>
          <w:p w14:paraId="6C70AF93">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0.55</w:t>
            </w:r>
          </w:p>
        </w:tc>
        <w:tc>
          <w:tcPr>
            <w:tcW w:w="767" w:type="dxa"/>
            <w:gridSpan w:val="2"/>
            <w:tcBorders>
              <w:tl2br w:val="nil"/>
              <w:tr2bl w:val="nil"/>
            </w:tcBorders>
            <w:shd w:val="clear" w:color="auto" w:fill="auto"/>
            <w:vAlign w:val="center"/>
          </w:tcPr>
          <w:p w14:paraId="3AF3F9D9">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w:t>
            </w:r>
          </w:p>
        </w:tc>
        <w:tc>
          <w:tcPr>
            <w:tcW w:w="783" w:type="dxa"/>
            <w:gridSpan w:val="2"/>
            <w:tcBorders>
              <w:tl2br w:val="nil"/>
              <w:tr2bl w:val="nil"/>
            </w:tcBorders>
            <w:shd w:val="clear" w:color="auto" w:fill="auto"/>
            <w:vAlign w:val="center"/>
          </w:tcPr>
          <w:p w14:paraId="4CDED50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5.5</w:t>
            </w:r>
          </w:p>
        </w:tc>
        <w:tc>
          <w:tcPr>
            <w:tcW w:w="756" w:type="dxa"/>
            <w:tcBorders>
              <w:tl2br w:val="nil"/>
              <w:tr2bl w:val="nil"/>
            </w:tcBorders>
            <w:shd w:val="clear" w:color="auto" w:fill="auto"/>
            <w:vAlign w:val="center"/>
          </w:tcPr>
          <w:p w14:paraId="1E395C4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w:t>
            </w:r>
          </w:p>
        </w:tc>
      </w:tr>
      <w:tr w14:paraId="68192A3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4" w:hRule="atLeast"/>
          <w:jc w:val="center"/>
        </w:trPr>
        <w:tc>
          <w:tcPr>
            <w:tcW w:w="1350" w:type="dxa"/>
            <w:vMerge w:val="continue"/>
            <w:tcBorders>
              <w:tl2br w:val="nil"/>
              <w:tr2bl w:val="nil"/>
            </w:tcBorders>
            <w:shd w:val="clear" w:color="auto" w:fill="auto"/>
            <w:vAlign w:val="top"/>
          </w:tcPr>
          <w:p w14:paraId="1D4045CC">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5D2EC0EF">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40</w:t>
            </w:r>
          </w:p>
        </w:tc>
        <w:tc>
          <w:tcPr>
            <w:tcW w:w="1850" w:type="dxa"/>
            <w:gridSpan w:val="2"/>
            <w:tcBorders>
              <w:tl2br w:val="nil"/>
              <w:tr2bl w:val="nil"/>
            </w:tcBorders>
            <w:shd w:val="clear" w:color="auto" w:fill="auto"/>
            <w:vAlign w:val="center"/>
          </w:tcPr>
          <w:p w14:paraId="5462EEAE">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苯并</w:t>
            </w:r>
            <w:r>
              <w:rPr>
                <w:rFonts w:hint="default"/>
                <w:snapToGrid w:val="0"/>
                <w:highlight w:val="none"/>
                <w:lang w:val="en-US" w:eastAsia="en-US"/>
              </w:rPr>
              <w:t>[b]</w:t>
            </w:r>
            <w:r>
              <w:rPr>
                <w:rFonts w:hint="eastAsia"/>
                <w:snapToGrid w:val="0"/>
                <w:highlight w:val="none"/>
                <w:lang w:val="en-US" w:eastAsia="en-US"/>
              </w:rPr>
              <w:t>荧蒽</w:t>
            </w:r>
          </w:p>
        </w:tc>
        <w:tc>
          <w:tcPr>
            <w:tcW w:w="1267" w:type="dxa"/>
            <w:tcBorders>
              <w:tl2br w:val="nil"/>
              <w:tr2bl w:val="nil"/>
            </w:tcBorders>
            <w:shd w:val="clear" w:color="auto" w:fill="auto"/>
            <w:vAlign w:val="center"/>
          </w:tcPr>
          <w:p w14:paraId="37BCF3CF">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205-99-2</w:t>
            </w:r>
          </w:p>
        </w:tc>
        <w:tc>
          <w:tcPr>
            <w:tcW w:w="783" w:type="dxa"/>
            <w:gridSpan w:val="2"/>
            <w:tcBorders>
              <w:tl2br w:val="nil"/>
              <w:tr2bl w:val="nil"/>
            </w:tcBorders>
            <w:shd w:val="clear" w:color="auto" w:fill="auto"/>
            <w:vAlign w:val="center"/>
          </w:tcPr>
          <w:p w14:paraId="70ECFA8C">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5.5</w:t>
            </w:r>
          </w:p>
        </w:tc>
        <w:tc>
          <w:tcPr>
            <w:tcW w:w="767" w:type="dxa"/>
            <w:gridSpan w:val="2"/>
            <w:tcBorders>
              <w:tl2br w:val="nil"/>
              <w:tr2bl w:val="nil"/>
            </w:tcBorders>
            <w:shd w:val="clear" w:color="auto" w:fill="auto"/>
            <w:vAlign w:val="center"/>
          </w:tcPr>
          <w:p w14:paraId="1332BDB9">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w:t>
            </w:r>
          </w:p>
        </w:tc>
        <w:tc>
          <w:tcPr>
            <w:tcW w:w="783" w:type="dxa"/>
            <w:gridSpan w:val="2"/>
            <w:tcBorders>
              <w:tl2br w:val="nil"/>
              <w:tr2bl w:val="nil"/>
            </w:tcBorders>
            <w:shd w:val="clear" w:color="auto" w:fill="auto"/>
            <w:vAlign w:val="center"/>
          </w:tcPr>
          <w:p w14:paraId="05C4BCA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55</w:t>
            </w:r>
          </w:p>
        </w:tc>
        <w:tc>
          <w:tcPr>
            <w:tcW w:w="756" w:type="dxa"/>
            <w:tcBorders>
              <w:tl2br w:val="nil"/>
              <w:tr2bl w:val="nil"/>
            </w:tcBorders>
            <w:shd w:val="clear" w:color="auto" w:fill="auto"/>
            <w:vAlign w:val="center"/>
          </w:tcPr>
          <w:p w14:paraId="6A6FE09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151</w:t>
            </w:r>
          </w:p>
        </w:tc>
      </w:tr>
      <w:tr w14:paraId="2A81DA4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2" w:hRule="atLeast"/>
          <w:jc w:val="center"/>
        </w:trPr>
        <w:tc>
          <w:tcPr>
            <w:tcW w:w="1350" w:type="dxa"/>
            <w:vMerge w:val="continue"/>
            <w:tcBorders>
              <w:tl2br w:val="nil"/>
              <w:tr2bl w:val="nil"/>
            </w:tcBorders>
            <w:shd w:val="clear" w:color="auto" w:fill="auto"/>
            <w:vAlign w:val="top"/>
          </w:tcPr>
          <w:p w14:paraId="50492B7D">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1CB294F6">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41</w:t>
            </w:r>
          </w:p>
        </w:tc>
        <w:tc>
          <w:tcPr>
            <w:tcW w:w="1850" w:type="dxa"/>
            <w:gridSpan w:val="2"/>
            <w:tcBorders>
              <w:tl2br w:val="nil"/>
              <w:tr2bl w:val="nil"/>
            </w:tcBorders>
            <w:shd w:val="clear" w:color="auto" w:fill="auto"/>
            <w:vAlign w:val="center"/>
          </w:tcPr>
          <w:p w14:paraId="565BBD18">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苯并</w:t>
            </w:r>
            <w:r>
              <w:rPr>
                <w:rFonts w:hint="default"/>
                <w:snapToGrid w:val="0"/>
                <w:highlight w:val="none"/>
                <w:lang w:val="en-US" w:eastAsia="en-US"/>
              </w:rPr>
              <w:t>[k]</w:t>
            </w:r>
            <w:r>
              <w:rPr>
                <w:rFonts w:hint="eastAsia"/>
                <w:snapToGrid w:val="0"/>
                <w:highlight w:val="none"/>
                <w:lang w:val="en-US" w:eastAsia="en-US"/>
              </w:rPr>
              <w:t>荧蒽</w:t>
            </w:r>
          </w:p>
        </w:tc>
        <w:tc>
          <w:tcPr>
            <w:tcW w:w="1267" w:type="dxa"/>
            <w:tcBorders>
              <w:tl2br w:val="nil"/>
              <w:tr2bl w:val="nil"/>
            </w:tcBorders>
            <w:shd w:val="clear" w:color="auto" w:fill="auto"/>
            <w:vAlign w:val="center"/>
          </w:tcPr>
          <w:p w14:paraId="1AEDA339">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207-08-9</w:t>
            </w:r>
          </w:p>
        </w:tc>
        <w:tc>
          <w:tcPr>
            <w:tcW w:w="783" w:type="dxa"/>
            <w:gridSpan w:val="2"/>
            <w:tcBorders>
              <w:tl2br w:val="nil"/>
              <w:tr2bl w:val="nil"/>
            </w:tcBorders>
            <w:shd w:val="clear" w:color="auto" w:fill="auto"/>
            <w:vAlign w:val="center"/>
          </w:tcPr>
          <w:p w14:paraId="24D5633B">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55</w:t>
            </w:r>
          </w:p>
        </w:tc>
        <w:tc>
          <w:tcPr>
            <w:tcW w:w="767" w:type="dxa"/>
            <w:gridSpan w:val="2"/>
            <w:tcBorders>
              <w:tl2br w:val="nil"/>
              <w:tr2bl w:val="nil"/>
            </w:tcBorders>
            <w:shd w:val="clear" w:color="auto" w:fill="auto"/>
            <w:vAlign w:val="center"/>
          </w:tcPr>
          <w:p w14:paraId="4EEBA1D9">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151</w:t>
            </w:r>
          </w:p>
        </w:tc>
        <w:tc>
          <w:tcPr>
            <w:tcW w:w="783" w:type="dxa"/>
            <w:gridSpan w:val="2"/>
            <w:tcBorders>
              <w:tl2br w:val="nil"/>
              <w:tr2bl w:val="nil"/>
            </w:tcBorders>
            <w:shd w:val="clear" w:color="auto" w:fill="auto"/>
            <w:vAlign w:val="center"/>
          </w:tcPr>
          <w:p w14:paraId="5E0435C6">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550</w:t>
            </w:r>
          </w:p>
        </w:tc>
        <w:tc>
          <w:tcPr>
            <w:tcW w:w="756" w:type="dxa"/>
            <w:tcBorders>
              <w:tl2br w:val="nil"/>
              <w:tr2bl w:val="nil"/>
            </w:tcBorders>
            <w:shd w:val="clear" w:color="auto" w:fill="auto"/>
            <w:vAlign w:val="center"/>
          </w:tcPr>
          <w:p w14:paraId="7938B32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1500</w:t>
            </w:r>
          </w:p>
        </w:tc>
      </w:tr>
      <w:tr w14:paraId="7F3C2FD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3DDDE228">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536F6BB6">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42</w:t>
            </w:r>
          </w:p>
        </w:tc>
        <w:tc>
          <w:tcPr>
            <w:tcW w:w="1850" w:type="dxa"/>
            <w:gridSpan w:val="2"/>
            <w:tcBorders>
              <w:tl2br w:val="nil"/>
              <w:tr2bl w:val="nil"/>
            </w:tcBorders>
            <w:shd w:val="clear" w:color="auto" w:fill="auto"/>
            <w:vAlign w:val="center"/>
          </w:tcPr>
          <w:p w14:paraId="4351F813">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䓛</w:t>
            </w:r>
          </w:p>
        </w:tc>
        <w:tc>
          <w:tcPr>
            <w:tcW w:w="1267" w:type="dxa"/>
            <w:tcBorders>
              <w:tl2br w:val="nil"/>
              <w:tr2bl w:val="nil"/>
            </w:tcBorders>
            <w:shd w:val="clear" w:color="auto" w:fill="auto"/>
            <w:vAlign w:val="center"/>
          </w:tcPr>
          <w:p w14:paraId="7DD9B773">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218-01-9</w:t>
            </w:r>
          </w:p>
        </w:tc>
        <w:tc>
          <w:tcPr>
            <w:tcW w:w="783" w:type="dxa"/>
            <w:gridSpan w:val="2"/>
            <w:tcBorders>
              <w:tl2br w:val="nil"/>
              <w:tr2bl w:val="nil"/>
            </w:tcBorders>
            <w:shd w:val="clear" w:color="auto" w:fill="auto"/>
            <w:vAlign w:val="center"/>
          </w:tcPr>
          <w:p w14:paraId="545BE5F8">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490</w:t>
            </w:r>
          </w:p>
        </w:tc>
        <w:tc>
          <w:tcPr>
            <w:tcW w:w="767" w:type="dxa"/>
            <w:gridSpan w:val="2"/>
            <w:tcBorders>
              <w:tl2br w:val="nil"/>
              <w:tr2bl w:val="nil"/>
            </w:tcBorders>
            <w:shd w:val="clear" w:color="auto" w:fill="auto"/>
            <w:vAlign w:val="center"/>
          </w:tcPr>
          <w:p w14:paraId="721DD44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1293</w:t>
            </w:r>
          </w:p>
        </w:tc>
        <w:tc>
          <w:tcPr>
            <w:tcW w:w="783" w:type="dxa"/>
            <w:gridSpan w:val="2"/>
            <w:tcBorders>
              <w:tl2br w:val="nil"/>
              <w:tr2bl w:val="nil"/>
            </w:tcBorders>
            <w:shd w:val="clear" w:color="auto" w:fill="auto"/>
            <w:vAlign w:val="center"/>
          </w:tcPr>
          <w:p w14:paraId="10C8505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4900</w:t>
            </w:r>
          </w:p>
        </w:tc>
        <w:tc>
          <w:tcPr>
            <w:tcW w:w="756" w:type="dxa"/>
            <w:tcBorders>
              <w:tl2br w:val="nil"/>
              <w:tr2bl w:val="nil"/>
            </w:tcBorders>
            <w:shd w:val="clear" w:color="auto" w:fill="auto"/>
            <w:vAlign w:val="center"/>
          </w:tcPr>
          <w:p w14:paraId="7196039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12900</w:t>
            </w:r>
          </w:p>
        </w:tc>
      </w:tr>
      <w:tr w14:paraId="70A3530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3C4A2AD7">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76663910">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43</w:t>
            </w:r>
          </w:p>
        </w:tc>
        <w:tc>
          <w:tcPr>
            <w:tcW w:w="1850" w:type="dxa"/>
            <w:gridSpan w:val="2"/>
            <w:tcBorders>
              <w:tl2br w:val="nil"/>
              <w:tr2bl w:val="nil"/>
            </w:tcBorders>
            <w:shd w:val="clear" w:color="auto" w:fill="auto"/>
            <w:vAlign w:val="center"/>
          </w:tcPr>
          <w:p w14:paraId="509A58A2">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二苯并</w:t>
            </w:r>
            <w:r>
              <w:rPr>
                <w:rFonts w:hint="default"/>
                <w:snapToGrid w:val="0"/>
                <w:highlight w:val="none"/>
                <w:lang w:val="en-US" w:eastAsia="en-US"/>
              </w:rPr>
              <w:t>[a</w:t>
            </w:r>
            <w:r>
              <w:rPr>
                <w:rFonts w:hint="eastAsia"/>
                <w:snapToGrid w:val="0"/>
                <w:highlight w:val="none"/>
                <w:lang w:val="en-US" w:eastAsia="zh-CN"/>
              </w:rPr>
              <w:t>，</w:t>
            </w:r>
            <w:r>
              <w:rPr>
                <w:rFonts w:hint="default"/>
                <w:snapToGrid w:val="0"/>
                <w:highlight w:val="none"/>
                <w:lang w:val="en-US" w:eastAsia="en-US"/>
              </w:rPr>
              <w:t>h]</w:t>
            </w:r>
            <w:r>
              <w:rPr>
                <w:rFonts w:hint="eastAsia"/>
                <w:snapToGrid w:val="0"/>
                <w:highlight w:val="none"/>
                <w:lang w:val="en-US" w:eastAsia="en-US"/>
              </w:rPr>
              <w:t>蒽</w:t>
            </w:r>
          </w:p>
        </w:tc>
        <w:tc>
          <w:tcPr>
            <w:tcW w:w="1267" w:type="dxa"/>
            <w:tcBorders>
              <w:tl2br w:val="nil"/>
              <w:tr2bl w:val="nil"/>
            </w:tcBorders>
            <w:shd w:val="clear" w:color="auto" w:fill="auto"/>
            <w:vAlign w:val="center"/>
          </w:tcPr>
          <w:p w14:paraId="06C219B2">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53-70-3</w:t>
            </w:r>
          </w:p>
        </w:tc>
        <w:tc>
          <w:tcPr>
            <w:tcW w:w="783" w:type="dxa"/>
            <w:gridSpan w:val="2"/>
            <w:tcBorders>
              <w:tl2br w:val="nil"/>
              <w:tr2bl w:val="nil"/>
            </w:tcBorders>
            <w:shd w:val="clear" w:color="auto" w:fill="auto"/>
            <w:vAlign w:val="center"/>
          </w:tcPr>
          <w:p w14:paraId="538EE405">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0.55</w:t>
            </w:r>
          </w:p>
        </w:tc>
        <w:tc>
          <w:tcPr>
            <w:tcW w:w="767" w:type="dxa"/>
            <w:gridSpan w:val="2"/>
            <w:tcBorders>
              <w:tl2br w:val="nil"/>
              <w:tr2bl w:val="nil"/>
            </w:tcBorders>
            <w:shd w:val="clear" w:color="auto" w:fill="auto"/>
            <w:vAlign w:val="center"/>
          </w:tcPr>
          <w:p w14:paraId="79FDCE3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w:t>
            </w:r>
          </w:p>
        </w:tc>
        <w:tc>
          <w:tcPr>
            <w:tcW w:w="783" w:type="dxa"/>
            <w:gridSpan w:val="2"/>
            <w:tcBorders>
              <w:tl2br w:val="nil"/>
              <w:tr2bl w:val="nil"/>
            </w:tcBorders>
            <w:shd w:val="clear" w:color="auto" w:fill="auto"/>
            <w:vAlign w:val="center"/>
          </w:tcPr>
          <w:p w14:paraId="56302AD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5.5</w:t>
            </w:r>
          </w:p>
        </w:tc>
        <w:tc>
          <w:tcPr>
            <w:tcW w:w="756" w:type="dxa"/>
            <w:tcBorders>
              <w:tl2br w:val="nil"/>
              <w:tr2bl w:val="nil"/>
            </w:tcBorders>
            <w:shd w:val="clear" w:color="auto" w:fill="auto"/>
            <w:vAlign w:val="center"/>
          </w:tcPr>
          <w:p w14:paraId="11C2D3A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w:t>
            </w:r>
          </w:p>
        </w:tc>
      </w:tr>
      <w:tr w14:paraId="3F17FB4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57427F2A">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3E977D8C">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44</w:t>
            </w:r>
          </w:p>
        </w:tc>
        <w:tc>
          <w:tcPr>
            <w:tcW w:w="1850" w:type="dxa"/>
            <w:gridSpan w:val="2"/>
            <w:tcBorders>
              <w:tl2br w:val="nil"/>
              <w:tr2bl w:val="nil"/>
            </w:tcBorders>
            <w:shd w:val="clear" w:color="auto" w:fill="auto"/>
            <w:vAlign w:val="center"/>
          </w:tcPr>
          <w:p w14:paraId="479C244E">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茚并</w:t>
            </w:r>
            <w:r>
              <w:rPr>
                <w:rFonts w:hint="default"/>
                <w:snapToGrid w:val="0"/>
                <w:highlight w:val="none"/>
                <w:lang w:val="en-US" w:eastAsia="en-US"/>
              </w:rPr>
              <w:t>[1</w:t>
            </w:r>
            <w:r>
              <w:rPr>
                <w:rFonts w:hint="eastAsia"/>
                <w:snapToGrid w:val="0"/>
                <w:highlight w:val="none"/>
                <w:lang w:val="en-US" w:eastAsia="zh-CN"/>
              </w:rPr>
              <w:t>，</w:t>
            </w:r>
            <w:r>
              <w:rPr>
                <w:rFonts w:hint="default"/>
                <w:snapToGrid w:val="0"/>
                <w:highlight w:val="none"/>
                <w:lang w:val="en-US" w:eastAsia="en-US"/>
              </w:rPr>
              <w:t>2</w:t>
            </w:r>
            <w:r>
              <w:rPr>
                <w:rFonts w:hint="eastAsia"/>
                <w:snapToGrid w:val="0"/>
                <w:highlight w:val="none"/>
                <w:lang w:val="en-US" w:eastAsia="zh-CN"/>
              </w:rPr>
              <w:t>，</w:t>
            </w:r>
            <w:r>
              <w:rPr>
                <w:rFonts w:hint="default"/>
                <w:snapToGrid w:val="0"/>
                <w:highlight w:val="none"/>
                <w:lang w:val="en-US" w:eastAsia="en-US"/>
              </w:rPr>
              <w:t>3-cd]</w:t>
            </w:r>
            <w:r>
              <w:rPr>
                <w:rFonts w:hint="eastAsia"/>
                <w:snapToGrid w:val="0"/>
                <w:highlight w:val="none"/>
                <w:lang w:val="en-US" w:eastAsia="en-US"/>
              </w:rPr>
              <w:t>芘</w:t>
            </w:r>
          </w:p>
        </w:tc>
        <w:tc>
          <w:tcPr>
            <w:tcW w:w="1267" w:type="dxa"/>
            <w:tcBorders>
              <w:tl2br w:val="nil"/>
              <w:tr2bl w:val="nil"/>
            </w:tcBorders>
            <w:shd w:val="clear" w:color="auto" w:fill="auto"/>
            <w:vAlign w:val="center"/>
          </w:tcPr>
          <w:p w14:paraId="0E65AB21">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193-39-5</w:t>
            </w:r>
          </w:p>
        </w:tc>
        <w:tc>
          <w:tcPr>
            <w:tcW w:w="783" w:type="dxa"/>
            <w:gridSpan w:val="2"/>
            <w:tcBorders>
              <w:tl2br w:val="nil"/>
              <w:tr2bl w:val="nil"/>
            </w:tcBorders>
            <w:shd w:val="clear" w:color="auto" w:fill="auto"/>
            <w:vAlign w:val="center"/>
          </w:tcPr>
          <w:p w14:paraId="4D0CA975">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5.5</w:t>
            </w:r>
          </w:p>
        </w:tc>
        <w:tc>
          <w:tcPr>
            <w:tcW w:w="767" w:type="dxa"/>
            <w:gridSpan w:val="2"/>
            <w:tcBorders>
              <w:tl2br w:val="nil"/>
              <w:tr2bl w:val="nil"/>
            </w:tcBorders>
            <w:shd w:val="clear" w:color="auto" w:fill="auto"/>
            <w:vAlign w:val="center"/>
          </w:tcPr>
          <w:p w14:paraId="62CD55E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w:t>
            </w:r>
          </w:p>
        </w:tc>
        <w:tc>
          <w:tcPr>
            <w:tcW w:w="783" w:type="dxa"/>
            <w:gridSpan w:val="2"/>
            <w:tcBorders>
              <w:tl2br w:val="nil"/>
              <w:tr2bl w:val="nil"/>
            </w:tcBorders>
            <w:shd w:val="clear" w:color="auto" w:fill="auto"/>
            <w:vAlign w:val="center"/>
          </w:tcPr>
          <w:p w14:paraId="50565AC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55</w:t>
            </w:r>
          </w:p>
        </w:tc>
        <w:tc>
          <w:tcPr>
            <w:tcW w:w="756" w:type="dxa"/>
            <w:tcBorders>
              <w:tl2br w:val="nil"/>
              <w:tr2bl w:val="nil"/>
            </w:tcBorders>
            <w:shd w:val="clear" w:color="auto" w:fill="auto"/>
            <w:vAlign w:val="center"/>
          </w:tcPr>
          <w:p w14:paraId="3481D90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151</w:t>
            </w:r>
          </w:p>
        </w:tc>
      </w:tr>
      <w:tr w14:paraId="12898A9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1" w:hRule="atLeast"/>
          <w:jc w:val="center"/>
        </w:trPr>
        <w:tc>
          <w:tcPr>
            <w:tcW w:w="1350" w:type="dxa"/>
            <w:vMerge w:val="continue"/>
            <w:tcBorders>
              <w:tl2br w:val="nil"/>
              <w:tr2bl w:val="nil"/>
            </w:tcBorders>
            <w:shd w:val="clear" w:color="auto" w:fill="auto"/>
            <w:vAlign w:val="top"/>
          </w:tcPr>
          <w:p w14:paraId="7D7BB5DC">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4D07F49D">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45</w:t>
            </w:r>
          </w:p>
        </w:tc>
        <w:tc>
          <w:tcPr>
            <w:tcW w:w="1850" w:type="dxa"/>
            <w:gridSpan w:val="2"/>
            <w:tcBorders>
              <w:tl2br w:val="nil"/>
              <w:tr2bl w:val="nil"/>
            </w:tcBorders>
            <w:shd w:val="clear" w:color="auto" w:fill="auto"/>
            <w:vAlign w:val="center"/>
          </w:tcPr>
          <w:p w14:paraId="254AAEF4">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萘</w:t>
            </w:r>
          </w:p>
        </w:tc>
        <w:tc>
          <w:tcPr>
            <w:tcW w:w="1267" w:type="dxa"/>
            <w:tcBorders>
              <w:tl2br w:val="nil"/>
              <w:tr2bl w:val="nil"/>
            </w:tcBorders>
            <w:shd w:val="clear" w:color="auto" w:fill="auto"/>
            <w:vAlign w:val="center"/>
          </w:tcPr>
          <w:p w14:paraId="3B9306B8">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91-20-3</w:t>
            </w:r>
          </w:p>
        </w:tc>
        <w:tc>
          <w:tcPr>
            <w:tcW w:w="783" w:type="dxa"/>
            <w:gridSpan w:val="2"/>
            <w:tcBorders>
              <w:tl2br w:val="nil"/>
              <w:tr2bl w:val="nil"/>
            </w:tcBorders>
            <w:shd w:val="clear" w:color="auto" w:fill="auto"/>
            <w:vAlign w:val="center"/>
          </w:tcPr>
          <w:p w14:paraId="657F99DD">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25</w:t>
            </w:r>
          </w:p>
        </w:tc>
        <w:tc>
          <w:tcPr>
            <w:tcW w:w="767" w:type="dxa"/>
            <w:gridSpan w:val="2"/>
            <w:tcBorders>
              <w:tl2br w:val="nil"/>
              <w:tr2bl w:val="nil"/>
            </w:tcBorders>
            <w:shd w:val="clear" w:color="auto" w:fill="auto"/>
            <w:vAlign w:val="center"/>
          </w:tcPr>
          <w:p w14:paraId="25911698">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70</w:t>
            </w:r>
          </w:p>
        </w:tc>
        <w:tc>
          <w:tcPr>
            <w:tcW w:w="783" w:type="dxa"/>
            <w:gridSpan w:val="2"/>
            <w:tcBorders>
              <w:tl2br w:val="nil"/>
              <w:tr2bl w:val="nil"/>
            </w:tcBorders>
            <w:shd w:val="clear" w:color="auto" w:fill="auto"/>
            <w:vAlign w:val="center"/>
          </w:tcPr>
          <w:p w14:paraId="5F9B277D">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255</w:t>
            </w:r>
          </w:p>
        </w:tc>
        <w:tc>
          <w:tcPr>
            <w:tcW w:w="756" w:type="dxa"/>
            <w:tcBorders>
              <w:tl2br w:val="nil"/>
              <w:tr2bl w:val="nil"/>
            </w:tcBorders>
            <w:shd w:val="clear" w:color="auto" w:fill="auto"/>
            <w:vAlign w:val="center"/>
          </w:tcPr>
          <w:p w14:paraId="0FBA25AC">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700</w:t>
            </w:r>
          </w:p>
        </w:tc>
      </w:tr>
      <w:tr w14:paraId="0EBDB31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0" w:type="dxa"/>
            <w:bottom w:w="0" w:type="dxa"/>
            <w:right w:w="0" w:type="dxa"/>
          </w:tblCellMar>
        </w:tblPrEx>
        <w:trPr>
          <w:trHeight w:val="313" w:hRule="atLeast"/>
          <w:jc w:val="center"/>
        </w:trPr>
        <w:tc>
          <w:tcPr>
            <w:tcW w:w="1350" w:type="dxa"/>
            <w:vMerge w:val="continue"/>
            <w:tcBorders>
              <w:tl2br w:val="nil"/>
              <w:tr2bl w:val="nil"/>
            </w:tcBorders>
            <w:shd w:val="clear" w:color="auto" w:fill="auto"/>
            <w:vAlign w:val="top"/>
          </w:tcPr>
          <w:p w14:paraId="4D5D4E5A">
            <w:pPr>
              <w:pStyle w:val="8"/>
              <w:suppressLineNumbers w:val="0"/>
              <w:bidi w:val="0"/>
              <w:spacing w:before="0" w:beforeAutospacing="0" w:after="0" w:afterAutospacing="0"/>
              <w:ind w:left="0" w:right="0"/>
              <w:rPr>
                <w:rFonts w:hint="default"/>
                <w:snapToGrid w:val="0"/>
                <w:highlight w:val="none"/>
                <w:lang w:eastAsia="en-US"/>
              </w:rPr>
            </w:pPr>
          </w:p>
        </w:tc>
        <w:tc>
          <w:tcPr>
            <w:tcW w:w="750" w:type="dxa"/>
            <w:tcBorders>
              <w:tl2br w:val="nil"/>
              <w:tr2bl w:val="nil"/>
            </w:tcBorders>
            <w:shd w:val="clear" w:color="auto" w:fill="auto"/>
            <w:vAlign w:val="center"/>
          </w:tcPr>
          <w:p w14:paraId="485D3AFC">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46</w:t>
            </w:r>
          </w:p>
        </w:tc>
        <w:tc>
          <w:tcPr>
            <w:tcW w:w="1850" w:type="dxa"/>
            <w:gridSpan w:val="2"/>
            <w:tcBorders>
              <w:tl2br w:val="nil"/>
              <w:tr2bl w:val="nil"/>
            </w:tcBorders>
            <w:shd w:val="clear" w:color="auto" w:fill="auto"/>
            <w:vAlign w:val="center"/>
          </w:tcPr>
          <w:p w14:paraId="28EE4D60">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石油烃</w:t>
            </w:r>
          </w:p>
        </w:tc>
        <w:tc>
          <w:tcPr>
            <w:tcW w:w="1267" w:type="dxa"/>
            <w:tcBorders>
              <w:tl2br w:val="nil"/>
              <w:tr2bl w:val="nil"/>
            </w:tcBorders>
            <w:shd w:val="clear" w:color="auto" w:fill="auto"/>
            <w:vAlign w:val="center"/>
          </w:tcPr>
          <w:p w14:paraId="6605D370">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w:t>
            </w:r>
          </w:p>
        </w:tc>
        <w:tc>
          <w:tcPr>
            <w:tcW w:w="783" w:type="dxa"/>
            <w:gridSpan w:val="2"/>
            <w:tcBorders>
              <w:tl2br w:val="nil"/>
              <w:tr2bl w:val="nil"/>
            </w:tcBorders>
            <w:shd w:val="clear" w:color="auto" w:fill="auto"/>
            <w:vAlign w:val="center"/>
          </w:tcPr>
          <w:p w14:paraId="484E75FD">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826</w:t>
            </w:r>
          </w:p>
        </w:tc>
        <w:tc>
          <w:tcPr>
            <w:tcW w:w="767" w:type="dxa"/>
            <w:gridSpan w:val="2"/>
            <w:tcBorders>
              <w:tl2br w:val="nil"/>
              <w:tr2bl w:val="nil"/>
            </w:tcBorders>
            <w:shd w:val="clear" w:color="auto" w:fill="auto"/>
            <w:vAlign w:val="center"/>
          </w:tcPr>
          <w:p w14:paraId="7D163A7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4500</w:t>
            </w:r>
          </w:p>
        </w:tc>
        <w:tc>
          <w:tcPr>
            <w:tcW w:w="783" w:type="dxa"/>
            <w:gridSpan w:val="2"/>
            <w:tcBorders>
              <w:tl2br w:val="nil"/>
              <w:tr2bl w:val="nil"/>
            </w:tcBorders>
            <w:shd w:val="clear" w:color="auto" w:fill="auto"/>
            <w:vAlign w:val="center"/>
          </w:tcPr>
          <w:p w14:paraId="4F295D20">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5000</w:t>
            </w:r>
          </w:p>
        </w:tc>
        <w:tc>
          <w:tcPr>
            <w:tcW w:w="756" w:type="dxa"/>
            <w:tcBorders>
              <w:tl2br w:val="nil"/>
              <w:tr2bl w:val="nil"/>
            </w:tcBorders>
            <w:shd w:val="clear" w:color="auto" w:fill="auto"/>
            <w:vAlign w:val="center"/>
          </w:tcPr>
          <w:p w14:paraId="4FA35E99">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en-US" w:bidi="ar-SA"/>
              </w:rPr>
            </w:pPr>
            <w:r>
              <w:rPr>
                <w:rFonts w:hint="default"/>
                <w:snapToGrid w:val="0"/>
                <w:highlight w:val="none"/>
                <w:lang w:val="en-US" w:eastAsia="en-US"/>
              </w:rPr>
              <w:t>9000</w:t>
            </w:r>
          </w:p>
        </w:tc>
      </w:tr>
    </w:tbl>
    <w:p w14:paraId="20046619">
      <w:pPr>
        <w:pStyle w:val="5"/>
        <w:bidi w:val="0"/>
        <w:rPr>
          <w:highlight w:val="none"/>
        </w:rPr>
      </w:pPr>
      <w:bookmarkStart w:id="149" w:name="_Toc12996"/>
      <w:bookmarkStart w:id="150" w:name="_Toc7008"/>
      <w:r>
        <w:rPr>
          <w:highlight w:val="none"/>
        </w:rPr>
        <w:t>2.3.2污染物排放标准</w:t>
      </w:r>
      <w:bookmarkEnd w:id="149"/>
      <w:bookmarkEnd w:id="150"/>
    </w:p>
    <w:p w14:paraId="0FE96A68">
      <w:pPr>
        <w:pStyle w:val="6"/>
        <w:bidi w:val="0"/>
        <w:rPr>
          <w:highlight w:val="none"/>
        </w:rPr>
      </w:pPr>
      <w:r>
        <w:rPr>
          <w:highlight w:val="none"/>
        </w:rPr>
        <w:t>2.3.2.1废气污染物排放标准</w:t>
      </w:r>
    </w:p>
    <w:p w14:paraId="6EFC11B8">
      <w:pPr>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（1）施工期</w:t>
      </w:r>
    </w:p>
    <w:p w14:paraId="5339FF35">
      <w:pPr>
        <w:tabs>
          <w:tab w:val="right" w:leader="dot" w:pos="8505"/>
        </w:tabs>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施工期施工场地扬尘排放执行《大气污染物综合排放标准》（GB16297-1996）表2无组织排放监控浓度限值要求。</w:t>
      </w:r>
    </w:p>
    <w:p w14:paraId="7C343D10">
      <w:pPr>
        <w:pStyle w:val="7"/>
        <w:bidi w:val="0"/>
        <w:rPr>
          <w:highlight w:val="none"/>
        </w:rPr>
      </w:pPr>
      <w:r>
        <w:rPr>
          <w:highlight w:val="none"/>
        </w:rPr>
        <w:t>表2-3-3《大气污染物综合排放标准》（GB16297-1996）表2要求</w:t>
      </w:r>
    </w:p>
    <w:tbl>
      <w:tblPr>
        <w:tblStyle w:val="4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4049"/>
        <w:gridCol w:w="2366"/>
      </w:tblGrid>
      <w:tr w14:paraId="3E101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2125" w:type="dxa"/>
            <w:vMerge w:val="restart"/>
            <w:vAlign w:val="center"/>
          </w:tcPr>
          <w:p w14:paraId="4D844DF8">
            <w:pPr>
              <w:pStyle w:val="8"/>
              <w:suppressLineNumbers w:val="0"/>
              <w:bidi w:val="0"/>
              <w:spacing w:before="0" w:beforeAutospacing="0" w:after="0" w:afterAutospacing="0"/>
              <w:ind w:left="0" w:right="0"/>
              <w:rPr>
                <w:rFonts w:hint="default"/>
                <w:highlight w:val="none"/>
              </w:rPr>
            </w:pPr>
            <w:r>
              <w:rPr>
                <w:rFonts w:hint="default"/>
                <w:highlight w:val="none"/>
              </w:rPr>
              <w:t>污染物</w:t>
            </w:r>
          </w:p>
        </w:tc>
        <w:tc>
          <w:tcPr>
            <w:tcW w:w="6414" w:type="dxa"/>
            <w:gridSpan w:val="2"/>
            <w:vAlign w:val="center"/>
          </w:tcPr>
          <w:p w14:paraId="2B28D49C">
            <w:pPr>
              <w:pStyle w:val="8"/>
              <w:suppressLineNumbers w:val="0"/>
              <w:bidi w:val="0"/>
              <w:spacing w:before="0" w:beforeAutospacing="0" w:after="0" w:afterAutospacing="0"/>
              <w:ind w:left="0" w:right="0"/>
              <w:rPr>
                <w:rFonts w:hint="default"/>
                <w:highlight w:val="none"/>
              </w:rPr>
            </w:pPr>
            <w:r>
              <w:rPr>
                <w:rFonts w:hint="default"/>
                <w:highlight w:val="none"/>
              </w:rPr>
              <w:t>无组织排放监控浓度限值（mg/m3）</w:t>
            </w:r>
          </w:p>
        </w:tc>
      </w:tr>
      <w:tr w14:paraId="44F19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8" w:hRule="atLeast"/>
          <w:jc w:val="center"/>
        </w:trPr>
        <w:tc>
          <w:tcPr>
            <w:tcW w:w="2125" w:type="dxa"/>
            <w:vMerge w:val="continue"/>
            <w:vAlign w:val="center"/>
          </w:tcPr>
          <w:p w14:paraId="2C699850">
            <w:pPr>
              <w:pStyle w:val="8"/>
              <w:suppressLineNumbers w:val="0"/>
              <w:bidi w:val="0"/>
              <w:spacing w:before="0" w:beforeAutospacing="0" w:after="0" w:afterAutospacing="0"/>
              <w:ind w:left="0" w:right="0"/>
              <w:rPr>
                <w:rFonts w:hint="default"/>
                <w:highlight w:val="none"/>
              </w:rPr>
            </w:pPr>
          </w:p>
        </w:tc>
        <w:tc>
          <w:tcPr>
            <w:tcW w:w="4049" w:type="dxa"/>
            <w:vAlign w:val="center"/>
          </w:tcPr>
          <w:p w14:paraId="27E91F28">
            <w:pPr>
              <w:pStyle w:val="8"/>
              <w:suppressLineNumbers w:val="0"/>
              <w:bidi w:val="0"/>
              <w:spacing w:before="0" w:beforeAutospacing="0" w:after="0" w:afterAutospacing="0"/>
              <w:ind w:left="0" w:right="0"/>
              <w:rPr>
                <w:rFonts w:hint="default"/>
                <w:highlight w:val="none"/>
              </w:rPr>
            </w:pPr>
            <w:r>
              <w:rPr>
                <w:rFonts w:hint="default"/>
                <w:highlight w:val="none"/>
              </w:rPr>
              <w:t>监控点</w:t>
            </w:r>
          </w:p>
        </w:tc>
        <w:tc>
          <w:tcPr>
            <w:tcW w:w="2366" w:type="dxa"/>
            <w:vAlign w:val="center"/>
          </w:tcPr>
          <w:p w14:paraId="21067FD7">
            <w:pPr>
              <w:pStyle w:val="8"/>
              <w:suppressLineNumbers w:val="0"/>
              <w:bidi w:val="0"/>
              <w:spacing w:before="0" w:beforeAutospacing="0" w:after="0" w:afterAutospacing="0"/>
              <w:ind w:left="0" w:right="0"/>
              <w:rPr>
                <w:rFonts w:hint="default"/>
                <w:highlight w:val="none"/>
              </w:rPr>
            </w:pPr>
            <w:r>
              <w:rPr>
                <w:rFonts w:hint="default"/>
                <w:highlight w:val="none"/>
              </w:rPr>
              <w:t>浓度</w:t>
            </w:r>
          </w:p>
        </w:tc>
      </w:tr>
      <w:tr w14:paraId="3558B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2125" w:type="dxa"/>
            <w:vAlign w:val="center"/>
          </w:tcPr>
          <w:p w14:paraId="70E6F636">
            <w:pPr>
              <w:pStyle w:val="8"/>
              <w:suppressLineNumbers w:val="0"/>
              <w:bidi w:val="0"/>
              <w:spacing w:before="0" w:beforeAutospacing="0" w:after="0" w:afterAutospacing="0"/>
              <w:ind w:left="0" w:right="0"/>
              <w:rPr>
                <w:rFonts w:hint="default"/>
                <w:highlight w:val="none"/>
              </w:rPr>
            </w:pPr>
            <w:r>
              <w:rPr>
                <w:rFonts w:hint="default"/>
                <w:highlight w:val="none"/>
              </w:rPr>
              <w:t>颗粒物</w:t>
            </w:r>
          </w:p>
        </w:tc>
        <w:tc>
          <w:tcPr>
            <w:tcW w:w="4049" w:type="dxa"/>
            <w:vAlign w:val="center"/>
          </w:tcPr>
          <w:p w14:paraId="64821986">
            <w:pPr>
              <w:pStyle w:val="8"/>
              <w:suppressLineNumbers w:val="0"/>
              <w:bidi w:val="0"/>
              <w:spacing w:before="0" w:beforeAutospacing="0" w:after="0" w:afterAutospacing="0"/>
              <w:ind w:left="0" w:right="0"/>
              <w:rPr>
                <w:rFonts w:hint="default"/>
                <w:highlight w:val="none"/>
              </w:rPr>
            </w:pPr>
            <w:r>
              <w:rPr>
                <w:rFonts w:hint="default"/>
                <w:highlight w:val="none"/>
              </w:rPr>
              <w:t>周围外浓度最高点</w:t>
            </w:r>
          </w:p>
        </w:tc>
        <w:tc>
          <w:tcPr>
            <w:tcW w:w="2366" w:type="dxa"/>
            <w:vAlign w:val="center"/>
          </w:tcPr>
          <w:p w14:paraId="12B806C4">
            <w:pPr>
              <w:pStyle w:val="8"/>
              <w:suppressLineNumbers w:val="0"/>
              <w:bidi w:val="0"/>
              <w:spacing w:before="0" w:beforeAutospacing="0" w:after="0" w:afterAutospacing="0"/>
              <w:ind w:left="0" w:right="0"/>
              <w:rPr>
                <w:rFonts w:hint="default"/>
                <w:highlight w:val="none"/>
              </w:rPr>
            </w:pPr>
            <w:r>
              <w:rPr>
                <w:rFonts w:hint="default"/>
                <w:highlight w:val="none"/>
              </w:rPr>
              <w:t>1.0</w:t>
            </w:r>
          </w:p>
        </w:tc>
      </w:tr>
    </w:tbl>
    <w:p w14:paraId="14BF26CF">
      <w:pPr>
        <w:spacing w:line="360" w:lineRule="auto"/>
        <w:ind w:firstLine="480" w:firstLineChars="200"/>
        <w:rPr>
          <w:rFonts w:eastAsiaTheme="minorEastAsia"/>
          <w:color w:val="000000" w:themeColor="text1"/>
          <w:sz w:val="24"/>
          <w:highlight w:val="none"/>
          <w14:textFill>
            <w14:solidFill>
              <w14:schemeClr w14:val="tx1"/>
            </w14:solidFill>
          </w14:textFill>
        </w:rPr>
      </w:pPr>
      <w:r>
        <w:rPr>
          <w:rFonts w:eastAsiaTheme="minorEastAsia"/>
          <w:color w:val="000000" w:themeColor="text1"/>
          <w:sz w:val="24"/>
          <w:highlight w:val="none"/>
          <w14:textFill>
            <w14:solidFill>
              <w14:schemeClr w14:val="tx1"/>
            </w14:solidFill>
          </w14:textFill>
        </w:rPr>
        <w:t>（2）运营期</w:t>
      </w:r>
    </w:p>
    <w:p w14:paraId="539DDE38">
      <w:pPr>
        <w:spacing w:line="360" w:lineRule="auto"/>
        <w:ind w:firstLine="480" w:firstLineChars="200"/>
        <w:rPr>
          <w:rFonts w:hint="eastAsia" w:hAnsiTheme="minorEastAsia" w:eastAsiaTheme="minorEastAsia"/>
          <w:kern w:val="0"/>
          <w:sz w:val="24"/>
          <w:highlight w:val="none"/>
          <w:lang w:eastAsia="zh-CN"/>
        </w:rPr>
      </w:pPr>
      <w:r>
        <w:rPr>
          <w:rFonts w:hAnsiTheme="minorEastAsia" w:eastAsiaTheme="minorEastAsia"/>
          <w:kern w:val="0"/>
          <w:sz w:val="24"/>
          <w:highlight w:val="none"/>
        </w:rPr>
        <w:t>本项目有组织废气污染物排放非甲烷总烃、颗粒物执行《大气污染物综合排放标准》（</w:t>
      </w:r>
      <w:r>
        <w:rPr>
          <w:rFonts w:eastAsiaTheme="minorEastAsia"/>
          <w:kern w:val="0"/>
          <w:sz w:val="24"/>
          <w:highlight w:val="none"/>
        </w:rPr>
        <w:t>GB16297-1996</w:t>
      </w:r>
      <w:r>
        <w:rPr>
          <w:rFonts w:hAnsiTheme="minorEastAsia" w:eastAsiaTheme="minorEastAsia"/>
          <w:kern w:val="0"/>
          <w:sz w:val="24"/>
          <w:highlight w:val="none"/>
        </w:rPr>
        <w:t>）表</w:t>
      </w:r>
      <w:r>
        <w:rPr>
          <w:rFonts w:eastAsiaTheme="minorEastAsia"/>
          <w:kern w:val="0"/>
          <w:sz w:val="24"/>
          <w:highlight w:val="none"/>
        </w:rPr>
        <w:t>2</w:t>
      </w:r>
      <w:r>
        <w:rPr>
          <w:rFonts w:hAnsiTheme="minorEastAsia" w:eastAsiaTheme="minorEastAsia"/>
          <w:kern w:val="0"/>
          <w:sz w:val="24"/>
          <w:highlight w:val="none"/>
        </w:rPr>
        <w:t>中二级标准；</w:t>
      </w:r>
      <w:r>
        <w:rPr>
          <w:rFonts w:hint="eastAsia" w:hAnsiTheme="minorEastAsia" w:eastAsiaTheme="minorEastAsia"/>
          <w:kern w:val="0"/>
          <w:sz w:val="24"/>
          <w:highlight w:val="none"/>
          <w:lang w:val="en-US" w:eastAsia="zh-CN"/>
        </w:rPr>
        <w:t>有组织臭气浓度执行</w:t>
      </w:r>
      <w:r>
        <w:rPr>
          <w:rFonts w:ascii="Times New Roman" w:hAnsiTheme="minorEastAsia"/>
          <w:highlight w:val="none"/>
        </w:rPr>
        <w:t>《恶臭污染物排放标准》（</w:t>
      </w:r>
      <w:r>
        <w:rPr>
          <w:rFonts w:ascii="Times New Roman" w:hAnsi="Times New Roman"/>
          <w:highlight w:val="none"/>
        </w:rPr>
        <w:t>GB14554-93</w:t>
      </w:r>
      <w:r>
        <w:rPr>
          <w:rFonts w:ascii="Times New Roman" w:hAnsiTheme="minorEastAsia"/>
          <w:highlight w:val="none"/>
        </w:rPr>
        <w:t>）</w:t>
      </w:r>
      <w:r>
        <w:rPr>
          <w:rFonts w:hint="eastAsia" w:hAnsiTheme="minorEastAsia"/>
          <w:highlight w:val="none"/>
          <w:lang w:val="en-US" w:eastAsia="zh-CN"/>
        </w:rPr>
        <w:t>表2</w:t>
      </w:r>
      <w:r>
        <w:rPr>
          <w:rFonts w:hint="eastAsia" w:ascii="Times New Roman" w:hAnsiTheme="minorEastAsia"/>
          <w:highlight w:val="none"/>
        </w:rPr>
        <w:t>中</w:t>
      </w:r>
      <w:r>
        <w:rPr>
          <w:rFonts w:hint="eastAsia" w:hAnsiTheme="minorEastAsia"/>
          <w:highlight w:val="none"/>
          <w:lang w:val="en-US" w:eastAsia="zh-CN"/>
        </w:rPr>
        <w:t>标准</w:t>
      </w:r>
      <w:r>
        <w:rPr>
          <w:rFonts w:hint="eastAsia" w:hAnsiTheme="minorEastAsia"/>
          <w:highlight w:val="none"/>
          <w:lang w:eastAsia="zh-CN"/>
        </w:rPr>
        <w:t>；</w:t>
      </w:r>
      <w:r>
        <w:rPr>
          <w:rFonts w:hAnsiTheme="minorEastAsia" w:eastAsiaTheme="minorEastAsia"/>
          <w:kern w:val="0"/>
          <w:sz w:val="24"/>
          <w:highlight w:val="none"/>
        </w:rPr>
        <w:t>厂界非甲烷总烃执行《大气污染物综合排放标准》（</w:t>
      </w:r>
      <w:r>
        <w:rPr>
          <w:rFonts w:eastAsiaTheme="minorEastAsia"/>
          <w:kern w:val="0"/>
          <w:sz w:val="24"/>
          <w:highlight w:val="none"/>
        </w:rPr>
        <w:t>GB16297-1996</w:t>
      </w:r>
      <w:r>
        <w:rPr>
          <w:rFonts w:hAnsiTheme="minorEastAsia" w:eastAsiaTheme="minorEastAsia"/>
          <w:kern w:val="0"/>
          <w:sz w:val="24"/>
          <w:highlight w:val="none"/>
        </w:rPr>
        <w:t>）表</w:t>
      </w:r>
      <w:r>
        <w:rPr>
          <w:rFonts w:eastAsiaTheme="minorEastAsia"/>
          <w:kern w:val="0"/>
          <w:sz w:val="24"/>
          <w:highlight w:val="none"/>
        </w:rPr>
        <w:t>2</w:t>
      </w:r>
      <w:r>
        <w:rPr>
          <w:rFonts w:hAnsiTheme="minorEastAsia" w:eastAsiaTheme="minorEastAsia"/>
          <w:kern w:val="0"/>
          <w:sz w:val="24"/>
          <w:highlight w:val="none"/>
        </w:rPr>
        <w:t>中无组织排放监控浓度限值要求；</w:t>
      </w:r>
      <w:r>
        <w:rPr>
          <w:rFonts w:hint="eastAsia" w:hAnsiTheme="minorEastAsia" w:eastAsiaTheme="minorEastAsia"/>
          <w:kern w:val="0"/>
          <w:sz w:val="24"/>
          <w:highlight w:val="none"/>
          <w:lang w:val="en-US" w:eastAsia="zh-CN"/>
        </w:rPr>
        <w:t>厂区内</w:t>
      </w:r>
      <w:r>
        <w:rPr>
          <w:rFonts w:hAnsiTheme="minorEastAsia" w:eastAsiaTheme="minorEastAsia"/>
          <w:kern w:val="0"/>
          <w:sz w:val="24"/>
          <w:highlight w:val="none"/>
        </w:rPr>
        <w:t>非甲烷总烃执行《挥发性有机物无组织排放控制标准》（</w:t>
      </w:r>
      <w:r>
        <w:rPr>
          <w:rFonts w:eastAsiaTheme="minorEastAsia"/>
          <w:kern w:val="0"/>
          <w:sz w:val="24"/>
          <w:highlight w:val="none"/>
        </w:rPr>
        <w:t>GB37822-2019</w:t>
      </w:r>
      <w:r>
        <w:rPr>
          <w:rFonts w:hAnsiTheme="minorEastAsia" w:eastAsiaTheme="minorEastAsia"/>
          <w:kern w:val="0"/>
          <w:sz w:val="24"/>
          <w:highlight w:val="none"/>
        </w:rPr>
        <w:t>）中</w:t>
      </w:r>
      <w:r>
        <w:rPr>
          <w:rFonts w:hint="eastAsia" w:ascii="Times New Roman" w:hAnsi="Times New Roman"/>
          <w:kern w:val="24"/>
          <w:highlight w:val="none"/>
        </w:rPr>
        <w:t>表A.1中排放限值标准</w:t>
      </w:r>
      <w:r>
        <w:rPr>
          <w:rFonts w:hAnsiTheme="minorEastAsia" w:eastAsiaTheme="minorEastAsia"/>
          <w:kern w:val="0"/>
          <w:sz w:val="24"/>
          <w:highlight w:val="none"/>
        </w:rPr>
        <w:t>要求。</w:t>
      </w:r>
      <w:r>
        <w:rPr>
          <w:rFonts w:hint="eastAsia" w:ascii="Times New Roman" w:hAnsi="Times New Roman"/>
          <w:kern w:val="24"/>
          <w:highlight w:val="none"/>
        </w:rPr>
        <w:t>厂界臭气浓度执行</w:t>
      </w:r>
      <w:r>
        <w:rPr>
          <w:rFonts w:ascii="Times New Roman" w:hAnsiTheme="minorEastAsia"/>
          <w:highlight w:val="none"/>
        </w:rPr>
        <w:t>《恶臭污染物排放标准》（</w:t>
      </w:r>
      <w:r>
        <w:rPr>
          <w:rFonts w:ascii="Times New Roman" w:hAnsi="Times New Roman"/>
          <w:highlight w:val="none"/>
        </w:rPr>
        <w:t>GB14554-93</w:t>
      </w:r>
      <w:r>
        <w:rPr>
          <w:rFonts w:ascii="Times New Roman" w:hAnsiTheme="minorEastAsia"/>
          <w:highlight w:val="none"/>
        </w:rPr>
        <w:t>）</w:t>
      </w:r>
      <w:r>
        <w:rPr>
          <w:rFonts w:hint="eastAsia" w:ascii="Times New Roman" w:hAnsiTheme="minorEastAsia"/>
          <w:highlight w:val="none"/>
        </w:rPr>
        <w:t>中表1恶臭污染物厂界二级标准</w:t>
      </w:r>
      <w:r>
        <w:rPr>
          <w:rFonts w:hint="eastAsia" w:hAnsiTheme="minorEastAsia" w:eastAsiaTheme="minorEastAsia"/>
          <w:kern w:val="0"/>
          <w:sz w:val="24"/>
          <w:highlight w:val="none"/>
        </w:rPr>
        <w:t>。</w:t>
      </w:r>
    </w:p>
    <w:p w14:paraId="563B7694">
      <w:pPr>
        <w:pStyle w:val="7"/>
        <w:bidi w:val="0"/>
        <w:rPr>
          <w:rFonts w:eastAsiaTheme="minorEastAsia"/>
          <w:b/>
          <w:kern w:val="0"/>
          <w:highlight w:val="none"/>
        </w:rPr>
      </w:pPr>
      <w:r>
        <w:rPr>
          <w:highlight w:val="none"/>
        </w:rPr>
        <w:t>表2-3-</w:t>
      </w:r>
      <w:r>
        <w:rPr>
          <w:rFonts w:hint="eastAsia"/>
          <w:highlight w:val="none"/>
          <w:lang w:val="en-US" w:eastAsia="zh-CN"/>
        </w:rPr>
        <w:t>4</w:t>
      </w:r>
      <w:r>
        <w:rPr>
          <w:highlight w:val="none"/>
        </w:rPr>
        <w:t>大气污染物排放浓度限值单位：mg/m</w:t>
      </w:r>
      <w:r>
        <w:rPr>
          <w:highlight w:val="none"/>
          <w:vertAlign w:val="superscript"/>
        </w:rPr>
        <w:t>3</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56" w:type="dxa"/>
          <w:bottom w:w="0" w:type="dxa"/>
          <w:right w:w="56" w:type="dxa"/>
        </w:tblCellMar>
      </w:tblPr>
      <w:tblGrid>
        <w:gridCol w:w="1332"/>
        <w:gridCol w:w="849"/>
        <w:gridCol w:w="1002"/>
        <w:gridCol w:w="1396"/>
        <w:gridCol w:w="957"/>
        <w:gridCol w:w="2882"/>
      </w:tblGrid>
      <w:tr w14:paraId="173C75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0" w:hRule="atLeast"/>
          <w:jc w:val="center"/>
        </w:trPr>
        <w:tc>
          <w:tcPr>
            <w:tcW w:w="791" w:type="pct"/>
            <w:vAlign w:val="center"/>
          </w:tcPr>
          <w:p w14:paraId="6EEADC17">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污染物</w:t>
            </w:r>
          </w:p>
        </w:tc>
        <w:tc>
          <w:tcPr>
            <w:tcW w:w="504" w:type="pct"/>
            <w:vAlign w:val="center"/>
          </w:tcPr>
          <w:p w14:paraId="0D5D8FEB">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排放源</w:t>
            </w:r>
          </w:p>
        </w:tc>
        <w:tc>
          <w:tcPr>
            <w:tcW w:w="595" w:type="pct"/>
            <w:vAlign w:val="center"/>
          </w:tcPr>
          <w:p w14:paraId="510E37D3">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排放速率</w:t>
            </w:r>
          </w:p>
          <w:p w14:paraId="2CC87E5B">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kg/h</w:t>
            </w:r>
          </w:p>
        </w:tc>
        <w:tc>
          <w:tcPr>
            <w:tcW w:w="829" w:type="pct"/>
            <w:vAlign w:val="center"/>
          </w:tcPr>
          <w:p w14:paraId="4CE8F6FB">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最高允许排放浓度mg/m</w:t>
            </w:r>
            <w:r>
              <w:rPr>
                <w:rFonts w:hint="default"/>
                <w:highlight w:val="none"/>
                <w:vertAlign w:val="superscript"/>
                <w:lang w:val="en-US" w:eastAsia="en-US"/>
              </w:rPr>
              <w:t>3</w:t>
            </w:r>
          </w:p>
        </w:tc>
        <w:tc>
          <w:tcPr>
            <w:tcW w:w="568" w:type="pct"/>
            <w:vAlign w:val="center"/>
          </w:tcPr>
          <w:p w14:paraId="507D7B5A">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排气筒</w:t>
            </w:r>
          </w:p>
          <w:p w14:paraId="2EC1A862">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高度m</w:t>
            </w:r>
          </w:p>
        </w:tc>
        <w:tc>
          <w:tcPr>
            <w:tcW w:w="1711" w:type="pct"/>
            <w:vAlign w:val="center"/>
          </w:tcPr>
          <w:p w14:paraId="0A0D7044">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执行标准</w:t>
            </w:r>
          </w:p>
        </w:tc>
      </w:tr>
      <w:tr w14:paraId="6DCD78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0" w:hRule="atLeast"/>
          <w:jc w:val="center"/>
        </w:trPr>
        <w:tc>
          <w:tcPr>
            <w:tcW w:w="791" w:type="pct"/>
            <w:vAlign w:val="center"/>
          </w:tcPr>
          <w:p w14:paraId="4C7605E1">
            <w:pPr>
              <w:pStyle w:val="8"/>
              <w:suppressLineNumbers w:val="0"/>
              <w:bidi w:val="0"/>
              <w:spacing w:before="0" w:beforeAutospacing="0" w:after="0" w:afterAutospacing="0"/>
              <w:ind w:left="0" w:right="0"/>
              <w:rPr>
                <w:rFonts w:hint="default"/>
                <w:highlight w:val="none"/>
                <w:lang w:val="en-US" w:eastAsia="zh-CN"/>
              </w:rPr>
            </w:pPr>
            <w:r>
              <w:rPr>
                <w:rFonts w:hint="default" w:hAnsiTheme="minorEastAsia" w:eastAsiaTheme="minorEastAsia"/>
                <w:szCs w:val="21"/>
                <w:highlight w:val="none"/>
              </w:rPr>
              <w:t>非甲烷总烃</w:t>
            </w:r>
          </w:p>
        </w:tc>
        <w:tc>
          <w:tcPr>
            <w:tcW w:w="504" w:type="pct"/>
            <w:vMerge w:val="restart"/>
            <w:vAlign w:val="center"/>
          </w:tcPr>
          <w:p w14:paraId="72DF7C81">
            <w:pPr>
              <w:pStyle w:val="8"/>
              <w:suppressLineNumbers w:val="0"/>
              <w:bidi w:val="0"/>
              <w:spacing w:before="0" w:beforeAutospacing="0" w:after="0" w:afterAutospacing="0"/>
              <w:ind w:left="0" w:right="0"/>
              <w:rPr>
                <w:rFonts w:hint="default"/>
                <w:highlight w:val="none"/>
                <w:lang w:val="en-US" w:eastAsia="en-US"/>
              </w:rPr>
            </w:pPr>
            <w:r>
              <w:rPr>
                <w:rFonts w:hint="eastAsia"/>
                <w:highlight w:val="none"/>
                <w:lang w:val="en-US" w:eastAsia="zh-CN"/>
              </w:rPr>
              <w:t>DA001、DA002</w:t>
            </w:r>
            <w:r>
              <w:rPr>
                <w:rFonts w:hint="default"/>
                <w:highlight w:val="none"/>
                <w:lang w:val="en-US" w:eastAsia="en-US"/>
              </w:rPr>
              <w:t>排气筒</w:t>
            </w:r>
          </w:p>
        </w:tc>
        <w:tc>
          <w:tcPr>
            <w:tcW w:w="595" w:type="pct"/>
            <w:vAlign w:val="center"/>
          </w:tcPr>
          <w:p w14:paraId="516FC9F1">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10</w:t>
            </w:r>
          </w:p>
        </w:tc>
        <w:tc>
          <w:tcPr>
            <w:tcW w:w="829" w:type="pct"/>
            <w:vAlign w:val="center"/>
          </w:tcPr>
          <w:p w14:paraId="0D5CBD8D">
            <w:pPr>
              <w:pStyle w:val="8"/>
              <w:suppressLineNumbers w:val="0"/>
              <w:bidi w:val="0"/>
              <w:spacing w:before="0" w:beforeAutospacing="0" w:after="0" w:afterAutospacing="0"/>
              <w:ind w:left="0" w:leftChars="0" w:right="0" w:rightChars="0" w:firstLine="0" w:firstLineChars="0"/>
              <w:rPr>
                <w:rFonts w:hint="default"/>
                <w:highlight w:val="none"/>
                <w:lang w:val="en-US" w:eastAsia="en-US"/>
              </w:rPr>
            </w:pPr>
            <w:r>
              <w:rPr>
                <w:rFonts w:hint="eastAsia"/>
                <w:highlight w:val="none"/>
                <w:lang w:val="en-US" w:eastAsia="zh-CN"/>
              </w:rPr>
              <w:t>120</w:t>
            </w:r>
          </w:p>
        </w:tc>
        <w:tc>
          <w:tcPr>
            <w:tcW w:w="568" w:type="pct"/>
            <w:vMerge w:val="restart"/>
            <w:vAlign w:val="center"/>
          </w:tcPr>
          <w:p w14:paraId="5C6B57FB">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15</w:t>
            </w:r>
          </w:p>
        </w:tc>
        <w:tc>
          <w:tcPr>
            <w:tcW w:w="1711" w:type="pct"/>
            <w:vMerge w:val="restart"/>
            <w:vAlign w:val="center"/>
          </w:tcPr>
          <w:p w14:paraId="2A6C3836">
            <w:pPr>
              <w:pStyle w:val="8"/>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en-US"/>
              </w:rPr>
              <w:t>《大气污染物综合排放标准》（GB16297-1996）表2中二级标准</w:t>
            </w:r>
          </w:p>
        </w:tc>
      </w:tr>
      <w:tr w14:paraId="2A4D88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0" w:hRule="atLeast"/>
          <w:jc w:val="center"/>
        </w:trPr>
        <w:tc>
          <w:tcPr>
            <w:tcW w:w="791" w:type="pct"/>
            <w:vAlign w:val="center"/>
          </w:tcPr>
          <w:p w14:paraId="0CEE2268">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颗粒物</w:t>
            </w:r>
          </w:p>
        </w:tc>
        <w:tc>
          <w:tcPr>
            <w:tcW w:w="504" w:type="pct"/>
            <w:vMerge w:val="continue"/>
            <w:vAlign w:val="center"/>
          </w:tcPr>
          <w:p w14:paraId="19CB0246">
            <w:pPr>
              <w:pStyle w:val="8"/>
              <w:suppressLineNumbers w:val="0"/>
              <w:bidi w:val="0"/>
              <w:spacing w:before="0" w:beforeAutospacing="0" w:after="0" w:afterAutospacing="0"/>
              <w:ind w:left="0" w:right="0"/>
              <w:rPr>
                <w:rFonts w:hint="default"/>
                <w:highlight w:val="none"/>
                <w:lang w:val="en-US" w:eastAsia="en-US"/>
              </w:rPr>
            </w:pPr>
          </w:p>
        </w:tc>
        <w:tc>
          <w:tcPr>
            <w:tcW w:w="595" w:type="pct"/>
            <w:vAlign w:val="center"/>
          </w:tcPr>
          <w:p w14:paraId="1B8D5953">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3.5</w:t>
            </w:r>
          </w:p>
        </w:tc>
        <w:tc>
          <w:tcPr>
            <w:tcW w:w="829" w:type="pct"/>
            <w:vAlign w:val="center"/>
          </w:tcPr>
          <w:p w14:paraId="355D8462">
            <w:pPr>
              <w:pStyle w:val="8"/>
              <w:suppressLineNumbers w:val="0"/>
              <w:bidi w:val="0"/>
              <w:spacing w:before="0" w:beforeAutospacing="0" w:after="0" w:afterAutospacing="0"/>
              <w:ind w:left="0" w:right="0"/>
              <w:rPr>
                <w:rFonts w:hint="default"/>
                <w:highlight w:val="none"/>
                <w:lang w:val="en-US" w:eastAsia="en-US"/>
              </w:rPr>
            </w:pPr>
            <w:r>
              <w:rPr>
                <w:rFonts w:hint="eastAsia"/>
                <w:highlight w:val="none"/>
                <w:lang w:val="en-US" w:eastAsia="zh-CN"/>
              </w:rPr>
              <w:t>120</w:t>
            </w:r>
          </w:p>
        </w:tc>
        <w:tc>
          <w:tcPr>
            <w:tcW w:w="568" w:type="pct"/>
            <w:vMerge w:val="continue"/>
            <w:vAlign w:val="center"/>
          </w:tcPr>
          <w:p w14:paraId="4EB4559F">
            <w:pPr>
              <w:pStyle w:val="8"/>
              <w:suppressLineNumbers w:val="0"/>
              <w:bidi w:val="0"/>
              <w:spacing w:before="0" w:beforeAutospacing="0" w:after="0" w:afterAutospacing="0"/>
              <w:ind w:left="0" w:right="0"/>
              <w:rPr>
                <w:rFonts w:hint="default"/>
                <w:highlight w:val="none"/>
                <w:lang w:val="en-US" w:eastAsia="en-US"/>
              </w:rPr>
            </w:pPr>
          </w:p>
        </w:tc>
        <w:tc>
          <w:tcPr>
            <w:tcW w:w="1711" w:type="pct"/>
            <w:vMerge w:val="continue"/>
            <w:vAlign w:val="center"/>
          </w:tcPr>
          <w:p w14:paraId="6117A203">
            <w:pPr>
              <w:pStyle w:val="8"/>
              <w:suppressLineNumbers w:val="0"/>
              <w:bidi w:val="0"/>
              <w:spacing w:before="0" w:beforeAutospacing="0" w:after="0" w:afterAutospacing="0"/>
              <w:ind w:left="0" w:right="0"/>
              <w:rPr>
                <w:rFonts w:hint="default"/>
                <w:highlight w:val="none"/>
                <w:lang w:val="en-US" w:eastAsia="en-US"/>
              </w:rPr>
            </w:pPr>
          </w:p>
        </w:tc>
      </w:tr>
      <w:tr w14:paraId="083292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0" w:hRule="atLeast"/>
          <w:jc w:val="center"/>
        </w:trPr>
        <w:tc>
          <w:tcPr>
            <w:tcW w:w="791" w:type="pct"/>
            <w:vAlign w:val="center"/>
          </w:tcPr>
          <w:p w14:paraId="1D429C6C">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臭气浓度</w:t>
            </w:r>
          </w:p>
        </w:tc>
        <w:tc>
          <w:tcPr>
            <w:tcW w:w="504" w:type="pct"/>
            <w:vMerge w:val="continue"/>
            <w:vAlign w:val="center"/>
          </w:tcPr>
          <w:p w14:paraId="44467D1E">
            <w:pPr>
              <w:pStyle w:val="8"/>
              <w:suppressLineNumbers w:val="0"/>
              <w:bidi w:val="0"/>
              <w:spacing w:before="0" w:beforeAutospacing="0" w:after="0" w:afterAutospacing="0"/>
              <w:ind w:left="0" w:right="0"/>
              <w:rPr>
                <w:rFonts w:hint="default"/>
                <w:highlight w:val="none"/>
                <w:lang w:val="en-US" w:eastAsia="en-US"/>
              </w:rPr>
            </w:pPr>
          </w:p>
        </w:tc>
        <w:tc>
          <w:tcPr>
            <w:tcW w:w="1424" w:type="pct"/>
            <w:gridSpan w:val="2"/>
            <w:vAlign w:val="center"/>
          </w:tcPr>
          <w:p w14:paraId="4ED5051E">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2000（无量纲）</w:t>
            </w:r>
          </w:p>
        </w:tc>
        <w:tc>
          <w:tcPr>
            <w:tcW w:w="568" w:type="pct"/>
            <w:vMerge w:val="continue"/>
            <w:vAlign w:val="center"/>
          </w:tcPr>
          <w:p w14:paraId="08430FCA">
            <w:pPr>
              <w:pStyle w:val="8"/>
              <w:suppressLineNumbers w:val="0"/>
              <w:bidi w:val="0"/>
              <w:spacing w:before="0" w:beforeAutospacing="0" w:after="0" w:afterAutospacing="0"/>
              <w:ind w:left="0" w:right="0"/>
              <w:rPr>
                <w:rFonts w:hint="default"/>
                <w:highlight w:val="none"/>
                <w:lang w:val="en-US" w:eastAsia="en-US"/>
              </w:rPr>
            </w:pPr>
          </w:p>
        </w:tc>
        <w:tc>
          <w:tcPr>
            <w:tcW w:w="1711" w:type="pct"/>
            <w:vAlign w:val="center"/>
          </w:tcPr>
          <w:p w14:paraId="5395F78E">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《恶臭污染物排放标准》（GB14554-93）表2中标准</w:t>
            </w:r>
          </w:p>
        </w:tc>
      </w:tr>
      <w:tr w14:paraId="6DABE7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0" w:hRule="atLeast"/>
          <w:jc w:val="center"/>
        </w:trPr>
        <w:tc>
          <w:tcPr>
            <w:tcW w:w="791" w:type="pct"/>
            <w:vAlign w:val="center"/>
          </w:tcPr>
          <w:p w14:paraId="7257991D">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臭气浓度</w:t>
            </w:r>
          </w:p>
        </w:tc>
        <w:tc>
          <w:tcPr>
            <w:tcW w:w="504" w:type="pct"/>
            <w:vMerge w:val="restart"/>
            <w:vAlign w:val="center"/>
          </w:tcPr>
          <w:p w14:paraId="65007139">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厂界无组织</w:t>
            </w:r>
          </w:p>
        </w:tc>
        <w:tc>
          <w:tcPr>
            <w:tcW w:w="1992" w:type="pct"/>
            <w:gridSpan w:val="3"/>
            <w:vAlign w:val="center"/>
          </w:tcPr>
          <w:p w14:paraId="118F5133">
            <w:pPr>
              <w:pStyle w:val="8"/>
              <w:suppressLineNumbers w:val="0"/>
              <w:bidi w:val="0"/>
              <w:spacing w:before="0" w:beforeAutospacing="0" w:after="0" w:afterAutospacing="0"/>
              <w:ind w:left="0" w:right="0"/>
              <w:rPr>
                <w:rFonts w:hint="default"/>
                <w:highlight w:val="none"/>
                <w:lang w:val="en-US" w:eastAsia="en-US"/>
              </w:rPr>
            </w:pPr>
            <w:r>
              <w:rPr>
                <w:rFonts w:hint="default" w:hAnsiTheme="minorEastAsia" w:eastAsiaTheme="minorEastAsia"/>
                <w:szCs w:val="21"/>
                <w:highlight w:val="none"/>
              </w:rPr>
              <w:t>厂界标准值：</w:t>
            </w:r>
            <w:r>
              <w:rPr>
                <w:rFonts w:hint="eastAsia" w:hAnsiTheme="minorEastAsia" w:eastAsiaTheme="minorEastAsia"/>
                <w:szCs w:val="21"/>
                <w:highlight w:val="none"/>
              </w:rPr>
              <w:t>20无量纲</w:t>
            </w:r>
          </w:p>
        </w:tc>
        <w:tc>
          <w:tcPr>
            <w:tcW w:w="1711" w:type="pct"/>
            <w:vAlign w:val="center"/>
          </w:tcPr>
          <w:p w14:paraId="6B57B953">
            <w:pPr>
              <w:pStyle w:val="8"/>
              <w:suppressLineNumbers w:val="0"/>
              <w:bidi w:val="0"/>
              <w:spacing w:before="0" w:beforeAutospacing="0" w:after="0" w:afterAutospacing="0"/>
              <w:ind w:left="0" w:right="0"/>
              <w:rPr>
                <w:rFonts w:hint="default"/>
                <w:highlight w:val="none"/>
                <w:lang w:val="en-US" w:eastAsia="en-US"/>
              </w:rPr>
            </w:pPr>
            <w:r>
              <w:rPr>
                <w:rFonts w:hint="eastAsia"/>
                <w:highlight w:val="none"/>
                <w:lang w:val="en-US" w:eastAsia="zh-CN"/>
              </w:rPr>
              <w:t>《恶臭污染物排放标准》（GB14554-93）表1中标准</w:t>
            </w:r>
          </w:p>
        </w:tc>
      </w:tr>
      <w:tr w14:paraId="4FC33F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0" w:hRule="atLeast"/>
          <w:jc w:val="center"/>
        </w:trPr>
        <w:tc>
          <w:tcPr>
            <w:tcW w:w="791" w:type="pct"/>
            <w:vAlign w:val="center"/>
          </w:tcPr>
          <w:p w14:paraId="2404AF19">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颗粒物</w:t>
            </w:r>
          </w:p>
        </w:tc>
        <w:tc>
          <w:tcPr>
            <w:tcW w:w="504" w:type="pct"/>
            <w:vMerge w:val="continue"/>
            <w:vAlign w:val="center"/>
          </w:tcPr>
          <w:p w14:paraId="39434539">
            <w:pPr>
              <w:pStyle w:val="8"/>
              <w:suppressLineNumbers w:val="0"/>
              <w:bidi w:val="0"/>
              <w:spacing w:before="0" w:beforeAutospacing="0" w:after="0" w:afterAutospacing="0"/>
              <w:ind w:left="0" w:right="0"/>
              <w:rPr>
                <w:rFonts w:hint="default"/>
                <w:highlight w:val="none"/>
                <w:lang w:val="en-US" w:eastAsia="en-US"/>
              </w:rPr>
            </w:pPr>
          </w:p>
        </w:tc>
        <w:tc>
          <w:tcPr>
            <w:tcW w:w="1992" w:type="pct"/>
            <w:gridSpan w:val="3"/>
            <w:vAlign w:val="center"/>
          </w:tcPr>
          <w:p w14:paraId="352F4AE5">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周界外浓度最高点：</w:t>
            </w:r>
            <w:r>
              <w:rPr>
                <w:rFonts w:hint="eastAsia"/>
                <w:highlight w:val="none"/>
                <w:lang w:val="en-US" w:eastAsia="zh-CN"/>
              </w:rPr>
              <w:t>1</w:t>
            </w:r>
            <w:r>
              <w:rPr>
                <w:rFonts w:hint="default"/>
                <w:highlight w:val="none"/>
                <w:lang w:val="en-US" w:eastAsia="en-US"/>
              </w:rPr>
              <w:t>.0mg/m</w:t>
            </w:r>
            <w:r>
              <w:rPr>
                <w:rFonts w:hint="default"/>
                <w:highlight w:val="none"/>
                <w:vertAlign w:val="superscript"/>
                <w:lang w:val="en-US" w:eastAsia="en-US"/>
              </w:rPr>
              <w:t>3</w:t>
            </w:r>
          </w:p>
        </w:tc>
        <w:tc>
          <w:tcPr>
            <w:tcW w:w="1711" w:type="pct"/>
            <w:vMerge w:val="restart"/>
            <w:vAlign w:val="center"/>
          </w:tcPr>
          <w:p w14:paraId="348790D5">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《大气污染物综合排放标准》（GB16297-1996）</w:t>
            </w:r>
            <w:r>
              <w:rPr>
                <w:rFonts w:hint="eastAsia"/>
                <w:highlight w:val="none"/>
                <w:lang w:val="en-US" w:eastAsia="zh-CN"/>
              </w:rPr>
              <w:t>表2</w:t>
            </w:r>
            <w:r>
              <w:rPr>
                <w:rFonts w:hint="default"/>
                <w:highlight w:val="none"/>
                <w:lang w:val="en-US" w:eastAsia="en-US"/>
              </w:rPr>
              <w:t>无组织排放监控浓度限值</w:t>
            </w:r>
          </w:p>
        </w:tc>
      </w:tr>
      <w:tr w14:paraId="0851BE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0" w:hRule="atLeast"/>
          <w:jc w:val="center"/>
        </w:trPr>
        <w:tc>
          <w:tcPr>
            <w:tcW w:w="791" w:type="pct"/>
            <w:vAlign w:val="center"/>
          </w:tcPr>
          <w:p w14:paraId="0788D083">
            <w:pPr>
              <w:pStyle w:val="8"/>
              <w:suppressLineNumbers w:val="0"/>
              <w:bidi w:val="0"/>
              <w:spacing w:before="0" w:beforeAutospacing="0" w:after="0" w:afterAutospacing="0"/>
              <w:ind w:left="0" w:right="0"/>
              <w:rPr>
                <w:rFonts w:hint="default"/>
                <w:highlight w:val="none"/>
                <w:lang w:val="en-US" w:eastAsia="en-US"/>
              </w:rPr>
            </w:pPr>
            <w:r>
              <w:rPr>
                <w:rFonts w:hint="default" w:hAnsiTheme="minorEastAsia" w:eastAsiaTheme="minorEastAsia"/>
                <w:szCs w:val="21"/>
                <w:highlight w:val="none"/>
              </w:rPr>
              <w:t>非甲烷总烃</w:t>
            </w:r>
          </w:p>
        </w:tc>
        <w:tc>
          <w:tcPr>
            <w:tcW w:w="504" w:type="pct"/>
            <w:vMerge w:val="continue"/>
            <w:vAlign w:val="center"/>
          </w:tcPr>
          <w:p w14:paraId="4BD0C7F9">
            <w:pPr>
              <w:pStyle w:val="8"/>
              <w:suppressLineNumbers w:val="0"/>
              <w:bidi w:val="0"/>
              <w:spacing w:before="0" w:beforeAutospacing="0" w:after="0" w:afterAutospacing="0"/>
              <w:ind w:left="0" w:right="0"/>
              <w:rPr>
                <w:rFonts w:hint="default"/>
                <w:highlight w:val="none"/>
                <w:lang w:val="en-US" w:eastAsia="en-US"/>
              </w:rPr>
            </w:pPr>
          </w:p>
        </w:tc>
        <w:tc>
          <w:tcPr>
            <w:tcW w:w="1992" w:type="pct"/>
            <w:gridSpan w:val="3"/>
            <w:vAlign w:val="center"/>
          </w:tcPr>
          <w:p w14:paraId="5B21C687">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周界外浓度最高点：4.0mg/m</w:t>
            </w:r>
            <w:r>
              <w:rPr>
                <w:rFonts w:hint="default"/>
                <w:highlight w:val="none"/>
                <w:vertAlign w:val="superscript"/>
                <w:lang w:val="en-US" w:eastAsia="en-US"/>
              </w:rPr>
              <w:t>3</w:t>
            </w:r>
          </w:p>
        </w:tc>
        <w:tc>
          <w:tcPr>
            <w:tcW w:w="1711" w:type="pct"/>
            <w:vMerge w:val="continue"/>
            <w:vAlign w:val="center"/>
          </w:tcPr>
          <w:p w14:paraId="0D756F12">
            <w:pPr>
              <w:pStyle w:val="8"/>
              <w:suppressLineNumbers w:val="0"/>
              <w:bidi w:val="0"/>
              <w:spacing w:before="0" w:beforeAutospacing="0" w:after="0" w:afterAutospacing="0"/>
              <w:ind w:left="0" w:right="0"/>
              <w:rPr>
                <w:rFonts w:hint="default"/>
                <w:highlight w:val="none"/>
                <w:lang w:val="en-US" w:eastAsia="en-US"/>
              </w:rPr>
            </w:pPr>
          </w:p>
        </w:tc>
      </w:tr>
      <w:tr w14:paraId="12AE64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6" w:type="dxa"/>
            <w:bottom w:w="0" w:type="dxa"/>
            <w:right w:w="56" w:type="dxa"/>
          </w:tblCellMar>
        </w:tblPrEx>
        <w:trPr>
          <w:cantSplit/>
          <w:trHeight w:val="0" w:hRule="atLeast"/>
          <w:jc w:val="center"/>
        </w:trPr>
        <w:tc>
          <w:tcPr>
            <w:tcW w:w="791" w:type="pct"/>
            <w:vAlign w:val="center"/>
          </w:tcPr>
          <w:p w14:paraId="543C39B4">
            <w:pPr>
              <w:pStyle w:val="8"/>
              <w:suppressLineNumbers w:val="0"/>
              <w:bidi w:val="0"/>
              <w:spacing w:before="0" w:beforeAutospacing="0" w:after="0" w:afterAutospacing="0"/>
              <w:ind w:left="0" w:right="0"/>
              <w:rPr>
                <w:rFonts w:hint="default"/>
                <w:highlight w:val="none"/>
                <w:lang w:val="en-US" w:eastAsia="en-US"/>
              </w:rPr>
            </w:pPr>
            <w:r>
              <w:rPr>
                <w:rFonts w:hint="default" w:hAnsiTheme="minorEastAsia" w:eastAsiaTheme="minorEastAsia"/>
                <w:szCs w:val="21"/>
                <w:highlight w:val="none"/>
              </w:rPr>
              <w:t>非甲烷总烃</w:t>
            </w:r>
          </w:p>
        </w:tc>
        <w:tc>
          <w:tcPr>
            <w:tcW w:w="504" w:type="pct"/>
            <w:vAlign w:val="center"/>
          </w:tcPr>
          <w:p w14:paraId="65EEBACF">
            <w:pPr>
              <w:pStyle w:val="8"/>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厂区内</w:t>
            </w:r>
          </w:p>
        </w:tc>
        <w:tc>
          <w:tcPr>
            <w:tcW w:w="1992" w:type="pct"/>
            <w:gridSpan w:val="3"/>
            <w:vAlign w:val="center"/>
          </w:tcPr>
          <w:p w14:paraId="385EE848">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zh-CN" w:eastAsia="zh-CN"/>
              </w:rPr>
              <w:t>1h平均浓度＜10mg/m</w:t>
            </w:r>
            <w:r>
              <w:rPr>
                <w:rFonts w:hint="default"/>
                <w:highlight w:val="none"/>
                <w:vertAlign w:val="superscript"/>
                <w:lang w:val="zh-CN" w:eastAsia="zh-CN"/>
              </w:rPr>
              <w:t>3</w:t>
            </w:r>
            <w:r>
              <w:rPr>
                <w:rFonts w:hint="default"/>
                <w:highlight w:val="none"/>
                <w:lang w:val="zh-CN" w:eastAsia="zh-CN"/>
              </w:rPr>
              <w:t>，任意一次浓度值：30mg/m</w:t>
            </w:r>
            <w:r>
              <w:rPr>
                <w:rFonts w:hint="default"/>
                <w:highlight w:val="none"/>
                <w:vertAlign w:val="superscript"/>
                <w:lang w:val="zh-CN" w:eastAsia="zh-CN"/>
              </w:rPr>
              <w:t>3</w:t>
            </w:r>
          </w:p>
        </w:tc>
        <w:tc>
          <w:tcPr>
            <w:tcW w:w="1711" w:type="pct"/>
            <w:vAlign w:val="center"/>
          </w:tcPr>
          <w:p w14:paraId="29449AE7">
            <w:pPr>
              <w:pStyle w:val="8"/>
              <w:suppressLineNumbers w:val="0"/>
              <w:bidi w:val="0"/>
              <w:spacing w:before="0" w:beforeAutospacing="0" w:after="0" w:afterAutospacing="0"/>
              <w:ind w:left="0" w:right="0"/>
              <w:rPr>
                <w:rFonts w:hint="default"/>
                <w:highlight w:val="none"/>
                <w:lang w:val="en-US" w:eastAsia="en-US"/>
              </w:rPr>
            </w:pPr>
            <w:r>
              <w:rPr>
                <w:rFonts w:hint="default"/>
                <w:highlight w:val="none"/>
                <w:lang w:val="en-US" w:eastAsia="en-US"/>
              </w:rPr>
              <w:t>《挥发性有机物无组织排放控制标准》（GB37822-2019）</w:t>
            </w:r>
          </w:p>
        </w:tc>
      </w:tr>
    </w:tbl>
    <w:p w14:paraId="0890905D">
      <w:pPr>
        <w:pStyle w:val="6"/>
        <w:bidi w:val="0"/>
        <w:rPr>
          <w:highlight w:val="none"/>
        </w:rPr>
      </w:pPr>
      <w:r>
        <w:rPr>
          <w:highlight w:val="none"/>
        </w:rPr>
        <w:t>2.3.2.2废水污染物排放标准</w:t>
      </w:r>
    </w:p>
    <w:p w14:paraId="42D9C65A">
      <w:pPr>
        <w:keepNext w:val="0"/>
        <w:keepLines w:val="0"/>
        <w:pageBreakBefore w:val="0"/>
        <w:widowControl w:val="0"/>
        <w:kinsoku/>
        <w:overflowPunct/>
        <w:topLinePunct w:val="0"/>
        <w:bidi w:val="0"/>
        <w:spacing w:line="360" w:lineRule="auto"/>
        <w:ind w:firstLine="480" w:firstLineChars="200"/>
        <w:outlineLvl w:val="9"/>
        <w:rPr>
          <w:rFonts w:eastAsiaTheme="minorEastAsia"/>
          <w:bCs/>
          <w:sz w:val="24"/>
          <w:highlight w:val="none"/>
        </w:rPr>
      </w:pPr>
      <w:r>
        <w:rPr>
          <w:rFonts w:hAnsiTheme="minorEastAsia" w:eastAsiaTheme="minorEastAsia"/>
          <w:kern w:val="0"/>
          <w:sz w:val="24"/>
          <w:highlight w:val="none"/>
        </w:rPr>
        <w:t>项目</w:t>
      </w:r>
      <w:r>
        <w:rPr>
          <w:rFonts w:hint="eastAsia" w:hAnsiTheme="minorEastAsia" w:eastAsiaTheme="minorEastAsia"/>
          <w:kern w:val="0"/>
          <w:sz w:val="24"/>
          <w:highlight w:val="none"/>
          <w:lang w:val="en-US" w:eastAsia="zh-CN"/>
        </w:rPr>
        <w:t>不产生生产废水</w:t>
      </w:r>
      <w:r>
        <w:rPr>
          <w:rFonts w:hAnsiTheme="minorEastAsia" w:eastAsiaTheme="minorEastAsia"/>
          <w:kern w:val="0"/>
          <w:sz w:val="24"/>
          <w:highlight w:val="none"/>
        </w:rPr>
        <w:t>；</w:t>
      </w:r>
      <w:r>
        <w:rPr>
          <w:rFonts w:hint="eastAsia" w:hAnsiTheme="minorEastAsia" w:eastAsiaTheme="minorEastAsia"/>
          <w:kern w:val="0"/>
          <w:sz w:val="24"/>
          <w:highlight w:val="none"/>
          <w:lang w:eastAsia="zh-CN"/>
        </w:rPr>
        <w:t>生活污水依托周边企业防渗旱厕收集后定期清掏外运堆肥</w:t>
      </w:r>
      <w:r>
        <w:rPr>
          <w:rFonts w:hAnsiTheme="minorEastAsia" w:eastAsiaTheme="minorEastAsia"/>
          <w:bCs/>
          <w:sz w:val="24"/>
          <w:highlight w:val="none"/>
        </w:rPr>
        <w:t>。</w:t>
      </w:r>
    </w:p>
    <w:p w14:paraId="74182F2A">
      <w:pPr>
        <w:pStyle w:val="6"/>
        <w:bidi w:val="0"/>
        <w:rPr>
          <w:highlight w:val="none"/>
        </w:rPr>
      </w:pPr>
      <w:r>
        <w:rPr>
          <w:highlight w:val="none"/>
        </w:rPr>
        <w:t>2.3.2.3噪声排放标准</w:t>
      </w:r>
    </w:p>
    <w:p w14:paraId="6618273F">
      <w:pPr>
        <w:keepNext w:val="0"/>
        <w:keepLines w:val="0"/>
        <w:pageBreakBefore w:val="0"/>
        <w:widowControl w:val="0"/>
        <w:kinsoku/>
        <w:overflowPunct/>
        <w:topLinePunct w:val="0"/>
        <w:bidi w:val="0"/>
        <w:spacing w:line="360" w:lineRule="auto"/>
        <w:ind w:firstLine="424" w:firstLineChars="177"/>
        <w:outlineLvl w:val="9"/>
        <w:rPr>
          <w:rFonts w:eastAsiaTheme="minorEastAsia"/>
          <w:b/>
          <w:bCs/>
          <w:sz w:val="24"/>
          <w:highlight w:val="none"/>
        </w:rPr>
      </w:pPr>
      <w:r>
        <w:rPr>
          <w:rFonts w:hAnsiTheme="minorEastAsia" w:eastAsiaTheme="minorEastAsia"/>
          <w:sz w:val="24"/>
          <w:highlight w:val="none"/>
        </w:rPr>
        <w:t>施工期执行《</w:t>
      </w:r>
      <w:r>
        <w:rPr>
          <w:rFonts w:hint="eastAsia" w:hAnsiTheme="minorEastAsia" w:eastAsiaTheme="minorEastAsia"/>
          <w:bCs/>
          <w:sz w:val="24"/>
          <w:highlight w:val="none"/>
        </w:rPr>
        <w:t>建筑施工噪声排放标准</w:t>
      </w:r>
      <w:r>
        <w:rPr>
          <w:rFonts w:hAnsiTheme="minorEastAsia" w:eastAsiaTheme="minorEastAsia"/>
          <w:sz w:val="24"/>
          <w:highlight w:val="none"/>
        </w:rPr>
        <w:t>》（</w:t>
      </w:r>
      <w:r>
        <w:rPr>
          <w:rFonts w:eastAsiaTheme="minorEastAsia"/>
          <w:sz w:val="24"/>
          <w:highlight w:val="none"/>
        </w:rPr>
        <w:t>GB12523-20</w:t>
      </w:r>
      <w:r>
        <w:rPr>
          <w:rFonts w:hint="eastAsia" w:eastAsiaTheme="minorEastAsia"/>
          <w:sz w:val="24"/>
          <w:highlight w:val="none"/>
          <w:lang w:val="en-US" w:eastAsia="zh-CN"/>
        </w:rPr>
        <w:t>25</w:t>
      </w:r>
      <w:r>
        <w:rPr>
          <w:rFonts w:hAnsiTheme="minorEastAsia" w:eastAsiaTheme="minorEastAsia"/>
          <w:sz w:val="24"/>
          <w:highlight w:val="none"/>
        </w:rPr>
        <w:t>）；项目运营期</w:t>
      </w:r>
      <w:r>
        <w:rPr>
          <w:rFonts w:hint="eastAsia" w:hAnsiTheme="minorEastAsia" w:eastAsiaTheme="minorEastAsia"/>
          <w:sz w:val="24"/>
          <w:highlight w:val="none"/>
          <w:lang w:val="en-US" w:eastAsia="zh-CN"/>
        </w:rPr>
        <w:t>厂界</w:t>
      </w:r>
      <w:r>
        <w:rPr>
          <w:rFonts w:hAnsiTheme="minorEastAsia" w:eastAsiaTheme="minorEastAsia"/>
          <w:sz w:val="24"/>
          <w:highlight w:val="none"/>
        </w:rPr>
        <w:t>噪声排放执行《工业企业厂界环境噪声排放标准》（</w:t>
      </w:r>
      <w:r>
        <w:rPr>
          <w:rFonts w:eastAsiaTheme="minorEastAsia"/>
          <w:sz w:val="24"/>
          <w:highlight w:val="none"/>
        </w:rPr>
        <w:t>GB12348-2008</w:t>
      </w:r>
      <w:r>
        <w:rPr>
          <w:rFonts w:hAnsiTheme="minorEastAsia" w:eastAsiaTheme="minorEastAsia"/>
          <w:sz w:val="24"/>
          <w:highlight w:val="none"/>
        </w:rPr>
        <w:t>）表</w:t>
      </w:r>
      <w:r>
        <w:rPr>
          <w:rFonts w:eastAsiaTheme="minorEastAsia"/>
          <w:sz w:val="24"/>
          <w:highlight w:val="none"/>
        </w:rPr>
        <w:t>1</w:t>
      </w:r>
      <w:r>
        <w:rPr>
          <w:rFonts w:hAnsiTheme="minorEastAsia" w:eastAsiaTheme="minorEastAsia"/>
          <w:sz w:val="24"/>
          <w:highlight w:val="none"/>
        </w:rPr>
        <w:t>中的</w:t>
      </w:r>
      <w:r>
        <w:rPr>
          <w:rFonts w:hint="eastAsia" w:eastAsiaTheme="minorEastAsia"/>
          <w:sz w:val="24"/>
          <w:highlight w:val="none"/>
          <w:lang w:val="en-US" w:eastAsia="zh-CN"/>
        </w:rPr>
        <w:t>2</w:t>
      </w:r>
      <w:r>
        <w:rPr>
          <w:rFonts w:hAnsiTheme="minorEastAsia" w:eastAsiaTheme="minorEastAsia"/>
          <w:sz w:val="24"/>
          <w:highlight w:val="none"/>
        </w:rPr>
        <w:t>类声环境功能区标准限值。</w:t>
      </w:r>
    </w:p>
    <w:p w14:paraId="168C1DBE">
      <w:pPr>
        <w:pStyle w:val="8"/>
        <w:bidi w:val="0"/>
        <w:rPr>
          <w:highlight w:val="none"/>
        </w:rPr>
      </w:pPr>
    </w:p>
    <w:p w14:paraId="72A9253E">
      <w:pPr>
        <w:pStyle w:val="7"/>
        <w:bidi w:val="0"/>
        <w:rPr>
          <w:rFonts w:hint="eastAsia"/>
          <w:highlight w:val="none"/>
          <w:lang w:eastAsia="zh-CN"/>
        </w:rPr>
      </w:pPr>
      <w:r>
        <w:rPr>
          <w:highlight w:val="none"/>
        </w:rPr>
        <w:t>表2-3</w:t>
      </w:r>
      <w:r>
        <w:rPr>
          <w:rFonts w:hint="eastAsia"/>
          <w:highlight w:val="none"/>
          <w:lang w:val="en-US" w:eastAsia="zh-CN"/>
        </w:rPr>
        <w:t>-6</w:t>
      </w:r>
      <w:r>
        <w:rPr>
          <w:highlight w:val="none"/>
        </w:rPr>
        <w:t>噪声排放标准单位：dB</w:t>
      </w:r>
      <w:r>
        <w:rPr>
          <w:rFonts w:hint="eastAsia"/>
          <w:highlight w:val="none"/>
          <w:lang w:eastAsia="zh-CN"/>
        </w:rPr>
        <w:t>（</w:t>
      </w:r>
      <w:r>
        <w:rPr>
          <w:highlight w:val="none"/>
        </w:rPr>
        <w:t>A</w:t>
      </w:r>
      <w:r>
        <w:rPr>
          <w:rFonts w:hint="eastAsia"/>
          <w:highlight w:val="none"/>
          <w:lang w:eastAsia="zh-CN"/>
        </w:rPr>
        <w:t>）</w:t>
      </w:r>
    </w:p>
    <w:tbl>
      <w:tblPr>
        <w:tblStyle w:val="44"/>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47"/>
        <w:gridCol w:w="1150"/>
        <w:gridCol w:w="934"/>
        <w:gridCol w:w="1033"/>
        <w:gridCol w:w="4058"/>
      </w:tblGrid>
      <w:tr w14:paraId="7DC3F6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347" w:type="dxa"/>
            <w:vAlign w:val="center"/>
          </w:tcPr>
          <w:p w14:paraId="7C4DF65A">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执行范围</w:t>
            </w:r>
          </w:p>
        </w:tc>
        <w:tc>
          <w:tcPr>
            <w:tcW w:w="1150" w:type="dxa"/>
            <w:vAlign w:val="center"/>
          </w:tcPr>
          <w:p w14:paraId="67076546">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评价时段</w:t>
            </w:r>
          </w:p>
        </w:tc>
        <w:tc>
          <w:tcPr>
            <w:tcW w:w="934" w:type="dxa"/>
            <w:vAlign w:val="center"/>
          </w:tcPr>
          <w:p w14:paraId="25013AE8">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033" w:type="dxa"/>
            <w:vAlign w:val="center"/>
          </w:tcPr>
          <w:p w14:paraId="19F0EF48">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4058" w:type="dxa"/>
          </w:tcPr>
          <w:p w14:paraId="3D03DB86">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r>
      <w:tr w14:paraId="78C042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347" w:type="dxa"/>
            <w:vAlign w:val="center"/>
          </w:tcPr>
          <w:p w14:paraId="31B91E25">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1150" w:type="dxa"/>
            <w:vAlign w:val="center"/>
          </w:tcPr>
          <w:p w14:paraId="2172D849">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934" w:type="dxa"/>
            <w:vAlign w:val="center"/>
          </w:tcPr>
          <w:p w14:paraId="5DF7385E">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033" w:type="dxa"/>
            <w:vAlign w:val="center"/>
          </w:tcPr>
          <w:p w14:paraId="2B0D8873">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4058" w:type="dxa"/>
          </w:tcPr>
          <w:p w14:paraId="3EC806C7">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建筑施工噪声排放标准</w:t>
            </w:r>
            <w:r>
              <w:rPr>
                <w:rFonts w:hint="default" w:ascii="Times New Roman" w:hAnsi="Times New Roman" w:eastAsia="宋体" w:cs="Times New Roman"/>
                <w:color w:val="auto"/>
                <w:sz w:val="21"/>
                <w:szCs w:val="21"/>
                <w:highlight w:val="none"/>
              </w:rPr>
              <w:t>》（GB12523-20</w:t>
            </w:r>
            <w:r>
              <w:rPr>
                <w:rFonts w:hint="eastAsia"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w:t>
            </w:r>
          </w:p>
        </w:tc>
      </w:tr>
      <w:tr w14:paraId="64EE56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1347" w:type="dxa"/>
            <w:vAlign w:val="center"/>
          </w:tcPr>
          <w:p w14:paraId="25BAA35F">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1150" w:type="dxa"/>
            <w:vAlign w:val="center"/>
          </w:tcPr>
          <w:p w14:paraId="5C301A14">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营运期</w:t>
            </w:r>
          </w:p>
        </w:tc>
        <w:tc>
          <w:tcPr>
            <w:tcW w:w="934" w:type="dxa"/>
            <w:vAlign w:val="center"/>
          </w:tcPr>
          <w:p w14:paraId="31D2D1D3">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leftChars="0" w:right="0" w:rightChars="0"/>
              <w:jc w:val="center"/>
              <w:textAlignment w:val="bottom"/>
              <w:outlineLvl w:val="9"/>
              <w:rPr>
                <w:rFonts w:hint="default" w:ascii="Times New Roman" w:hAnsi="Times New Roman" w:eastAsia="宋体" w:cs="Times New Roman"/>
                <w:color w:val="auto"/>
                <w:sz w:val="21"/>
                <w:szCs w:val="21"/>
                <w:highlight w:val="none"/>
                <w:lang w:val="en-US"/>
              </w:rPr>
            </w:pPr>
            <w:r>
              <w:rPr>
                <w:rFonts w:hint="eastAsia" w:ascii="Times New Roman" w:cs="Times New Roman"/>
                <w:color w:val="auto"/>
                <w:sz w:val="21"/>
                <w:szCs w:val="21"/>
                <w:highlight w:val="none"/>
                <w:lang w:val="en-US" w:eastAsia="zh-CN"/>
              </w:rPr>
              <w:t>60</w:t>
            </w:r>
          </w:p>
        </w:tc>
        <w:tc>
          <w:tcPr>
            <w:tcW w:w="1033" w:type="dxa"/>
            <w:vAlign w:val="center"/>
          </w:tcPr>
          <w:p w14:paraId="2AB3772B">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leftChars="0" w:right="0" w:rightChars="0"/>
              <w:jc w:val="center"/>
              <w:textAlignment w:val="bottom"/>
              <w:outlineLvl w:val="9"/>
              <w:rPr>
                <w:rFonts w:hint="default" w:ascii="Times New Roman" w:hAnsi="Times New Roman" w:eastAsia="宋体" w:cs="Times New Roman"/>
                <w:color w:val="auto"/>
                <w:sz w:val="21"/>
                <w:szCs w:val="21"/>
                <w:highlight w:val="none"/>
                <w:lang w:val="en-US"/>
              </w:rPr>
            </w:pPr>
            <w:r>
              <w:rPr>
                <w:rFonts w:hint="eastAsia" w:ascii="Times New Roman" w:cs="Times New Roman"/>
                <w:color w:val="auto"/>
                <w:sz w:val="21"/>
                <w:szCs w:val="21"/>
                <w:highlight w:val="none"/>
                <w:lang w:val="en-US" w:eastAsia="zh-CN"/>
              </w:rPr>
              <w:t>50</w:t>
            </w:r>
          </w:p>
        </w:tc>
        <w:tc>
          <w:tcPr>
            <w:tcW w:w="4058" w:type="dxa"/>
          </w:tcPr>
          <w:p w14:paraId="7E968E95">
            <w:pPr>
              <w:pStyle w:val="184"/>
              <w:keepNext w:val="0"/>
              <w:keepLines w:val="0"/>
              <w:pageBreakBefore w:val="0"/>
              <w:widowControl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w:t>
            </w:r>
          </w:p>
        </w:tc>
      </w:tr>
    </w:tbl>
    <w:p w14:paraId="63B1275C">
      <w:pPr>
        <w:pStyle w:val="6"/>
        <w:bidi w:val="0"/>
        <w:rPr>
          <w:highlight w:val="none"/>
        </w:rPr>
      </w:pPr>
      <w:r>
        <w:rPr>
          <w:highlight w:val="none"/>
        </w:rPr>
        <w:t>2.3.2.4固体废物</w:t>
      </w:r>
    </w:p>
    <w:p w14:paraId="0C26CC80">
      <w:pPr>
        <w:keepNext w:val="0"/>
        <w:keepLines w:val="0"/>
        <w:pageBreakBefore w:val="0"/>
        <w:widowControl w:val="0"/>
        <w:kinsoku/>
        <w:overflowPunct/>
        <w:topLinePunct w:val="0"/>
        <w:bidi w:val="0"/>
        <w:spacing w:line="360" w:lineRule="auto"/>
        <w:ind w:firstLine="480" w:firstLineChars="200"/>
        <w:outlineLvl w:val="9"/>
        <w:rPr>
          <w:rFonts w:eastAsiaTheme="minorEastAsia"/>
          <w:kern w:val="0"/>
          <w:sz w:val="24"/>
          <w:highlight w:val="none"/>
        </w:rPr>
      </w:pPr>
      <w:r>
        <w:rPr>
          <w:rFonts w:hAnsiTheme="minorEastAsia" w:eastAsiaTheme="minorEastAsia"/>
          <w:kern w:val="0"/>
          <w:sz w:val="24"/>
          <w:highlight w:val="none"/>
        </w:rPr>
        <w:t>危险废物贮存执行</w:t>
      </w:r>
      <w:r>
        <w:rPr>
          <w:rFonts w:hAnsiTheme="minorEastAsia" w:eastAsiaTheme="minorEastAsia"/>
          <w:kern w:val="21"/>
          <w:sz w:val="24"/>
          <w:highlight w:val="none"/>
        </w:rPr>
        <w:t>《危险废物贮存污染控制标准》（GB18597-2023）</w:t>
      </w:r>
      <w:r>
        <w:rPr>
          <w:rFonts w:hAnsiTheme="minorEastAsia" w:eastAsiaTheme="minorEastAsia"/>
          <w:kern w:val="0"/>
          <w:sz w:val="24"/>
          <w:highlight w:val="none"/>
        </w:rPr>
        <w:t>。</w:t>
      </w:r>
    </w:p>
    <w:p w14:paraId="7A32F6A6">
      <w:pPr>
        <w:pStyle w:val="4"/>
        <w:bidi w:val="0"/>
        <w:rPr>
          <w:highlight w:val="none"/>
        </w:rPr>
      </w:pPr>
      <w:bookmarkStart w:id="151" w:name="_Toc11531"/>
      <w:bookmarkStart w:id="152" w:name="_Toc31133"/>
      <w:r>
        <w:rPr>
          <w:highlight w:val="none"/>
        </w:rPr>
        <w:t>2.4评价工作等级</w:t>
      </w:r>
      <w:bookmarkEnd w:id="151"/>
      <w:bookmarkEnd w:id="152"/>
    </w:p>
    <w:p w14:paraId="556B84CF">
      <w:pPr>
        <w:pStyle w:val="5"/>
        <w:bidi w:val="0"/>
        <w:rPr>
          <w:highlight w:val="none"/>
        </w:rPr>
      </w:pPr>
      <w:bookmarkStart w:id="153" w:name="_Toc30031"/>
      <w:bookmarkStart w:id="154" w:name="_Toc14697"/>
      <w:bookmarkStart w:id="155" w:name="_Toc88968910"/>
      <w:bookmarkStart w:id="156" w:name="_Toc88969053"/>
      <w:bookmarkStart w:id="157" w:name="_Toc88900493"/>
      <w:bookmarkStart w:id="158" w:name="_Toc89231863"/>
      <w:r>
        <w:rPr>
          <w:highlight w:val="none"/>
        </w:rPr>
        <w:t>2.4.1环境空气评价工作等级</w:t>
      </w:r>
      <w:bookmarkEnd w:id="153"/>
      <w:bookmarkEnd w:id="154"/>
    </w:p>
    <w:bookmarkEnd w:id="155"/>
    <w:bookmarkEnd w:id="156"/>
    <w:bookmarkEnd w:id="157"/>
    <w:bookmarkEnd w:id="158"/>
    <w:p w14:paraId="3C48B880">
      <w:pPr>
        <w:bidi w:val="0"/>
        <w:rPr>
          <w:rFonts w:eastAsiaTheme="minorEastAsia"/>
          <w:sz w:val="24"/>
          <w:highlight w:val="none"/>
        </w:rPr>
      </w:pPr>
      <w:r>
        <w:rPr>
          <w:rFonts w:hAnsiTheme="minorEastAsia" w:eastAsiaTheme="minorEastAsia"/>
          <w:sz w:val="24"/>
          <w:highlight w:val="none"/>
        </w:rPr>
        <w:t>依据《环境影响评价技术导则</w:t>
      </w:r>
      <w:r>
        <w:rPr>
          <w:rFonts w:eastAsiaTheme="minorEastAsia"/>
          <w:sz w:val="24"/>
          <w:highlight w:val="none"/>
        </w:rPr>
        <w:t>-</w:t>
      </w:r>
      <w:r>
        <w:rPr>
          <w:rFonts w:hAnsiTheme="minorEastAsia" w:eastAsiaTheme="minorEastAsia"/>
          <w:sz w:val="24"/>
          <w:highlight w:val="none"/>
        </w:rPr>
        <w:t>大气环境》</w:t>
      </w:r>
      <w:r>
        <w:rPr>
          <w:rFonts w:hint="eastAsia" w:eastAsiaTheme="minorEastAsia"/>
          <w:sz w:val="24"/>
          <w:highlight w:val="none"/>
          <w:lang w:eastAsia="zh-CN"/>
        </w:rPr>
        <w:t>（</w:t>
      </w:r>
      <w:r>
        <w:rPr>
          <w:rFonts w:eastAsiaTheme="minorEastAsia"/>
          <w:sz w:val="24"/>
          <w:highlight w:val="none"/>
        </w:rPr>
        <w:t>HJ2.2-2018</w:t>
      </w:r>
      <w:r>
        <w:rPr>
          <w:rFonts w:hint="eastAsia" w:eastAsiaTheme="minorEastAsia"/>
          <w:sz w:val="24"/>
          <w:highlight w:val="none"/>
          <w:lang w:eastAsia="zh-CN"/>
        </w:rPr>
        <w:t>）</w:t>
      </w:r>
      <w:r>
        <w:rPr>
          <w:rFonts w:hAnsiTheme="minorEastAsia" w:eastAsiaTheme="minorEastAsia"/>
          <w:sz w:val="24"/>
          <w:highlight w:val="none"/>
        </w:rPr>
        <w:t>中</w:t>
      </w:r>
      <w:r>
        <w:rPr>
          <w:rFonts w:eastAsiaTheme="minorEastAsia"/>
          <w:sz w:val="24"/>
          <w:highlight w:val="none"/>
        </w:rPr>
        <w:t>5.3</w:t>
      </w:r>
      <w:r>
        <w:rPr>
          <w:rFonts w:hAnsiTheme="minorEastAsia" w:eastAsiaTheme="minorEastAsia"/>
          <w:sz w:val="24"/>
          <w:highlight w:val="none"/>
        </w:rPr>
        <w:t>节工作等级的确定方法，结合项目工程分析结果，选择正常排放的主要污染物及排放参数，采用附录</w:t>
      </w:r>
      <w:r>
        <w:rPr>
          <w:rFonts w:eastAsiaTheme="minorEastAsia"/>
          <w:sz w:val="24"/>
          <w:highlight w:val="none"/>
        </w:rPr>
        <w:t>A</w:t>
      </w:r>
      <w:r>
        <w:rPr>
          <w:rFonts w:hAnsiTheme="minorEastAsia" w:eastAsiaTheme="minorEastAsia"/>
          <w:sz w:val="24"/>
          <w:highlight w:val="none"/>
        </w:rPr>
        <w:t>推荐模型中的</w:t>
      </w:r>
      <w:r>
        <w:rPr>
          <w:rFonts w:eastAsiaTheme="minorEastAsia"/>
          <w:sz w:val="24"/>
          <w:highlight w:val="none"/>
        </w:rPr>
        <w:t>AERSCREEN</w:t>
      </w:r>
      <w:r>
        <w:rPr>
          <w:rFonts w:hAnsiTheme="minorEastAsia" w:eastAsiaTheme="minorEastAsia"/>
          <w:sz w:val="24"/>
          <w:highlight w:val="none"/>
        </w:rPr>
        <w:t>模式计算项目污染源的最大环境影响，然后按评价工作分级判据进行分级。</w:t>
      </w:r>
    </w:p>
    <w:p w14:paraId="4571E500">
      <w:pPr>
        <w:pageBreakBefore w:val="0"/>
        <w:kinsoku/>
        <w:overflowPunct/>
        <w:topLinePunct w:val="0"/>
        <w:bidi w:val="0"/>
        <w:outlineLvl w:val="9"/>
        <w:rPr>
          <w:rFonts w:eastAsiaTheme="minorEastAsia"/>
          <w:b/>
          <w:sz w:val="24"/>
          <w:highlight w:val="none"/>
        </w:rPr>
      </w:pPr>
      <w:bookmarkStart w:id="159" w:name="_Toc8488"/>
      <w:r>
        <w:rPr>
          <w:rFonts w:hint="eastAsia" w:eastAsiaTheme="minorEastAsia"/>
          <w:b/>
          <w:sz w:val="24"/>
          <w:highlight w:val="none"/>
          <w:lang w:eastAsia="zh-CN"/>
        </w:rPr>
        <w:t>（</w:t>
      </w:r>
      <w:r>
        <w:rPr>
          <w:rFonts w:hint="eastAsia" w:eastAsiaTheme="minorEastAsia"/>
          <w:b/>
          <w:sz w:val="24"/>
          <w:highlight w:val="none"/>
          <w:lang w:val="en-US" w:eastAsia="zh-CN"/>
        </w:rPr>
        <w:t>1</w:t>
      </w:r>
      <w:r>
        <w:rPr>
          <w:rFonts w:hint="eastAsia" w:eastAsiaTheme="minorEastAsia"/>
          <w:b/>
          <w:sz w:val="24"/>
          <w:highlight w:val="none"/>
          <w:lang w:eastAsia="zh-CN"/>
        </w:rPr>
        <w:t>）</w:t>
      </w:r>
      <w:r>
        <w:rPr>
          <w:rFonts w:eastAsiaTheme="minorEastAsia"/>
          <w:b/>
          <w:sz w:val="24"/>
          <w:highlight w:val="none"/>
        </w:rPr>
        <w:t>P</w:t>
      </w:r>
      <w:r>
        <w:rPr>
          <w:rFonts w:eastAsiaTheme="minorEastAsia"/>
          <w:b/>
          <w:sz w:val="24"/>
          <w:highlight w:val="none"/>
          <w:vertAlign w:val="subscript"/>
        </w:rPr>
        <w:t>max</w:t>
      </w:r>
      <w:r>
        <w:rPr>
          <w:rFonts w:hAnsiTheme="minorEastAsia" w:eastAsiaTheme="minorEastAsia"/>
          <w:b/>
          <w:sz w:val="24"/>
          <w:highlight w:val="none"/>
        </w:rPr>
        <w:t>及</w:t>
      </w:r>
      <w:r>
        <w:rPr>
          <w:rFonts w:eastAsiaTheme="minorEastAsia"/>
          <w:b/>
          <w:sz w:val="24"/>
          <w:highlight w:val="none"/>
        </w:rPr>
        <w:t>D</w:t>
      </w:r>
      <w:r>
        <w:rPr>
          <w:rFonts w:eastAsiaTheme="minorEastAsia"/>
          <w:b/>
          <w:sz w:val="24"/>
          <w:highlight w:val="none"/>
          <w:vertAlign w:val="subscript"/>
        </w:rPr>
        <w:t>10%</w:t>
      </w:r>
      <w:r>
        <w:rPr>
          <w:rFonts w:hAnsiTheme="minorEastAsia" w:eastAsiaTheme="minorEastAsia"/>
          <w:b/>
          <w:sz w:val="24"/>
          <w:highlight w:val="none"/>
        </w:rPr>
        <w:t>的确定</w:t>
      </w:r>
      <w:bookmarkEnd w:id="159"/>
    </w:p>
    <w:p w14:paraId="603FB755">
      <w:pPr>
        <w:pageBreakBefore w:val="0"/>
        <w:kinsoku/>
        <w:overflowPunct/>
        <w:topLinePunct w:val="0"/>
        <w:bidi w:val="0"/>
        <w:outlineLvl w:val="9"/>
        <w:rPr>
          <w:highlight w:val="none"/>
        </w:rPr>
      </w:pPr>
      <w:r>
        <w:rPr>
          <w:rFonts w:hAnsiTheme="minorEastAsia" w:eastAsiaTheme="minorEastAsia"/>
          <w:highlight w:val="none"/>
        </w:rPr>
        <w:t>依据《环</w:t>
      </w:r>
      <w:r>
        <w:rPr>
          <w:highlight w:val="none"/>
        </w:rPr>
        <w:t>境影响评价技术导则大气环境》</w:t>
      </w:r>
      <w:r>
        <w:rPr>
          <w:rFonts w:hint="eastAsia"/>
          <w:highlight w:val="none"/>
          <w:lang w:eastAsia="zh-CN"/>
        </w:rPr>
        <w:t>（</w:t>
      </w:r>
      <w:r>
        <w:rPr>
          <w:highlight w:val="none"/>
        </w:rPr>
        <w:t>HJ2.2-2018</w:t>
      </w:r>
      <w:r>
        <w:rPr>
          <w:rFonts w:hint="eastAsia"/>
          <w:highlight w:val="none"/>
          <w:lang w:eastAsia="zh-CN"/>
        </w:rPr>
        <w:t>）</w:t>
      </w:r>
      <w:r>
        <w:rPr>
          <w:highlight w:val="none"/>
        </w:rPr>
        <w:t>中最大地面浓度占标率Pi定义如下：</w:t>
      </w:r>
    </w:p>
    <w:p w14:paraId="72759C69">
      <w:pPr>
        <w:pageBreakBefore w:val="0"/>
        <w:kinsoku/>
        <w:overflowPunct/>
        <w:topLinePunct w:val="0"/>
        <w:bidi w:val="0"/>
        <w:outlineLvl w:val="9"/>
        <w:rPr>
          <w:highlight w:val="none"/>
        </w:rPr>
      </w:pPr>
      <m:oMathPara>
        <m:oMath>
          <m:sSub>
            <m:sSubPr>
              <m:ctrlPr>
                <w:rPr>
                  <w:rFonts w:ascii="Cambria Math" w:hAnsi="Cambria Math"/>
                  <w:highlight w:val="none"/>
                </w:rPr>
              </m:ctrlPr>
            </m:sSubPr>
            <m:e>
              <m:r>
                <m:rPr>
                  <m:sty m:val="p"/>
                </m:rPr>
                <w:rPr>
                  <w:rFonts w:ascii="Cambria Math" w:hAnsi="Cambria Math"/>
                  <w:highlight w:val="none"/>
                </w:rPr>
                <m:t>P</m:t>
              </m:r>
              <m:ctrlPr>
                <w:rPr>
                  <w:rFonts w:ascii="Cambria Math" w:hAnsi="Cambria Math"/>
                  <w:highlight w:val="none"/>
                </w:rPr>
              </m:ctrlPr>
            </m:e>
            <m:sub>
              <m:r>
                <m:rPr>
                  <m:sty m:val="p"/>
                </m:rPr>
                <w:rPr>
                  <w:rFonts w:ascii="Cambria Math" w:hAnsi="Cambria Math"/>
                  <w:highlight w:val="none"/>
                </w:rPr>
                <m:t>i</m:t>
              </m:r>
              <m:ctrlPr>
                <w:rPr>
                  <w:rFonts w:ascii="Cambria Math" w:hAnsi="Cambria Math"/>
                  <w:highlight w:val="none"/>
                </w:rPr>
              </m:ctrlPr>
            </m:sub>
          </m:sSub>
          <m:r>
            <m:rPr>
              <m:sty m:val="p"/>
            </m:rPr>
            <w:rPr>
              <w:rFonts w:ascii="Cambria Math" w:hAnsi="Cambria Math"/>
              <w:highlight w:val="none"/>
            </w:rPr>
            <m:t>=</m:t>
          </m:r>
          <m:f>
            <m:fPr>
              <m:ctrlPr>
                <w:rPr>
                  <w:rFonts w:ascii="Cambria Math" w:hAnsi="Cambria Math"/>
                  <w:highlight w:val="none"/>
                </w:rPr>
              </m:ctrlPr>
            </m:fPr>
            <m:num>
              <m:sSub>
                <m:sSubPr>
                  <m:ctrlPr>
                    <w:rPr>
                      <w:rFonts w:ascii="Cambria Math" w:hAnsi="Cambria Math"/>
                      <w:highlight w:val="none"/>
                    </w:rPr>
                  </m:ctrlPr>
                </m:sSubPr>
                <m:e>
                  <m:r>
                    <m:rPr>
                      <m:sty m:val="p"/>
                    </m:rPr>
                    <w:rPr>
                      <w:rFonts w:ascii="Cambria Math" w:hAnsi="Cambria Math"/>
                      <w:highlight w:val="none"/>
                    </w:rPr>
                    <m:t>C</m:t>
                  </m:r>
                  <m:ctrlPr>
                    <w:rPr>
                      <w:rFonts w:ascii="Cambria Math" w:hAnsi="Cambria Math"/>
                      <w:highlight w:val="none"/>
                    </w:rPr>
                  </m:ctrlPr>
                </m:e>
                <m:sub>
                  <m:r>
                    <m:rPr>
                      <m:sty m:val="p"/>
                    </m:rPr>
                    <w:rPr>
                      <w:rFonts w:ascii="Cambria Math" w:hAnsi="Cambria Math"/>
                      <w:highlight w:val="none"/>
                    </w:rPr>
                    <m:t>i</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sty m:val="p"/>
                    </m:rPr>
                    <w:rPr>
                      <w:rFonts w:ascii="Cambria Math" w:hAnsi="Cambria Math"/>
                      <w:highlight w:val="none"/>
                    </w:rPr>
                    <m:t>C</m:t>
                  </m:r>
                  <m:ctrlPr>
                    <w:rPr>
                      <w:rFonts w:ascii="Cambria Math" w:hAnsi="Cambria Math"/>
                      <w:highlight w:val="none"/>
                    </w:rPr>
                  </m:ctrlPr>
                </m:e>
                <m:sub>
                  <m:r>
                    <m:rPr>
                      <m:sty m:val="p"/>
                    </m:rPr>
                    <w:rPr>
                      <w:rFonts w:ascii="Cambria Math" w:hAnsi="Cambria Math"/>
                      <w:highlight w:val="none"/>
                    </w:rPr>
                    <m:t>0i</m:t>
                  </m:r>
                  <m:ctrlPr>
                    <w:rPr>
                      <w:rFonts w:ascii="Cambria Math" w:hAnsi="Cambria Math"/>
                      <w:highlight w:val="none"/>
                    </w:rPr>
                  </m:ctrlPr>
                </m:sub>
              </m:sSub>
              <m:ctrlPr>
                <w:rPr>
                  <w:rFonts w:ascii="Cambria Math" w:hAnsi="Cambria Math"/>
                  <w:highlight w:val="none"/>
                </w:rPr>
              </m:ctrlPr>
            </m:den>
          </m:f>
          <m:r>
            <m:rPr>
              <m:sty m:val="p"/>
            </m:rPr>
            <w:rPr>
              <w:rFonts w:ascii="Cambria Math" w:hAnsi="Cambria Math"/>
              <w:highlight w:val="none"/>
            </w:rPr>
            <m:t>×100%</m:t>
          </m:r>
        </m:oMath>
      </m:oMathPara>
    </w:p>
    <w:p w14:paraId="227421CB">
      <w:pPr>
        <w:pageBreakBefore w:val="0"/>
        <w:kinsoku/>
        <w:overflowPunct/>
        <w:topLinePunct w:val="0"/>
        <w:bidi w:val="0"/>
        <w:outlineLvl w:val="9"/>
        <w:rPr>
          <w:highlight w:val="none"/>
        </w:rPr>
      </w:pPr>
      <m:oMath>
        <m:sSub>
          <m:sSubPr>
            <m:ctrlPr>
              <w:rPr>
                <w:rFonts w:ascii="Cambria Math" w:hAnsi="Cambria Math"/>
                <w:highlight w:val="none"/>
              </w:rPr>
            </m:ctrlPr>
          </m:sSubPr>
          <m:e>
            <m:r>
              <m:rPr>
                <m:sty m:val="p"/>
              </m:rPr>
              <w:rPr>
                <w:rFonts w:ascii="Cambria Math" w:hAnsi="Cambria Math"/>
                <w:highlight w:val="none"/>
              </w:rPr>
              <m:t>P</m:t>
            </m:r>
            <m:ctrlPr>
              <w:rPr>
                <w:rFonts w:ascii="Cambria Math" w:hAnsi="Cambria Math"/>
                <w:highlight w:val="none"/>
              </w:rPr>
            </m:ctrlPr>
          </m:e>
          <m:sub>
            <m:r>
              <m:rPr>
                <m:sty m:val="p"/>
              </m:rPr>
              <w:rPr>
                <w:rFonts w:ascii="Cambria Math" w:hAnsi="Cambria Math"/>
                <w:highlight w:val="none"/>
              </w:rPr>
              <m:t>i</m:t>
            </m:r>
            <m:ctrlPr>
              <w:rPr>
                <w:rFonts w:ascii="Cambria Math" w:hAnsi="Cambria Math"/>
                <w:highlight w:val="none"/>
              </w:rPr>
            </m:ctrlPr>
          </m:sub>
        </m:sSub>
      </m:oMath>
      <w:r>
        <w:rPr>
          <w:highlight w:val="none"/>
        </w:rPr>
        <w:t>——第i个污染物的最大地面空气质量浓度占标率，%；</w:t>
      </w:r>
    </w:p>
    <w:p w14:paraId="05AD9C88">
      <w:pPr>
        <w:pageBreakBefore w:val="0"/>
        <w:kinsoku/>
        <w:overflowPunct/>
        <w:topLinePunct w:val="0"/>
        <w:bidi w:val="0"/>
        <w:outlineLvl w:val="9"/>
        <w:rPr>
          <w:highlight w:val="none"/>
        </w:rPr>
      </w:pPr>
      <m:oMath>
        <m:sSub>
          <m:sSubPr>
            <m:ctrlPr>
              <w:rPr>
                <w:rFonts w:ascii="Cambria Math" w:hAnsi="Cambria Math"/>
                <w:highlight w:val="none"/>
              </w:rPr>
            </m:ctrlPr>
          </m:sSubPr>
          <m:e>
            <m:r>
              <m:rPr>
                <m:sty m:val="p"/>
              </m:rPr>
              <w:rPr>
                <w:rFonts w:ascii="Cambria Math" w:hAnsi="Cambria Math"/>
                <w:highlight w:val="none"/>
              </w:rPr>
              <m:t>C</m:t>
            </m:r>
            <m:ctrlPr>
              <w:rPr>
                <w:rFonts w:ascii="Cambria Math" w:hAnsi="Cambria Math"/>
                <w:highlight w:val="none"/>
              </w:rPr>
            </m:ctrlPr>
          </m:e>
          <m:sub>
            <m:r>
              <m:rPr>
                <m:sty m:val="p"/>
              </m:rPr>
              <w:rPr>
                <w:rFonts w:ascii="Cambria Math" w:hAnsi="Cambria Math"/>
                <w:highlight w:val="none"/>
              </w:rPr>
              <m:t>i</m:t>
            </m:r>
            <m:ctrlPr>
              <w:rPr>
                <w:rFonts w:ascii="Cambria Math" w:hAnsi="Cambria Math"/>
                <w:highlight w:val="none"/>
              </w:rPr>
            </m:ctrlPr>
          </m:sub>
        </m:sSub>
      </m:oMath>
      <w:r>
        <w:rPr>
          <w:highlight w:val="none"/>
        </w:rPr>
        <w:t>——采用估算模型计算出的第i个污染物的最大1h地面空气质量浓度，μg/m3；</w:t>
      </w:r>
    </w:p>
    <w:p w14:paraId="5BD65431">
      <w:pPr>
        <w:pageBreakBefore w:val="0"/>
        <w:kinsoku/>
        <w:overflowPunct/>
        <w:topLinePunct w:val="0"/>
        <w:bidi w:val="0"/>
        <w:outlineLvl w:val="9"/>
        <w:rPr>
          <w:rFonts w:eastAsiaTheme="minorEastAsia"/>
          <w:highlight w:val="none"/>
        </w:rPr>
      </w:pPr>
      <m:oMath>
        <m:sSub>
          <m:sSubPr>
            <m:ctrlPr>
              <w:rPr>
                <w:rFonts w:ascii="Cambria Math" w:hAnsi="Cambria Math"/>
                <w:highlight w:val="none"/>
              </w:rPr>
            </m:ctrlPr>
          </m:sSubPr>
          <m:e>
            <m:r>
              <m:rPr>
                <m:sty m:val="p"/>
              </m:rPr>
              <w:rPr>
                <w:rFonts w:ascii="Cambria Math" w:hAnsi="Cambria Math"/>
                <w:highlight w:val="none"/>
              </w:rPr>
              <m:t>C</m:t>
            </m:r>
            <m:ctrlPr>
              <w:rPr>
                <w:rFonts w:ascii="Cambria Math" w:hAnsi="Cambria Math"/>
                <w:highlight w:val="none"/>
              </w:rPr>
            </m:ctrlPr>
          </m:e>
          <m:sub>
            <m:r>
              <m:rPr>
                <m:sty m:val="p"/>
              </m:rPr>
              <w:rPr>
                <w:rFonts w:ascii="Cambria Math" w:hAnsi="Cambria Math"/>
                <w:highlight w:val="none"/>
              </w:rPr>
              <m:t>0i</m:t>
            </m:r>
            <m:ctrlPr>
              <w:rPr>
                <w:rFonts w:ascii="Cambria Math" w:hAnsi="Cambria Math"/>
                <w:highlight w:val="none"/>
              </w:rPr>
            </m:ctrlPr>
          </m:sub>
        </m:sSub>
      </m:oMath>
      <w:r>
        <w:rPr>
          <w:highlight w:val="none"/>
        </w:rPr>
        <w:t>——第i个</w:t>
      </w:r>
      <w:r>
        <w:rPr>
          <w:rFonts w:hAnsiTheme="minorEastAsia" w:eastAsiaTheme="minorEastAsia"/>
          <w:highlight w:val="none"/>
        </w:rPr>
        <w:t>污染物的环境空气质量浓度标准，</w:t>
      </w:r>
      <w:r>
        <w:rPr>
          <w:rFonts w:eastAsiaTheme="minorEastAsia"/>
          <w:highlight w:val="none"/>
        </w:rPr>
        <w:t>μg/m</w:t>
      </w:r>
      <w:r>
        <w:rPr>
          <w:rFonts w:eastAsiaTheme="minorEastAsia"/>
          <w:highlight w:val="none"/>
          <w:vertAlign w:val="superscript"/>
        </w:rPr>
        <w:t>3</w:t>
      </w:r>
      <w:r>
        <w:rPr>
          <w:rFonts w:hAnsiTheme="minorEastAsia" w:eastAsiaTheme="minorEastAsia"/>
          <w:highlight w:val="none"/>
        </w:rPr>
        <w:t>。</w:t>
      </w:r>
    </w:p>
    <w:p w14:paraId="3E27F21E">
      <w:pPr>
        <w:pageBreakBefore w:val="0"/>
        <w:kinsoku/>
        <w:overflowPunct/>
        <w:topLinePunct w:val="0"/>
        <w:bidi w:val="0"/>
        <w:outlineLvl w:val="9"/>
        <w:rPr>
          <w:rFonts w:eastAsiaTheme="minorEastAsia"/>
          <w:b/>
          <w:sz w:val="24"/>
          <w:highlight w:val="none"/>
        </w:rPr>
      </w:pPr>
      <w:bookmarkStart w:id="160" w:name="_Toc9926"/>
      <w:r>
        <w:rPr>
          <w:rFonts w:hint="eastAsia" w:eastAsiaTheme="minorEastAsia"/>
          <w:b/>
          <w:sz w:val="24"/>
          <w:highlight w:val="none"/>
          <w:lang w:eastAsia="zh-CN"/>
        </w:rPr>
        <w:t>（</w:t>
      </w:r>
      <w:r>
        <w:rPr>
          <w:rFonts w:hint="eastAsia" w:eastAsiaTheme="minorEastAsia"/>
          <w:b/>
          <w:sz w:val="24"/>
          <w:highlight w:val="none"/>
          <w:lang w:val="en-US" w:eastAsia="zh-CN"/>
        </w:rPr>
        <w:t>2</w:t>
      </w:r>
      <w:r>
        <w:rPr>
          <w:rFonts w:hint="eastAsia" w:eastAsiaTheme="minorEastAsia"/>
          <w:b/>
          <w:sz w:val="24"/>
          <w:highlight w:val="none"/>
          <w:lang w:eastAsia="zh-CN"/>
        </w:rPr>
        <w:t>）</w:t>
      </w:r>
      <w:r>
        <w:rPr>
          <w:rFonts w:hAnsiTheme="minorEastAsia" w:eastAsiaTheme="minorEastAsia"/>
          <w:b/>
          <w:sz w:val="24"/>
          <w:highlight w:val="none"/>
        </w:rPr>
        <w:t>评价等级判别表</w:t>
      </w:r>
      <w:bookmarkEnd w:id="160"/>
    </w:p>
    <w:p w14:paraId="7EE87294">
      <w:pPr>
        <w:pageBreakBefore w:val="0"/>
        <w:kinsoku/>
        <w:overflowPunct/>
        <w:topLinePunct w:val="0"/>
        <w:bidi w:val="0"/>
        <w:outlineLvl w:val="9"/>
        <w:rPr>
          <w:highlight w:val="none"/>
        </w:rPr>
      </w:pPr>
      <w:r>
        <w:rPr>
          <w:highlight w:val="none"/>
        </w:rPr>
        <w:t>评价等级按下表的分级判据进行划分。</w:t>
      </w:r>
    </w:p>
    <w:p w14:paraId="3A792F87">
      <w:pPr>
        <w:pStyle w:val="7"/>
        <w:bidi w:val="0"/>
        <w:rPr>
          <w:highlight w:val="none"/>
        </w:rPr>
      </w:pPr>
      <w:r>
        <w:rPr>
          <w:highlight w:val="none"/>
        </w:rPr>
        <w:t>表2-4-1大气评价等级确定表</w:t>
      </w:r>
    </w:p>
    <w:tbl>
      <w:tblPr>
        <w:tblStyle w:val="44"/>
        <w:tblW w:w="830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962"/>
        <w:gridCol w:w="3344"/>
      </w:tblGrid>
      <w:tr w14:paraId="588F22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62" w:type="dxa"/>
            <w:vAlign w:val="center"/>
          </w:tcPr>
          <w:p w14:paraId="0F970F5A">
            <w:pPr>
              <w:pStyle w:val="184"/>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评价工作等级判据</w:t>
            </w:r>
          </w:p>
        </w:tc>
        <w:tc>
          <w:tcPr>
            <w:tcW w:w="3344" w:type="dxa"/>
            <w:vAlign w:val="center"/>
          </w:tcPr>
          <w:p w14:paraId="10C7D61C">
            <w:pPr>
              <w:pStyle w:val="184"/>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评价工作等级</w:t>
            </w:r>
          </w:p>
        </w:tc>
      </w:tr>
      <w:tr w14:paraId="2997C4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62" w:type="dxa"/>
            <w:vAlign w:val="center"/>
          </w:tcPr>
          <w:p w14:paraId="0DDBD87E">
            <w:pPr>
              <w:pStyle w:val="184"/>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Pmax≥10%</w:t>
            </w:r>
          </w:p>
        </w:tc>
        <w:tc>
          <w:tcPr>
            <w:tcW w:w="3344" w:type="dxa"/>
            <w:vAlign w:val="center"/>
          </w:tcPr>
          <w:p w14:paraId="299485F9">
            <w:pPr>
              <w:pStyle w:val="184"/>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一级</w:t>
            </w:r>
          </w:p>
        </w:tc>
      </w:tr>
      <w:tr w14:paraId="1B60E9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62" w:type="dxa"/>
            <w:vAlign w:val="center"/>
          </w:tcPr>
          <w:p w14:paraId="13392F63">
            <w:pPr>
              <w:pStyle w:val="184"/>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1%≤Pmax＜10%</w:t>
            </w:r>
          </w:p>
        </w:tc>
        <w:tc>
          <w:tcPr>
            <w:tcW w:w="3344" w:type="dxa"/>
            <w:vAlign w:val="center"/>
          </w:tcPr>
          <w:p w14:paraId="4A02087C">
            <w:pPr>
              <w:pStyle w:val="184"/>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二级</w:t>
            </w:r>
          </w:p>
        </w:tc>
      </w:tr>
      <w:tr w14:paraId="2D209B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62" w:type="dxa"/>
            <w:vAlign w:val="center"/>
          </w:tcPr>
          <w:p w14:paraId="7D582AEE">
            <w:pPr>
              <w:pStyle w:val="184"/>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val="0"/>
                <w:bCs w:val="0"/>
                <w:color w:val="auto"/>
                <w:sz w:val="21"/>
                <w:szCs w:val="21"/>
                <w:highlight w:val="none"/>
                <w:lang w:val="zh-CN"/>
              </w:rPr>
              <w:t>Pmax＜1%</w:t>
            </w:r>
          </w:p>
        </w:tc>
        <w:tc>
          <w:tcPr>
            <w:tcW w:w="3344" w:type="dxa"/>
            <w:vAlign w:val="center"/>
          </w:tcPr>
          <w:p w14:paraId="46C876EC">
            <w:pPr>
              <w:pStyle w:val="184"/>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textAlignment w:val="bottom"/>
              <w:outlineLvl w:val="9"/>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val="0"/>
                <w:bCs w:val="0"/>
                <w:color w:val="auto"/>
                <w:sz w:val="21"/>
                <w:szCs w:val="21"/>
                <w:highlight w:val="none"/>
                <w:lang w:val="zh-CN"/>
              </w:rPr>
              <w:t>三级</w:t>
            </w:r>
          </w:p>
        </w:tc>
      </w:tr>
    </w:tbl>
    <w:p w14:paraId="631A703E">
      <w:pPr>
        <w:pageBreakBefore w:val="0"/>
        <w:kinsoku/>
        <w:overflowPunct/>
        <w:topLinePunct w:val="0"/>
        <w:bidi w:val="0"/>
        <w:outlineLvl w:val="9"/>
        <w:rPr>
          <w:rFonts w:eastAsiaTheme="minorEastAsia"/>
          <w:b/>
          <w:sz w:val="24"/>
          <w:highlight w:val="none"/>
        </w:rPr>
      </w:pPr>
      <w:bookmarkStart w:id="161" w:name="_Toc13628"/>
      <w:r>
        <w:rPr>
          <w:rFonts w:hint="eastAsia" w:eastAsiaTheme="minorEastAsia"/>
          <w:b/>
          <w:sz w:val="24"/>
          <w:highlight w:val="none"/>
          <w:lang w:eastAsia="zh-CN"/>
        </w:rPr>
        <w:t>（</w:t>
      </w:r>
      <w:r>
        <w:rPr>
          <w:rFonts w:hint="eastAsia" w:eastAsiaTheme="minorEastAsia"/>
          <w:b/>
          <w:sz w:val="24"/>
          <w:highlight w:val="none"/>
          <w:lang w:val="en-US" w:eastAsia="zh-CN"/>
        </w:rPr>
        <w:t>3</w:t>
      </w:r>
      <w:r>
        <w:rPr>
          <w:rFonts w:hint="eastAsia" w:eastAsiaTheme="minorEastAsia"/>
          <w:b/>
          <w:sz w:val="24"/>
          <w:highlight w:val="none"/>
          <w:lang w:eastAsia="zh-CN"/>
        </w:rPr>
        <w:t>）</w:t>
      </w:r>
      <w:r>
        <w:rPr>
          <w:rFonts w:hAnsiTheme="minorEastAsia" w:eastAsiaTheme="minorEastAsia"/>
          <w:b/>
          <w:sz w:val="24"/>
          <w:highlight w:val="none"/>
        </w:rPr>
        <w:t>污染物评价标准</w:t>
      </w:r>
      <w:bookmarkEnd w:id="161"/>
    </w:p>
    <w:p w14:paraId="5ACEF804">
      <w:pPr>
        <w:pageBreakBefore w:val="0"/>
        <w:kinsoku/>
        <w:overflowPunct/>
        <w:topLinePunct w:val="0"/>
        <w:bidi w:val="0"/>
        <w:outlineLvl w:val="9"/>
        <w:rPr>
          <w:highlight w:val="none"/>
        </w:rPr>
      </w:pPr>
      <w:r>
        <w:rPr>
          <w:highlight w:val="none"/>
        </w:rPr>
        <w:t>污染物评价标准和来源见下表。</w:t>
      </w:r>
    </w:p>
    <w:p w14:paraId="28E77E4B">
      <w:pPr>
        <w:pStyle w:val="7"/>
        <w:bidi w:val="0"/>
        <w:rPr>
          <w:highlight w:val="none"/>
        </w:rPr>
      </w:pPr>
      <w:r>
        <w:rPr>
          <w:highlight w:val="none"/>
        </w:rPr>
        <w:t>表2-4-2评价因子及评价标准表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04"/>
        <w:gridCol w:w="1077"/>
        <w:gridCol w:w="1820"/>
        <w:gridCol w:w="3505"/>
      </w:tblGrid>
      <w:tr w14:paraId="7ED404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1" w:hRule="atLeast"/>
          <w:jc w:val="center"/>
        </w:trPr>
        <w:tc>
          <w:tcPr>
            <w:tcW w:w="1146" w:type="pct"/>
            <w:vAlign w:val="center"/>
          </w:tcPr>
          <w:p w14:paraId="33A0049B">
            <w:pPr>
              <w:pStyle w:val="73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textAlignment w:val="auto"/>
              <w:rPr>
                <w:rFonts w:hint="default" w:ascii="Times New Roman" w:hAnsi="Times New Roman" w:eastAsiaTheme="minorEastAsia"/>
                <w:bCs/>
                <w:sz w:val="21"/>
                <w:szCs w:val="21"/>
                <w:highlight w:val="none"/>
                <w:lang w:eastAsia="en-US"/>
              </w:rPr>
            </w:pPr>
            <w:bookmarkStart w:id="162" w:name="_Toc28953"/>
            <w:r>
              <w:rPr>
                <w:rFonts w:hint="default" w:ascii="Times New Roman" w:hAnsiTheme="minorEastAsia" w:eastAsiaTheme="minorEastAsia"/>
                <w:bCs/>
                <w:sz w:val="21"/>
                <w:szCs w:val="21"/>
                <w:highlight w:val="none"/>
                <w:lang w:eastAsia="en-US"/>
              </w:rPr>
              <w:t>预测因子</w:t>
            </w:r>
          </w:p>
        </w:tc>
        <w:tc>
          <w:tcPr>
            <w:tcW w:w="648" w:type="pct"/>
            <w:vAlign w:val="center"/>
          </w:tcPr>
          <w:p w14:paraId="7A7DA3E4">
            <w:pPr>
              <w:pStyle w:val="73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textAlignment w:val="auto"/>
              <w:rPr>
                <w:rFonts w:hint="default" w:ascii="Times New Roman" w:hAnsi="Times New Roman" w:eastAsiaTheme="minorEastAsia"/>
                <w:bCs/>
                <w:sz w:val="21"/>
                <w:szCs w:val="21"/>
                <w:highlight w:val="none"/>
                <w:lang w:eastAsia="en-US"/>
              </w:rPr>
            </w:pPr>
            <w:r>
              <w:rPr>
                <w:rFonts w:hint="default" w:ascii="Times New Roman" w:hAnsiTheme="minorEastAsia" w:eastAsiaTheme="minorEastAsia"/>
                <w:bCs/>
                <w:sz w:val="21"/>
                <w:szCs w:val="21"/>
                <w:highlight w:val="none"/>
                <w:lang w:eastAsia="en-US"/>
              </w:rPr>
              <w:t>平均时段</w:t>
            </w:r>
          </w:p>
        </w:tc>
        <w:tc>
          <w:tcPr>
            <w:tcW w:w="1095" w:type="pct"/>
            <w:vAlign w:val="center"/>
          </w:tcPr>
          <w:p w14:paraId="1B5B9331">
            <w:pPr>
              <w:pStyle w:val="73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textAlignment w:val="auto"/>
              <w:rPr>
                <w:rFonts w:hint="default" w:ascii="Times New Roman" w:hAnsi="Times New Roman" w:eastAsiaTheme="minorEastAsia"/>
                <w:bCs/>
                <w:sz w:val="21"/>
                <w:szCs w:val="21"/>
                <w:highlight w:val="none"/>
                <w:lang w:eastAsia="en-US"/>
              </w:rPr>
            </w:pPr>
            <w:r>
              <w:rPr>
                <w:rFonts w:hint="default" w:ascii="Times New Roman" w:hAnsiTheme="minorEastAsia" w:eastAsiaTheme="minorEastAsia"/>
                <w:bCs/>
                <w:sz w:val="21"/>
                <w:szCs w:val="21"/>
                <w:highlight w:val="none"/>
                <w:lang w:eastAsia="en-US"/>
              </w:rPr>
              <w:t>标准值（</w:t>
            </w:r>
            <w:r>
              <w:rPr>
                <w:rFonts w:hint="default" w:ascii="Times New Roman" w:hAnsi="Times New Roman" w:eastAsiaTheme="minorEastAsia"/>
                <w:bCs/>
                <w:sz w:val="21"/>
                <w:szCs w:val="21"/>
                <w:highlight w:val="none"/>
                <w:lang w:eastAsia="en-US"/>
              </w:rPr>
              <w:t>μg/m</w:t>
            </w:r>
            <w:r>
              <w:rPr>
                <w:rFonts w:hint="default" w:ascii="Times New Roman" w:hAnsi="Times New Roman" w:eastAsiaTheme="minorEastAsia"/>
                <w:bCs/>
                <w:sz w:val="21"/>
                <w:szCs w:val="21"/>
                <w:highlight w:val="none"/>
                <w:vertAlign w:val="superscript"/>
                <w:lang w:eastAsia="en-US"/>
              </w:rPr>
              <w:t>3</w:t>
            </w:r>
            <w:r>
              <w:rPr>
                <w:rFonts w:hint="default" w:ascii="Times New Roman" w:hAnsiTheme="minorEastAsia" w:eastAsiaTheme="minorEastAsia"/>
                <w:bCs/>
                <w:sz w:val="21"/>
                <w:szCs w:val="21"/>
                <w:highlight w:val="none"/>
                <w:lang w:eastAsia="en-US"/>
              </w:rPr>
              <w:t>）</w:t>
            </w:r>
          </w:p>
        </w:tc>
        <w:tc>
          <w:tcPr>
            <w:tcW w:w="2109" w:type="pct"/>
            <w:vAlign w:val="center"/>
          </w:tcPr>
          <w:p w14:paraId="77449260">
            <w:pPr>
              <w:pStyle w:val="73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textAlignment w:val="auto"/>
              <w:rPr>
                <w:rFonts w:hint="default" w:ascii="Times New Roman" w:hAnsi="Times New Roman" w:eastAsiaTheme="minorEastAsia"/>
                <w:bCs/>
                <w:sz w:val="21"/>
                <w:szCs w:val="21"/>
                <w:highlight w:val="none"/>
                <w:lang w:eastAsia="en-US"/>
              </w:rPr>
            </w:pPr>
            <w:r>
              <w:rPr>
                <w:rFonts w:hint="default" w:ascii="Times New Roman" w:hAnsiTheme="minorEastAsia" w:eastAsiaTheme="minorEastAsia"/>
                <w:bCs/>
                <w:sz w:val="21"/>
                <w:szCs w:val="21"/>
                <w:highlight w:val="none"/>
                <w:lang w:eastAsia="en-US"/>
              </w:rPr>
              <w:t>标准来源</w:t>
            </w:r>
          </w:p>
        </w:tc>
      </w:tr>
      <w:tr w14:paraId="649007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 w:hRule="atLeast"/>
          <w:jc w:val="center"/>
        </w:trPr>
        <w:tc>
          <w:tcPr>
            <w:tcW w:w="1146" w:type="pct"/>
            <w:vAlign w:val="center"/>
          </w:tcPr>
          <w:p w14:paraId="3BBE7DED">
            <w:pPr>
              <w:pStyle w:val="73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textAlignment w:val="auto"/>
              <w:rPr>
                <w:rFonts w:hint="default" w:ascii="Times New Roman" w:hAnsi="Times New Roman" w:eastAsiaTheme="minorEastAsia"/>
                <w:bCs/>
                <w:sz w:val="21"/>
                <w:szCs w:val="21"/>
                <w:highlight w:val="none"/>
              </w:rPr>
            </w:pPr>
            <w:r>
              <w:rPr>
                <w:rFonts w:hint="default" w:ascii="Times New Roman" w:hAnsiTheme="minorEastAsia" w:eastAsiaTheme="minorEastAsia"/>
                <w:bCs/>
                <w:sz w:val="21"/>
                <w:szCs w:val="21"/>
                <w:highlight w:val="none"/>
              </w:rPr>
              <w:t>非甲烷总烃（</w:t>
            </w:r>
            <w:r>
              <w:rPr>
                <w:rFonts w:hint="default" w:ascii="Times New Roman" w:hAnsi="Times New Roman" w:eastAsiaTheme="minorEastAsia"/>
                <w:bCs/>
                <w:sz w:val="21"/>
                <w:szCs w:val="21"/>
                <w:highlight w:val="none"/>
              </w:rPr>
              <w:t>NMHC</w:t>
            </w:r>
            <w:r>
              <w:rPr>
                <w:rFonts w:hint="default" w:ascii="Times New Roman" w:hAnsiTheme="minorEastAsia" w:eastAsiaTheme="minorEastAsia"/>
                <w:bCs/>
                <w:sz w:val="21"/>
                <w:szCs w:val="21"/>
                <w:highlight w:val="none"/>
              </w:rPr>
              <w:t>）</w:t>
            </w:r>
          </w:p>
        </w:tc>
        <w:tc>
          <w:tcPr>
            <w:tcW w:w="648" w:type="pct"/>
            <w:vAlign w:val="center"/>
          </w:tcPr>
          <w:p w14:paraId="77FF39D7">
            <w:pPr>
              <w:pStyle w:val="73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textAlignment w:val="auto"/>
              <w:rPr>
                <w:rFonts w:hint="default" w:ascii="Times New Roman" w:hAnsi="Times New Roman" w:eastAsiaTheme="minorEastAsia"/>
                <w:bCs/>
                <w:sz w:val="21"/>
                <w:szCs w:val="21"/>
                <w:highlight w:val="none"/>
                <w:lang w:eastAsia="en-US"/>
              </w:rPr>
            </w:pPr>
            <w:r>
              <w:rPr>
                <w:rFonts w:hint="default" w:ascii="Times New Roman" w:hAnsi="Times New Roman" w:eastAsiaTheme="minorEastAsia"/>
                <w:bCs/>
                <w:sz w:val="21"/>
                <w:szCs w:val="21"/>
                <w:highlight w:val="none"/>
                <w:lang w:eastAsia="en-US"/>
              </w:rPr>
              <w:t>1</w:t>
            </w:r>
            <w:r>
              <w:rPr>
                <w:rFonts w:hint="default" w:ascii="Times New Roman" w:hAnsiTheme="minorEastAsia" w:eastAsiaTheme="minorEastAsia"/>
                <w:bCs/>
                <w:sz w:val="21"/>
                <w:szCs w:val="21"/>
                <w:highlight w:val="none"/>
                <w:lang w:eastAsia="en-US"/>
              </w:rPr>
              <w:t>小时</w:t>
            </w:r>
          </w:p>
        </w:tc>
        <w:tc>
          <w:tcPr>
            <w:tcW w:w="1095" w:type="pct"/>
            <w:vAlign w:val="center"/>
          </w:tcPr>
          <w:p w14:paraId="3A23CE7E">
            <w:pPr>
              <w:pStyle w:val="73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textAlignment w:val="auto"/>
              <w:rPr>
                <w:rFonts w:hint="default" w:ascii="Times New Roman" w:hAnsi="Times New Roman" w:eastAsiaTheme="minorEastAsia"/>
                <w:bCs/>
                <w:sz w:val="21"/>
                <w:szCs w:val="21"/>
                <w:highlight w:val="none"/>
              </w:rPr>
            </w:pPr>
            <w:r>
              <w:rPr>
                <w:rFonts w:hint="default" w:ascii="Times New Roman" w:hAnsi="Times New Roman" w:eastAsiaTheme="minorEastAsia"/>
                <w:bCs/>
                <w:sz w:val="21"/>
                <w:szCs w:val="21"/>
                <w:highlight w:val="none"/>
              </w:rPr>
              <w:t>2000</w:t>
            </w:r>
          </w:p>
        </w:tc>
        <w:tc>
          <w:tcPr>
            <w:tcW w:w="2109" w:type="pct"/>
            <w:vAlign w:val="center"/>
          </w:tcPr>
          <w:p w14:paraId="569548E1">
            <w:pPr>
              <w:pStyle w:val="73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textAlignment w:val="auto"/>
              <w:rPr>
                <w:rFonts w:hint="default" w:ascii="Times New Roman" w:hAnsi="Times New Roman" w:eastAsiaTheme="minorEastAsia"/>
                <w:bCs/>
                <w:sz w:val="21"/>
                <w:szCs w:val="21"/>
                <w:highlight w:val="none"/>
              </w:rPr>
            </w:pPr>
            <w:r>
              <w:rPr>
                <w:rFonts w:hint="default" w:ascii="Times New Roman" w:hAnsiTheme="minorEastAsia" w:eastAsiaTheme="minorEastAsia"/>
                <w:bCs/>
                <w:sz w:val="21"/>
                <w:szCs w:val="21"/>
                <w:highlight w:val="none"/>
              </w:rPr>
              <w:t>《大气污染物综合排放标准详解》</w:t>
            </w:r>
          </w:p>
        </w:tc>
      </w:tr>
      <w:tr w14:paraId="489AF3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 w:hRule="atLeast"/>
          <w:jc w:val="center"/>
        </w:trPr>
        <w:tc>
          <w:tcPr>
            <w:tcW w:w="1146" w:type="pct"/>
            <w:vAlign w:val="center"/>
          </w:tcPr>
          <w:p w14:paraId="5F79FF3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Cs/>
                <w:kern w:val="0"/>
                <w:sz w:val="21"/>
                <w:szCs w:val="21"/>
                <w:highlight w:val="none"/>
                <w:lang w:eastAsia="en-US"/>
              </w:rPr>
            </w:pPr>
            <w:r>
              <w:rPr>
                <w:rFonts w:hint="eastAsia"/>
                <w:bCs/>
                <w:kern w:val="0"/>
                <w:sz w:val="21"/>
                <w:szCs w:val="21"/>
                <w:highlight w:val="none"/>
              </w:rPr>
              <w:t>颗粒物（PM</w:t>
            </w:r>
            <w:r>
              <w:rPr>
                <w:rFonts w:hint="eastAsia"/>
                <w:bCs/>
                <w:kern w:val="0"/>
                <w:sz w:val="21"/>
                <w:szCs w:val="21"/>
                <w:highlight w:val="none"/>
                <w:vertAlign w:val="subscript"/>
              </w:rPr>
              <w:t>10</w:t>
            </w:r>
            <w:r>
              <w:rPr>
                <w:rFonts w:hint="eastAsia"/>
                <w:bCs/>
                <w:kern w:val="0"/>
                <w:sz w:val="21"/>
                <w:szCs w:val="21"/>
                <w:highlight w:val="none"/>
              </w:rPr>
              <w:t>）</w:t>
            </w:r>
          </w:p>
        </w:tc>
        <w:tc>
          <w:tcPr>
            <w:tcW w:w="648" w:type="pct"/>
            <w:vAlign w:val="center"/>
          </w:tcPr>
          <w:p w14:paraId="6C4FCE8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Cs/>
                <w:kern w:val="0"/>
                <w:sz w:val="21"/>
                <w:szCs w:val="21"/>
                <w:highlight w:val="none"/>
                <w:lang w:eastAsia="en-US"/>
              </w:rPr>
            </w:pPr>
            <w:r>
              <w:rPr>
                <w:rFonts w:hint="eastAsia"/>
                <w:bCs/>
                <w:kern w:val="0"/>
                <w:sz w:val="21"/>
                <w:szCs w:val="21"/>
                <w:highlight w:val="none"/>
              </w:rPr>
              <w:t>24小时</w:t>
            </w:r>
          </w:p>
        </w:tc>
        <w:tc>
          <w:tcPr>
            <w:tcW w:w="1095" w:type="pct"/>
            <w:vAlign w:val="center"/>
          </w:tcPr>
          <w:p w14:paraId="22B0C35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bCs/>
                <w:kern w:val="0"/>
                <w:sz w:val="21"/>
                <w:szCs w:val="21"/>
                <w:highlight w:val="none"/>
                <w:lang w:val="en-US" w:eastAsia="zh-CN"/>
              </w:rPr>
            </w:pPr>
            <w:r>
              <w:rPr>
                <w:rFonts w:hint="eastAsia"/>
                <w:bCs/>
                <w:kern w:val="0"/>
                <w:sz w:val="21"/>
                <w:szCs w:val="21"/>
                <w:highlight w:val="none"/>
                <w:lang w:val="en-US" w:eastAsia="zh-CN"/>
              </w:rPr>
              <w:t>120</w:t>
            </w:r>
          </w:p>
        </w:tc>
        <w:tc>
          <w:tcPr>
            <w:tcW w:w="2109" w:type="pct"/>
            <w:vAlign w:val="center"/>
          </w:tcPr>
          <w:p w14:paraId="04BD4729">
            <w:pPr>
              <w:pStyle w:val="732"/>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textAlignment w:val="auto"/>
              <w:rPr>
                <w:rFonts w:hint="default" w:ascii="Times New Roman" w:hAnsiTheme="minorEastAsia" w:eastAsiaTheme="minorEastAsia"/>
                <w:bCs/>
                <w:sz w:val="21"/>
                <w:szCs w:val="21"/>
                <w:highlight w:val="none"/>
              </w:rPr>
            </w:pPr>
            <w:r>
              <w:rPr>
                <w:rFonts w:hint="default" w:ascii="Times New Roman" w:hAnsi="Times New Roman"/>
                <w:bCs/>
                <w:kern w:val="0"/>
                <w:sz w:val="21"/>
                <w:szCs w:val="21"/>
                <w:highlight w:val="none"/>
              </w:rPr>
              <w:t>《环境空气质量标准》（GB3095-20</w:t>
            </w:r>
            <w:r>
              <w:rPr>
                <w:rFonts w:hint="eastAsia" w:ascii="Times New Roman" w:hAnsi="Times New Roman"/>
                <w:bCs/>
                <w:kern w:val="0"/>
                <w:sz w:val="21"/>
                <w:szCs w:val="21"/>
                <w:highlight w:val="none"/>
                <w:lang w:val="en-US" w:eastAsia="zh-CN"/>
              </w:rPr>
              <w:t>26</w:t>
            </w:r>
            <w:r>
              <w:rPr>
                <w:rFonts w:hint="default" w:ascii="Times New Roman" w:hAnsi="Times New Roman"/>
                <w:bCs/>
                <w:kern w:val="0"/>
                <w:sz w:val="21"/>
                <w:szCs w:val="21"/>
                <w:highlight w:val="none"/>
              </w:rPr>
              <w:t>）</w:t>
            </w:r>
            <w:r>
              <w:rPr>
                <w:rFonts w:hint="eastAsia" w:ascii="Times New Roman" w:hAnsi="Times New Roman"/>
                <w:bCs/>
                <w:kern w:val="0"/>
                <w:sz w:val="21"/>
                <w:szCs w:val="21"/>
                <w:highlight w:val="none"/>
                <w:lang w:eastAsia="zh-CN"/>
              </w:rPr>
              <w:t>过渡阶段</w:t>
            </w:r>
            <w:r>
              <w:rPr>
                <w:rFonts w:hint="default" w:ascii="Times New Roman" w:hAnsi="Times New Roman"/>
                <w:bCs/>
                <w:kern w:val="0"/>
                <w:sz w:val="21"/>
                <w:szCs w:val="21"/>
                <w:highlight w:val="none"/>
              </w:rPr>
              <w:t>二级标准</w:t>
            </w:r>
          </w:p>
        </w:tc>
      </w:tr>
    </w:tbl>
    <w:p w14:paraId="11378D4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9"/>
        <w:rPr>
          <w:rFonts w:eastAsiaTheme="minorEastAsia"/>
          <w:b/>
          <w:sz w:val="24"/>
          <w:highlight w:val="none"/>
        </w:rPr>
      </w:pPr>
      <w:r>
        <w:rPr>
          <w:rFonts w:hint="eastAsia" w:eastAsiaTheme="minorEastAsia"/>
          <w:b/>
          <w:sz w:val="24"/>
          <w:highlight w:val="none"/>
          <w:lang w:eastAsia="zh-CN"/>
        </w:rPr>
        <w:t>（</w:t>
      </w:r>
      <w:r>
        <w:rPr>
          <w:rFonts w:hint="eastAsia" w:eastAsiaTheme="minorEastAsia"/>
          <w:b/>
          <w:sz w:val="24"/>
          <w:highlight w:val="none"/>
          <w:lang w:val="en-US" w:eastAsia="zh-CN"/>
        </w:rPr>
        <w:t>4</w:t>
      </w:r>
      <w:r>
        <w:rPr>
          <w:rFonts w:hint="eastAsia" w:eastAsiaTheme="minorEastAsia"/>
          <w:b/>
          <w:sz w:val="24"/>
          <w:highlight w:val="none"/>
          <w:lang w:eastAsia="zh-CN"/>
        </w:rPr>
        <w:t>）</w:t>
      </w:r>
      <w:r>
        <w:rPr>
          <w:rFonts w:hAnsiTheme="minorEastAsia" w:eastAsiaTheme="minorEastAsia"/>
          <w:b/>
          <w:sz w:val="24"/>
          <w:highlight w:val="none"/>
        </w:rPr>
        <w:t>污染源参数</w:t>
      </w:r>
      <w:bookmarkEnd w:id="162"/>
    </w:p>
    <w:p w14:paraId="4E49BCD7">
      <w:pPr>
        <w:pageBreakBefore w:val="0"/>
        <w:kinsoku/>
        <w:overflowPunct/>
        <w:topLinePunct w:val="0"/>
        <w:bidi w:val="0"/>
        <w:outlineLvl w:val="9"/>
        <w:rPr>
          <w:rFonts w:ascii="Times New Roman" w:cs="Times New Roman" w:hAnsiTheme="minorEastAsia" w:eastAsiaTheme="minorEastAsia"/>
          <w:bCs/>
          <w:color w:val="auto"/>
          <w:highlight w:val="none"/>
        </w:rPr>
      </w:pPr>
      <w:r>
        <w:rPr>
          <w:sz w:val="24"/>
        </w:rPr>
        <mc:AlternateContent>
          <mc:Choice Requires="wps">
            <w:drawing>
              <wp:anchor distT="0" distB="0" distL="114300" distR="114300" simplePos="0" relativeHeight="251696128" behindDoc="0" locked="0" layoutInCell="1" allowOverlap="1">
                <wp:simplePos x="0" y="0"/>
                <wp:positionH relativeFrom="column">
                  <wp:posOffset>-62865</wp:posOffset>
                </wp:positionH>
                <wp:positionV relativeFrom="paragraph">
                  <wp:posOffset>511175</wp:posOffset>
                </wp:positionV>
                <wp:extent cx="5505450" cy="2609850"/>
                <wp:effectExtent l="0" t="0" r="0" b="0"/>
                <wp:wrapNone/>
                <wp:docPr id="17" name="矩形 17"/>
                <wp:cNvGraphicFramePr/>
                <a:graphic xmlns:a="http://schemas.openxmlformats.org/drawingml/2006/main">
                  <a:graphicData uri="http://schemas.microsoft.com/office/word/2010/wordprocessingShape">
                    <wps:wsp>
                      <wps:cNvSpPr/>
                      <wps:spPr>
                        <a:xfrm>
                          <a:off x="1080135" y="2637155"/>
                          <a:ext cx="5505450" cy="2609850"/>
                        </a:xfrm>
                        <a:prstGeom prst="rect">
                          <a:avLst/>
                        </a:prstGeom>
                        <a:solidFill>
                          <a:schemeClr val="bg1"/>
                        </a:solidFill>
                        <a:ln>
                          <a:solidFill>
                            <a:srgbClr val="000000">
                              <a:alpha val="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5pt;margin-top:40.25pt;height:205.5pt;width:433.5pt;z-index:251696128;v-text-anchor:middle;mso-width-relative:page;mso-height-relative:page;" fillcolor="#FFFFFF [3212]" filled="t" stroked="t" coordsize="21600,21600" o:gfxdata="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WB4bNoAAAAJAQAADwAAAAAAAAABACAAAAAi&#10;AAAAZHJzL2Rvd25yZXYueG1sUEsBAhQAFAAAAAgAh07iQB0qxSh6AgAACQUAAA4AAAAAAAAAAQAg&#10;AAAAKQEAAGRycy9lMm9Eb2MueG1sUEsFBgAAAAAGAAYAWQEAABUGAAAAAA==&#10;">
                <v:fill on="t" focussize="0,0"/>
                <v:stroke weight="2pt" color="#000000 [2404]" opacity="0f" joinstyle="round"/>
                <v:imagedata o:title=""/>
                <o:lock v:ext="edit" aspectratio="f"/>
              </v:rect>
            </w:pict>
          </mc:Fallback>
        </mc:AlternateContent>
      </w:r>
      <w:r>
        <w:rPr>
          <w:rFonts w:hint="eastAsia" w:cs="Times New Roman" w:hAnsiTheme="minorEastAsia" w:eastAsiaTheme="minorEastAsia"/>
          <w:bCs/>
          <w:color w:val="auto"/>
          <w:highlight w:val="none"/>
          <w:lang w:val="en-US" w:eastAsia="zh-CN"/>
        </w:rPr>
        <w:t>估算模式参数表、</w:t>
      </w:r>
      <w:r>
        <w:rPr>
          <w:rFonts w:ascii="Times New Roman" w:cs="Times New Roman" w:hAnsiTheme="minorEastAsia" w:eastAsiaTheme="minorEastAsia"/>
          <w:bCs/>
          <w:color w:val="auto"/>
          <w:highlight w:val="none"/>
        </w:rPr>
        <w:t>污染源点源参数调查清单</w:t>
      </w:r>
      <w:r>
        <w:rPr>
          <w:rFonts w:hint="eastAsia" w:cs="Times New Roman" w:hAnsiTheme="minorEastAsia" w:eastAsiaTheme="minorEastAsia"/>
          <w:bCs/>
          <w:color w:val="auto"/>
          <w:highlight w:val="none"/>
          <w:lang w:eastAsia="zh-CN"/>
        </w:rPr>
        <w:t>、</w:t>
      </w:r>
      <w:r>
        <w:rPr>
          <w:rFonts w:ascii="Times New Roman" w:cs="Times New Roman" w:hAnsiTheme="minorEastAsia" w:eastAsiaTheme="minorEastAsia"/>
          <w:bCs/>
          <w:color w:val="auto"/>
          <w:highlight w:val="none"/>
        </w:rPr>
        <w:t>污染源面源参数调查清单参见</w:t>
      </w:r>
      <w:r>
        <w:rPr>
          <w:rFonts w:hint="eastAsia" w:cs="Times New Roman" w:hAnsiTheme="minorEastAsia" w:eastAsiaTheme="minorEastAsia"/>
          <w:bCs/>
          <w:color w:val="auto"/>
          <w:highlight w:val="none"/>
          <w:lang w:val="en-US" w:eastAsia="zh-CN"/>
        </w:rPr>
        <w:t>下</w:t>
      </w:r>
      <w:r>
        <w:rPr>
          <w:rFonts w:ascii="Times New Roman" w:cs="Times New Roman" w:hAnsiTheme="minorEastAsia" w:eastAsiaTheme="minorEastAsia"/>
          <w:bCs/>
          <w:color w:val="auto"/>
          <w:highlight w:val="none"/>
        </w:rPr>
        <w:t>表。</w:t>
      </w:r>
    </w:p>
    <w:p w14:paraId="15C9BE44">
      <w:pPr>
        <w:pStyle w:val="7"/>
        <w:bidi w:val="0"/>
        <w:rPr>
          <w:highlight w:val="yellow"/>
          <w:lang w:val="en-US" w:eastAsia="zh-CN"/>
        </w:rPr>
      </w:pPr>
      <w:r>
        <w:rPr>
          <w:highlight w:val="yellow"/>
          <w:lang w:val="en-US" w:eastAsia="zh-CN"/>
        </w:rPr>
        <w:t>表2-4-</w:t>
      </w:r>
      <w:r>
        <w:rPr>
          <w:rFonts w:hint="eastAsia"/>
          <w:highlight w:val="yellow"/>
          <w:lang w:val="en-US" w:eastAsia="zh-CN"/>
        </w:rPr>
        <w:t>3</w:t>
      </w:r>
      <w:r>
        <w:rPr>
          <w:highlight w:val="yellow"/>
          <w:lang w:val="en-US" w:eastAsia="zh-CN"/>
        </w:rPr>
        <w:t>估算模型参数表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838"/>
        <w:gridCol w:w="3769"/>
        <w:gridCol w:w="2699"/>
      </w:tblGrid>
      <w:tr w14:paraId="797483A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316" w:type="dxa"/>
            <w:gridSpan w:val="2"/>
            <w:vAlign w:val="center"/>
          </w:tcPr>
          <w:p w14:paraId="3EA4A39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参数</w:t>
            </w:r>
          </w:p>
        </w:tc>
        <w:tc>
          <w:tcPr>
            <w:tcW w:w="2559" w:type="dxa"/>
            <w:vAlign w:val="center"/>
          </w:tcPr>
          <w:p w14:paraId="1442DBB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取值</w:t>
            </w:r>
          </w:p>
        </w:tc>
      </w:tr>
      <w:tr w14:paraId="70005B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2" w:hRule="atLeast"/>
          <w:jc w:val="center"/>
        </w:trPr>
        <w:tc>
          <w:tcPr>
            <w:tcW w:w="1743" w:type="dxa"/>
            <w:vMerge w:val="restart"/>
            <w:vAlign w:val="center"/>
          </w:tcPr>
          <w:p w14:paraId="386C6E9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城市/农村选项</w:t>
            </w:r>
          </w:p>
        </w:tc>
        <w:tc>
          <w:tcPr>
            <w:tcW w:w="3573" w:type="dxa"/>
            <w:vAlign w:val="center"/>
          </w:tcPr>
          <w:p w14:paraId="1B26595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城市/农村</w:t>
            </w:r>
          </w:p>
        </w:tc>
        <w:tc>
          <w:tcPr>
            <w:tcW w:w="2559" w:type="dxa"/>
            <w:vAlign w:val="center"/>
          </w:tcPr>
          <w:p w14:paraId="76C5751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城市</w:t>
            </w:r>
          </w:p>
        </w:tc>
      </w:tr>
      <w:tr w14:paraId="5BA4FA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8" w:hRule="atLeast"/>
          <w:jc w:val="center"/>
        </w:trPr>
        <w:tc>
          <w:tcPr>
            <w:tcW w:w="1743" w:type="dxa"/>
            <w:vMerge w:val="continue"/>
            <w:vAlign w:val="center"/>
          </w:tcPr>
          <w:p w14:paraId="734BEDC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p>
        </w:tc>
        <w:tc>
          <w:tcPr>
            <w:tcW w:w="3573" w:type="dxa"/>
            <w:vAlign w:val="center"/>
          </w:tcPr>
          <w:p w14:paraId="2E8930E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人口数（城市选项时）</w:t>
            </w:r>
          </w:p>
        </w:tc>
        <w:tc>
          <w:tcPr>
            <w:tcW w:w="2559" w:type="dxa"/>
            <w:vAlign w:val="center"/>
          </w:tcPr>
          <w:p w14:paraId="77D16CB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192000</w:t>
            </w:r>
          </w:p>
        </w:tc>
      </w:tr>
      <w:tr w14:paraId="642D3BD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16" w:type="dxa"/>
            <w:gridSpan w:val="2"/>
            <w:vAlign w:val="center"/>
          </w:tcPr>
          <w:p w14:paraId="6B617DE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最高环境温度/℃</w:t>
            </w:r>
          </w:p>
        </w:tc>
        <w:tc>
          <w:tcPr>
            <w:tcW w:w="2559" w:type="dxa"/>
            <w:vAlign w:val="center"/>
          </w:tcPr>
          <w:p w14:paraId="61120D7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39.2</w:t>
            </w:r>
          </w:p>
        </w:tc>
      </w:tr>
      <w:tr w14:paraId="13B79C6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2" w:hRule="atLeast"/>
          <w:jc w:val="center"/>
        </w:trPr>
        <w:tc>
          <w:tcPr>
            <w:tcW w:w="5316" w:type="dxa"/>
            <w:gridSpan w:val="2"/>
            <w:vAlign w:val="center"/>
          </w:tcPr>
          <w:p w14:paraId="6043239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最低环境温度/℃</w:t>
            </w:r>
          </w:p>
        </w:tc>
        <w:tc>
          <w:tcPr>
            <w:tcW w:w="2559" w:type="dxa"/>
            <w:vAlign w:val="center"/>
          </w:tcPr>
          <w:p w14:paraId="5A97051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-38.1</w:t>
            </w:r>
          </w:p>
        </w:tc>
      </w:tr>
      <w:tr w14:paraId="4DCBAF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7" w:hRule="atLeast"/>
          <w:jc w:val="center"/>
        </w:trPr>
        <w:tc>
          <w:tcPr>
            <w:tcW w:w="5316" w:type="dxa"/>
            <w:gridSpan w:val="2"/>
            <w:vAlign w:val="center"/>
          </w:tcPr>
          <w:p w14:paraId="28F73E6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土地利用类型</w:t>
            </w:r>
          </w:p>
        </w:tc>
        <w:tc>
          <w:tcPr>
            <w:tcW w:w="2559" w:type="dxa"/>
            <w:vAlign w:val="center"/>
          </w:tcPr>
          <w:p w14:paraId="6825C9B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城市</w:t>
            </w:r>
          </w:p>
        </w:tc>
      </w:tr>
      <w:tr w14:paraId="215637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0" w:hRule="atLeast"/>
          <w:jc w:val="center"/>
        </w:trPr>
        <w:tc>
          <w:tcPr>
            <w:tcW w:w="5316" w:type="dxa"/>
            <w:gridSpan w:val="2"/>
            <w:vAlign w:val="center"/>
          </w:tcPr>
          <w:p w14:paraId="1F29431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区域湿度条件</w:t>
            </w:r>
          </w:p>
        </w:tc>
        <w:tc>
          <w:tcPr>
            <w:tcW w:w="2559" w:type="dxa"/>
            <w:vAlign w:val="center"/>
          </w:tcPr>
          <w:p w14:paraId="0208A72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中等湿度</w:t>
            </w:r>
          </w:p>
        </w:tc>
      </w:tr>
      <w:tr w14:paraId="1AF552B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743" w:type="dxa"/>
            <w:vMerge w:val="restart"/>
            <w:vAlign w:val="center"/>
          </w:tcPr>
          <w:p w14:paraId="5CE2895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是否考虑地形</w:t>
            </w:r>
          </w:p>
        </w:tc>
        <w:tc>
          <w:tcPr>
            <w:tcW w:w="3573" w:type="dxa"/>
            <w:vAlign w:val="center"/>
          </w:tcPr>
          <w:p w14:paraId="25CD465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考虑地形</w:t>
            </w:r>
          </w:p>
        </w:tc>
        <w:tc>
          <w:tcPr>
            <w:tcW w:w="2559" w:type="dxa"/>
            <w:vAlign w:val="center"/>
          </w:tcPr>
          <w:p w14:paraId="6709689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是</w:t>
            </w:r>
          </w:p>
        </w:tc>
      </w:tr>
      <w:tr w14:paraId="7FBD6B0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743" w:type="dxa"/>
            <w:vMerge w:val="continue"/>
            <w:vAlign w:val="center"/>
          </w:tcPr>
          <w:p w14:paraId="03D71A7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p>
        </w:tc>
        <w:tc>
          <w:tcPr>
            <w:tcW w:w="3573" w:type="dxa"/>
            <w:vAlign w:val="center"/>
          </w:tcPr>
          <w:p w14:paraId="01A659D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地形数据分辨率/m</w:t>
            </w:r>
          </w:p>
        </w:tc>
        <w:tc>
          <w:tcPr>
            <w:tcW w:w="2559" w:type="dxa"/>
            <w:vAlign w:val="center"/>
          </w:tcPr>
          <w:p w14:paraId="64BBF62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90</w:t>
            </w:r>
          </w:p>
        </w:tc>
      </w:tr>
      <w:tr w14:paraId="1D337E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8" w:hRule="atLeast"/>
          <w:jc w:val="center"/>
        </w:trPr>
        <w:tc>
          <w:tcPr>
            <w:tcW w:w="1743" w:type="dxa"/>
            <w:vMerge w:val="restart"/>
            <w:vAlign w:val="center"/>
          </w:tcPr>
          <w:p w14:paraId="25601F2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是否考虑岸线熏烟</w:t>
            </w:r>
          </w:p>
        </w:tc>
        <w:tc>
          <w:tcPr>
            <w:tcW w:w="3573" w:type="dxa"/>
            <w:vAlign w:val="center"/>
          </w:tcPr>
          <w:p w14:paraId="7FAEFFB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考虑岸线熏烟</w:t>
            </w:r>
          </w:p>
        </w:tc>
        <w:tc>
          <w:tcPr>
            <w:tcW w:w="2559" w:type="dxa"/>
            <w:vAlign w:val="center"/>
          </w:tcPr>
          <w:p w14:paraId="15BB277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否</w:t>
            </w:r>
          </w:p>
        </w:tc>
      </w:tr>
      <w:tr w14:paraId="016C58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0" w:hRule="atLeast"/>
          <w:jc w:val="center"/>
        </w:trPr>
        <w:tc>
          <w:tcPr>
            <w:tcW w:w="1743" w:type="dxa"/>
            <w:vMerge w:val="continue"/>
            <w:vAlign w:val="center"/>
          </w:tcPr>
          <w:p w14:paraId="03370F0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p>
        </w:tc>
        <w:tc>
          <w:tcPr>
            <w:tcW w:w="3573" w:type="dxa"/>
            <w:vAlign w:val="center"/>
          </w:tcPr>
          <w:p w14:paraId="0E3A26D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岸线距离/km</w:t>
            </w:r>
          </w:p>
        </w:tc>
        <w:tc>
          <w:tcPr>
            <w:tcW w:w="2559" w:type="dxa"/>
            <w:vAlign w:val="center"/>
          </w:tcPr>
          <w:p w14:paraId="5D3EA60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w:t>
            </w:r>
          </w:p>
        </w:tc>
      </w:tr>
      <w:tr w14:paraId="45AA821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4" w:hRule="atLeast"/>
          <w:jc w:val="center"/>
        </w:trPr>
        <w:tc>
          <w:tcPr>
            <w:tcW w:w="1743" w:type="dxa"/>
            <w:vMerge w:val="continue"/>
            <w:vAlign w:val="center"/>
          </w:tcPr>
          <w:p w14:paraId="7BCB042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p>
        </w:tc>
        <w:tc>
          <w:tcPr>
            <w:tcW w:w="3573" w:type="dxa"/>
            <w:vAlign w:val="center"/>
          </w:tcPr>
          <w:p w14:paraId="66BA14C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岸线方向/°</w:t>
            </w:r>
          </w:p>
        </w:tc>
        <w:tc>
          <w:tcPr>
            <w:tcW w:w="2559" w:type="dxa"/>
            <w:vAlign w:val="center"/>
          </w:tcPr>
          <w:p w14:paraId="18A0B36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Cs/>
                <w:kern w:val="0"/>
                <w:sz w:val="21"/>
                <w:szCs w:val="21"/>
                <w:highlight w:val="yellow"/>
              </w:rPr>
            </w:pPr>
            <w:r>
              <w:rPr>
                <w:rFonts w:hint="eastAsia"/>
                <w:bCs/>
                <w:kern w:val="0"/>
                <w:sz w:val="21"/>
                <w:szCs w:val="21"/>
                <w:highlight w:val="yellow"/>
              </w:rPr>
              <w:t>/</w:t>
            </w:r>
          </w:p>
        </w:tc>
      </w:tr>
    </w:tbl>
    <w:p w14:paraId="0FD745AB">
      <w:pPr>
        <w:pStyle w:val="733"/>
        <w:pageBreakBefore w:val="0"/>
        <w:kinsoku/>
        <w:overflowPunct/>
        <w:topLinePunct w:val="0"/>
        <w:bidi w:val="0"/>
        <w:adjustRightInd/>
        <w:spacing w:line="360" w:lineRule="auto"/>
        <w:jc w:val="both"/>
        <w:outlineLvl w:val="9"/>
        <w:rPr>
          <w:rFonts w:ascii="Times New Roman" w:cs="Times New Roman" w:hAnsiTheme="minorEastAsia" w:eastAsiaTheme="minorEastAsia"/>
          <w:bCs/>
          <w:color w:val="auto"/>
          <w:highlight w:val="yellow"/>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p>
    <w:p w14:paraId="227EA060">
      <w:pPr>
        <w:pStyle w:val="7"/>
        <w:bidi w:val="0"/>
        <w:rPr>
          <w:highlight w:val="yellow"/>
        </w:rPr>
      </w:pPr>
      <w:r>
        <w:rPr>
          <w:sz w:val="24"/>
        </w:rPr>
        <mc:AlternateContent>
          <mc:Choice Requires="wps">
            <w:drawing>
              <wp:anchor distT="0" distB="0" distL="114300" distR="114300" simplePos="0" relativeHeight="251697152" behindDoc="0" locked="0" layoutInCell="1" allowOverlap="1">
                <wp:simplePos x="0" y="0"/>
                <wp:positionH relativeFrom="column">
                  <wp:posOffset>-634365</wp:posOffset>
                </wp:positionH>
                <wp:positionV relativeFrom="paragraph">
                  <wp:posOffset>-172720</wp:posOffset>
                </wp:positionV>
                <wp:extent cx="9563100" cy="3486150"/>
                <wp:effectExtent l="12700" t="0" r="25400" b="25400"/>
                <wp:wrapNone/>
                <wp:docPr id="56" name="矩形 56"/>
                <wp:cNvGraphicFramePr/>
                <a:graphic xmlns:a="http://schemas.openxmlformats.org/drawingml/2006/main">
                  <a:graphicData uri="http://schemas.microsoft.com/office/word/2010/wordprocessingShape">
                    <wps:wsp>
                      <wps:cNvSpPr/>
                      <wps:spPr>
                        <a:xfrm>
                          <a:off x="0" y="0"/>
                          <a:ext cx="9563100" cy="3486150"/>
                        </a:xfrm>
                        <a:prstGeom prst="rect">
                          <a:avLst/>
                        </a:prstGeom>
                        <a:solidFill>
                          <a:schemeClr val="bg1"/>
                        </a:solidFill>
                        <a:ln>
                          <a:solidFill>
                            <a:srgbClr val="000000">
                              <a:alpha val="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95pt;margin-top:-13.6pt;height:274.5pt;width:753pt;z-index:251697152;v-text-anchor:middle;mso-width-relative:page;mso-height-relative:page;" fillcolor="#FFFFFF [3212]" filled="t" stroked="t" coordsize="21600,21600" o:gfxdata="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2ab5T3AAAAAwBAAAPAAAAAAAAAAEAIAAAACIAAABkcnMv&#10;ZG93bnJldi54bWxQSwECFAAUAAAACACHTuJArXBsAHECAAD9BAAADgAAAAAAAAABACAAAAArAQAA&#10;ZHJzL2Uyb0RvYy54bWxQSwUGAAAAAAYABgBZAQAADgYAAAAA&#10;">
                <v:fill on="t" focussize="0,0"/>
                <v:stroke weight="2pt" color="#000000 [2404]" opacity="0f" joinstyle="round"/>
                <v:imagedata o:title=""/>
                <o:lock v:ext="edit" aspectratio="f"/>
              </v:rect>
            </w:pict>
          </mc:Fallback>
        </mc:AlternateContent>
      </w:r>
      <w:r>
        <w:rPr>
          <w:highlight w:val="yellow"/>
        </w:rPr>
        <w:t>表2-4-</w:t>
      </w:r>
      <w:r>
        <w:rPr>
          <w:rFonts w:hint="eastAsia"/>
          <w:highlight w:val="yellow"/>
          <w:lang w:val="en-US" w:eastAsia="zh-CN"/>
        </w:rPr>
        <w:t>4</w:t>
      </w:r>
      <w:r>
        <w:rPr>
          <w:highlight w:val="yellow"/>
        </w:rPr>
        <w:t>主要废气污染源参数一览表（点源）</w:t>
      </w:r>
    </w:p>
    <w:tbl>
      <w:tblPr>
        <w:tblStyle w:val="44"/>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91"/>
        <w:gridCol w:w="1139"/>
        <w:gridCol w:w="1054"/>
        <w:gridCol w:w="1161"/>
        <w:gridCol w:w="1276"/>
        <w:gridCol w:w="847"/>
        <w:gridCol w:w="1133"/>
        <w:gridCol w:w="1133"/>
        <w:gridCol w:w="850"/>
        <w:gridCol w:w="990"/>
        <w:gridCol w:w="704"/>
        <w:gridCol w:w="1077"/>
        <w:gridCol w:w="1077"/>
        <w:gridCol w:w="1082"/>
      </w:tblGrid>
      <w:tr w14:paraId="28C6B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175" w:type="pct"/>
            <w:vMerge w:val="restart"/>
            <w:vAlign w:val="center"/>
          </w:tcPr>
          <w:p w14:paraId="211A941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编号</w:t>
            </w:r>
          </w:p>
        </w:tc>
        <w:tc>
          <w:tcPr>
            <w:tcW w:w="406" w:type="pct"/>
            <w:vMerge w:val="restart"/>
            <w:vAlign w:val="center"/>
          </w:tcPr>
          <w:p w14:paraId="4818DD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名称</w:t>
            </w:r>
          </w:p>
        </w:tc>
        <w:tc>
          <w:tcPr>
            <w:tcW w:w="790" w:type="pct"/>
            <w:gridSpan w:val="2"/>
            <w:vAlign w:val="center"/>
          </w:tcPr>
          <w:p w14:paraId="59246FF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排气筒底部中心坐标（</w:t>
            </w:r>
            <w:r>
              <w:rPr>
                <w:rFonts w:hint="default" w:eastAsiaTheme="minorEastAsia"/>
                <w:sz w:val="21"/>
                <w:szCs w:val="21"/>
                <w:highlight w:val="yellow"/>
                <w:vertAlign w:val="superscript"/>
              </w:rPr>
              <w:t>o</w:t>
            </w:r>
            <w:r>
              <w:rPr>
                <w:rFonts w:hint="default" w:hAnsiTheme="minorEastAsia" w:eastAsiaTheme="minorEastAsia"/>
                <w:sz w:val="21"/>
                <w:szCs w:val="21"/>
                <w:highlight w:val="yellow"/>
              </w:rPr>
              <w:t>）</w:t>
            </w:r>
          </w:p>
        </w:tc>
        <w:tc>
          <w:tcPr>
            <w:tcW w:w="455" w:type="pct"/>
            <w:vMerge w:val="restart"/>
            <w:vAlign w:val="center"/>
          </w:tcPr>
          <w:p w14:paraId="1CF0B9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排气筒底部海拔高度（</w:t>
            </w:r>
            <w:r>
              <w:rPr>
                <w:rFonts w:hint="default" w:eastAsiaTheme="minorEastAsia"/>
                <w:sz w:val="21"/>
                <w:szCs w:val="21"/>
                <w:highlight w:val="yellow"/>
              </w:rPr>
              <w:t>m</w:t>
            </w:r>
            <w:r>
              <w:rPr>
                <w:rFonts w:hint="default" w:hAnsiTheme="minorEastAsia" w:eastAsiaTheme="minorEastAsia"/>
                <w:sz w:val="21"/>
                <w:szCs w:val="21"/>
                <w:highlight w:val="yellow"/>
              </w:rPr>
              <w:t>）</w:t>
            </w:r>
          </w:p>
        </w:tc>
        <w:tc>
          <w:tcPr>
            <w:tcW w:w="302" w:type="pct"/>
            <w:vMerge w:val="restart"/>
            <w:vAlign w:val="center"/>
          </w:tcPr>
          <w:p w14:paraId="01A233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排气筒高度（</w:t>
            </w:r>
            <w:r>
              <w:rPr>
                <w:rFonts w:hint="default" w:eastAsiaTheme="minorEastAsia"/>
                <w:sz w:val="21"/>
                <w:szCs w:val="21"/>
                <w:highlight w:val="yellow"/>
              </w:rPr>
              <w:t>m</w:t>
            </w:r>
            <w:r>
              <w:rPr>
                <w:rFonts w:hint="default" w:hAnsiTheme="minorEastAsia" w:eastAsiaTheme="minorEastAsia"/>
                <w:sz w:val="21"/>
                <w:szCs w:val="21"/>
                <w:highlight w:val="yellow"/>
              </w:rPr>
              <w:t>）</w:t>
            </w:r>
          </w:p>
        </w:tc>
        <w:tc>
          <w:tcPr>
            <w:tcW w:w="404" w:type="pct"/>
            <w:vMerge w:val="restart"/>
            <w:vAlign w:val="center"/>
          </w:tcPr>
          <w:p w14:paraId="7750772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排气筒出口内径（</w:t>
            </w:r>
            <w:r>
              <w:rPr>
                <w:rFonts w:hint="default" w:eastAsiaTheme="minorEastAsia"/>
                <w:sz w:val="21"/>
                <w:szCs w:val="21"/>
                <w:highlight w:val="yellow"/>
              </w:rPr>
              <w:t>m</w:t>
            </w:r>
            <w:r>
              <w:rPr>
                <w:rFonts w:hint="default" w:hAnsiTheme="minorEastAsia" w:eastAsiaTheme="minorEastAsia"/>
                <w:sz w:val="21"/>
                <w:szCs w:val="21"/>
                <w:highlight w:val="yellow"/>
              </w:rPr>
              <w:t>）</w:t>
            </w:r>
          </w:p>
        </w:tc>
        <w:tc>
          <w:tcPr>
            <w:tcW w:w="404" w:type="pct"/>
            <w:vMerge w:val="restart"/>
            <w:vAlign w:val="center"/>
          </w:tcPr>
          <w:p w14:paraId="7D5AE8D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烟气</w:t>
            </w:r>
          </w:p>
          <w:p w14:paraId="628DD6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流速（</w:t>
            </w:r>
            <w:r>
              <w:rPr>
                <w:rFonts w:hint="default" w:eastAsiaTheme="minorEastAsia"/>
                <w:sz w:val="21"/>
                <w:szCs w:val="21"/>
                <w:highlight w:val="yellow"/>
              </w:rPr>
              <w:t>m/s</w:t>
            </w:r>
            <w:r>
              <w:rPr>
                <w:rFonts w:hint="default" w:hAnsiTheme="minorEastAsia" w:eastAsiaTheme="minorEastAsia"/>
                <w:sz w:val="21"/>
                <w:szCs w:val="21"/>
                <w:highlight w:val="yellow"/>
              </w:rPr>
              <w:t>）</w:t>
            </w:r>
          </w:p>
        </w:tc>
        <w:tc>
          <w:tcPr>
            <w:tcW w:w="303" w:type="pct"/>
            <w:vMerge w:val="restart"/>
            <w:vAlign w:val="center"/>
          </w:tcPr>
          <w:p w14:paraId="20D1BC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烟气温度</w:t>
            </w:r>
          </w:p>
          <w:p w14:paraId="2DEB0C8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eastAsiaTheme="minorEastAsia"/>
                <w:sz w:val="21"/>
                <w:szCs w:val="21"/>
                <w:highlight w:val="yellow"/>
              </w:rPr>
              <w:t>(℃)</w:t>
            </w:r>
          </w:p>
        </w:tc>
        <w:tc>
          <w:tcPr>
            <w:tcW w:w="353" w:type="pct"/>
            <w:vMerge w:val="restart"/>
            <w:vAlign w:val="center"/>
          </w:tcPr>
          <w:p w14:paraId="282F86E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年排放小时数（</w:t>
            </w:r>
            <w:r>
              <w:rPr>
                <w:rFonts w:hint="default" w:eastAsiaTheme="minorEastAsia"/>
                <w:sz w:val="21"/>
                <w:szCs w:val="21"/>
                <w:highlight w:val="yellow"/>
              </w:rPr>
              <w:t>h</w:t>
            </w:r>
            <w:r>
              <w:rPr>
                <w:rFonts w:hint="default" w:hAnsiTheme="minorEastAsia" w:eastAsiaTheme="minorEastAsia"/>
                <w:sz w:val="21"/>
                <w:szCs w:val="21"/>
                <w:highlight w:val="yellow"/>
              </w:rPr>
              <w:t>）</w:t>
            </w:r>
          </w:p>
        </w:tc>
        <w:tc>
          <w:tcPr>
            <w:tcW w:w="251" w:type="pct"/>
            <w:vMerge w:val="restart"/>
            <w:vAlign w:val="center"/>
          </w:tcPr>
          <w:p w14:paraId="206FD02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排放工况</w:t>
            </w:r>
          </w:p>
        </w:tc>
        <w:tc>
          <w:tcPr>
            <w:tcW w:w="1154" w:type="pct"/>
            <w:gridSpan w:val="3"/>
            <w:vMerge w:val="restart"/>
            <w:vAlign w:val="center"/>
          </w:tcPr>
          <w:p w14:paraId="06E7A74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污染物排放速率（</w:t>
            </w:r>
            <w:r>
              <w:rPr>
                <w:rFonts w:hint="default" w:eastAsiaTheme="minorEastAsia"/>
                <w:sz w:val="21"/>
                <w:szCs w:val="21"/>
                <w:highlight w:val="yellow"/>
              </w:rPr>
              <w:t>kg/h</w:t>
            </w:r>
            <w:r>
              <w:rPr>
                <w:rFonts w:hint="default" w:hAnsiTheme="minorEastAsia" w:eastAsiaTheme="minorEastAsia"/>
                <w:sz w:val="21"/>
                <w:szCs w:val="21"/>
                <w:highlight w:val="yellow"/>
              </w:rPr>
              <w:t>）</w:t>
            </w:r>
          </w:p>
        </w:tc>
      </w:tr>
      <w:tr w14:paraId="51B75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2" w:hRule="atLeast"/>
        </w:trPr>
        <w:tc>
          <w:tcPr>
            <w:tcW w:w="175" w:type="pct"/>
            <w:vMerge w:val="continue"/>
            <w:vAlign w:val="center"/>
          </w:tcPr>
          <w:p w14:paraId="4256E61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406" w:type="pct"/>
            <w:vMerge w:val="continue"/>
            <w:vAlign w:val="center"/>
          </w:tcPr>
          <w:p w14:paraId="25DD60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376" w:type="pct"/>
            <w:vMerge w:val="restart"/>
            <w:vAlign w:val="center"/>
          </w:tcPr>
          <w:p w14:paraId="14BB758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经度</w:t>
            </w:r>
          </w:p>
        </w:tc>
        <w:tc>
          <w:tcPr>
            <w:tcW w:w="414" w:type="pct"/>
            <w:vMerge w:val="restart"/>
            <w:vAlign w:val="center"/>
          </w:tcPr>
          <w:p w14:paraId="599590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纬度</w:t>
            </w:r>
          </w:p>
        </w:tc>
        <w:tc>
          <w:tcPr>
            <w:tcW w:w="455" w:type="pct"/>
            <w:vMerge w:val="continue"/>
            <w:vAlign w:val="center"/>
          </w:tcPr>
          <w:p w14:paraId="468F8E0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302" w:type="pct"/>
            <w:vMerge w:val="continue"/>
            <w:vAlign w:val="center"/>
          </w:tcPr>
          <w:p w14:paraId="768C46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404" w:type="pct"/>
            <w:vMerge w:val="continue"/>
            <w:vAlign w:val="center"/>
          </w:tcPr>
          <w:p w14:paraId="0C55CB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404" w:type="pct"/>
            <w:vMerge w:val="continue"/>
            <w:vAlign w:val="center"/>
          </w:tcPr>
          <w:p w14:paraId="640320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303" w:type="pct"/>
            <w:vMerge w:val="continue"/>
            <w:vAlign w:val="center"/>
          </w:tcPr>
          <w:p w14:paraId="566028D4">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353" w:type="pct"/>
            <w:vMerge w:val="continue"/>
            <w:vAlign w:val="center"/>
          </w:tcPr>
          <w:p w14:paraId="737A71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251" w:type="pct"/>
            <w:vMerge w:val="continue"/>
            <w:vAlign w:val="center"/>
          </w:tcPr>
          <w:p w14:paraId="3176353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1154" w:type="pct"/>
            <w:gridSpan w:val="3"/>
            <w:vMerge w:val="continue"/>
            <w:vAlign w:val="center"/>
          </w:tcPr>
          <w:p w14:paraId="363D2B6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r>
      <w:tr w14:paraId="6D143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 w:hRule="atLeast"/>
        </w:trPr>
        <w:tc>
          <w:tcPr>
            <w:tcW w:w="175" w:type="pct"/>
            <w:vMerge w:val="continue"/>
            <w:vAlign w:val="center"/>
          </w:tcPr>
          <w:p w14:paraId="1F4E26D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406" w:type="pct"/>
            <w:vMerge w:val="continue"/>
            <w:vAlign w:val="center"/>
          </w:tcPr>
          <w:p w14:paraId="1A5F661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376" w:type="pct"/>
            <w:vMerge w:val="continue"/>
            <w:vAlign w:val="center"/>
          </w:tcPr>
          <w:p w14:paraId="0A7A56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414" w:type="pct"/>
            <w:vMerge w:val="continue"/>
            <w:vAlign w:val="center"/>
          </w:tcPr>
          <w:p w14:paraId="13E1B8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455" w:type="pct"/>
            <w:vMerge w:val="continue"/>
            <w:vAlign w:val="center"/>
          </w:tcPr>
          <w:p w14:paraId="3244EF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302" w:type="pct"/>
            <w:vMerge w:val="continue"/>
            <w:vAlign w:val="center"/>
          </w:tcPr>
          <w:p w14:paraId="232917B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404" w:type="pct"/>
            <w:vMerge w:val="continue"/>
            <w:vAlign w:val="center"/>
          </w:tcPr>
          <w:p w14:paraId="75BF217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404" w:type="pct"/>
            <w:vMerge w:val="continue"/>
            <w:vAlign w:val="center"/>
          </w:tcPr>
          <w:p w14:paraId="2B8CF6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303" w:type="pct"/>
            <w:vMerge w:val="continue"/>
            <w:vAlign w:val="center"/>
          </w:tcPr>
          <w:p w14:paraId="1F5B87AE">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353" w:type="pct"/>
            <w:vMerge w:val="continue"/>
            <w:vAlign w:val="center"/>
          </w:tcPr>
          <w:p w14:paraId="25199D7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251" w:type="pct"/>
            <w:vMerge w:val="continue"/>
            <w:vAlign w:val="center"/>
          </w:tcPr>
          <w:p w14:paraId="5A0F3C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p>
        </w:tc>
        <w:tc>
          <w:tcPr>
            <w:tcW w:w="384" w:type="pct"/>
            <w:vAlign w:val="center"/>
          </w:tcPr>
          <w:p w14:paraId="5CFBDF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eastAsiaTheme="minorEastAsia"/>
                <w:sz w:val="21"/>
                <w:szCs w:val="21"/>
                <w:highlight w:val="yellow"/>
              </w:rPr>
              <w:t>NMHC</w:t>
            </w:r>
          </w:p>
        </w:tc>
        <w:tc>
          <w:tcPr>
            <w:tcW w:w="384" w:type="pct"/>
            <w:vAlign w:val="center"/>
          </w:tcPr>
          <w:p w14:paraId="49D73A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eastAsia" w:eastAsiaTheme="minorEastAsia"/>
                <w:sz w:val="21"/>
                <w:szCs w:val="21"/>
                <w:highlight w:val="yellow"/>
              </w:rPr>
              <w:t>NO</w:t>
            </w:r>
            <w:r>
              <w:rPr>
                <w:rFonts w:hint="eastAsia" w:eastAsiaTheme="minorEastAsia"/>
                <w:sz w:val="21"/>
                <w:szCs w:val="21"/>
                <w:highlight w:val="yellow"/>
                <w:vertAlign w:val="subscript"/>
              </w:rPr>
              <w:t>X</w:t>
            </w:r>
          </w:p>
        </w:tc>
        <w:tc>
          <w:tcPr>
            <w:tcW w:w="385" w:type="pct"/>
            <w:vAlign w:val="center"/>
          </w:tcPr>
          <w:p w14:paraId="0C1C25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eastAsia" w:eastAsiaTheme="minorEastAsia"/>
                <w:sz w:val="21"/>
                <w:szCs w:val="21"/>
                <w:highlight w:val="yellow"/>
              </w:rPr>
              <w:t>PM</w:t>
            </w:r>
            <w:r>
              <w:rPr>
                <w:rFonts w:hint="eastAsia" w:eastAsiaTheme="minorEastAsia"/>
                <w:sz w:val="21"/>
                <w:szCs w:val="21"/>
                <w:highlight w:val="yellow"/>
                <w:vertAlign w:val="subscript"/>
              </w:rPr>
              <w:t>10</w:t>
            </w:r>
          </w:p>
        </w:tc>
      </w:tr>
      <w:tr w14:paraId="06B8C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7" w:hRule="atLeast"/>
        </w:trPr>
        <w:tc>
          <w:tcPr>
            <w:tcW w:w="175" w:type="pct"/>
            <w:vAlign w:val="center"/>
          </w:tcPr>
          <w:p w14:paraId="6E670D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Cs/>
                <w:sz w:val="21"/>
                <w:szCs w:val="21"/>
                <w:highlight w:val="yellow"/>
              </w:rPr>
            </w:pPr>
            <w:r>
              <w:rPr>
                <w:rFonts w:hint="default" w:eastAsiaTheme="minorEastAsia"/>
                <w:bCs/>
                <w:sz w:val="21"/>
                <w:szCs w:val="21"/>
                <w:highlight w:val="yellow"/>
              </w:rPr>
              <w:t>1</w:t>
            </w:r>
          </w:p>
        </w:tc>
        <w:tc>
          <w:tcPr>
            <w:tcW w:w="406" w:type="pct"/>
            <w:vAlign w:val="center"/>
          </w:tcPr>
          <w:p w14:paraId="5AA4AF3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Cs/>
                <w:sz w:val="21"/>
                <w:szCs w:val="21"/>
                <w:highlight w:val="yellow"/>
              </w:rPr>
            </w:pPr>
            <w:r>
              <w:rPr>
                <w:rFonts w:hint="default" w:hAnsiTheme="minorEastAsia" w:eastAsiaTheme="minorEastAsia"/>
                <w:bCs/>
                <w:sz w:val="21"/>
                <w:szCs w:val="21"/>
                <w:highlight w:val="yellow"/>
              </w:rPr>
              <w:t>热试验</w:t>
            </w:r>
            <w:r>
              <w:rPr>
                <w:rFonts w:hint="eastAsia" w:hAnsiTheme="minorEastAsia" w:eastAsiaTheme="minorEastAsia"/>
                <w:bCs/>
                <w:sz w:val="21"/>
                <w:szCs w:val="21"/>
                <w:highlight w:val="yellow"/>
                <w:lang w:eastAsia="zh-CN"/>
              </w:rPr>
              <w:t>DA068</w:t>
            </w:r>
            <w:r>
              <w:rPr>
                <w:rFonts w:hint="eastAsia" w:hAnsiTheme="minorEastAsia" w:eastAsiaTheme="minorEastAsia"/>
                <w:bCs/>
                <w:sz w:val="21"/>
                <w:szCs w:val="21"/>
                <w:highlight w:val="yellow"/>
              </w:rPr>
              <w:t>排气筒</w:t>
            </w:r>
          </w:p>
        </w:tc>
        <w:tc>
          <w:tcPr>
            <w:tcW w:w="376" w:type="pct"/>
            <w:vAlign w:val="center"/>
          </w:tcPr>
          <w:p w14:paraId="4FCFF6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eastAsia" w:eastAsiaTheme="minorEastAsia"/>
                <w:sz w:val="21"/>
                <w:szCs w:val="21"/>
                <w:highlight w:val="yellow"/>
              </w:rPr>
              <w:t>126.659182764</w:t>
            </w:r>
          </w:p>
        </w:tc>
        <w:tc>
          <w:tcPr>
            <w:tcW w:w="414" w:type="pct"/>
            <w:vAlign w:val="center"/>
          </w:tcPr>
          <w:p w14:paraId="4F10C23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eastAsia" w:eastAsiaTheme="minorEastAsia"/>
                <w:sz w:val="21"/>
                <w:szCs w:val="21"/>
                <w:highlight w:val="yellow"/>
              </w:rPr>
              <w:t>45.607676418</w:t>
            </w:r>
          </w:p>
        </w:tc>
        <w:tc>
          <w:tcPr>
            <w:tcW w:w="455" w:type="pct"/>
            <w:vAlign w:val="center"/>
          </w:tcPr>
          <w:p w14:paraId="04FE184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181</w:t>
            </w:r>
          </w:p>
        </w:tc>
        <w:tc>
          <w:tcPr>
            <w:tcW w:w="302" w:type="pct"/>
            <w:vAlign w:val="center"/>
          </w:tcPr>
          <w:p w14:paraId="528A44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23</w:t>
            </w:r>
          </w:p>
        </w:tc>
        <w:tc>
          <w:tcPr>
            <w:tcW w:w="404" w:type="pct"/>
            <w:vAlign w:val="center"/>
          </w:tcPr>
          <w:p w14:paraId="0A270C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sz w:val="21"/>
                <w:szCs w:val="21"/>
                <w:highlight w:val="yellow"/>
                <w:lang w:eastAsia="zh-CN"/>
              </w:rPr>
            </w:pPr>
            <w:r>
              <w:rPr>
                <w:rFonts w:hint="default" w:eastAsiaTheme="minorEastAsia"/>
                <w:sz w:val="21"/>
                <w:szCs w:val="21"/>
                <w:highlight w:val="yellow"/>
              </w:rPr>
              <w:t>0.</w:t>
            </w:r>
            <w:r>
              <w:rPr>
                <w:rFonts w:hint="eastAsia" w:eastAsiaTheme="minorEastAsia"/>
                <w:sz w:val="21"/>
                <w:szCs w:val="21"/>
                <w:highlight w:val="yellow"/>
                <w:lang w:val="en-US" w:eastAsia="zh-CN"/>
              </w:rPr>
              <w:t>8</w:t>
            </w:r>
          </w:p>
        </w:tc>
        <w:tc>
          <w:tcPr>
            <w:tcW w:w="404" w:type="pct"/>
            <w:vAlign w:val="center"/>
          </w:tcPr>
          <w:p w14:paraId="1F348FE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16.85</w:t>
            </w:r>
          </w:p>
        </w:tc>
        <w:tc>
          <w:tcPr>
            <w:tcW w:w="303" w:type="pct"/>
            <w:vAlign w:val="center"/>
          </w:tcPr>
          <w:p w14:paraId="7617CB8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22.7</w:t>
            </w:r>
          </w:p>
        </w:tc>
        <w:tc>
          <w:tcPr>
            <w:tcW w:w="353" w:type="pct"/>
            <w:vAlign w:val="center"/>
          </w:tcPr>
          <w:p w14:paraId="1D3E66E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2916.7</w:t>
            </w:r>
          </w:p>
        </w:tc>
        <w:tc>
          <w:tcPr>
            <w:tcW w:w="251" w:type="pct"/>
            <w:vMerge w:val="restart"/>
            <w:vAlign w:val="center"/>
          </w:tcPr>
          <w:p w14:paraId="5ACCFB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default" w:hAnsiTheme="minorEastAsia" w:eastAsiaTheme="minorEastAsia"/>
                <w:sz w:val="21"/>
                <w:szCs w:val="21"/>
                <w:highlight w:val="yellow"/>
              </w:rPr>
              <w:t>正常排放工况</w:t>
            </w:r>
          </w:p>
        </w:tc>
        <w:tc>
          <w:tcPr>
            <w:tcW w:w="384" w:type="pct"/>
            <w:vAlign w:val="center"/>
          </w:tcPr>
          <w:p w14:paraId="571DA3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0.02</w:t>
            </w:r>
          </w:p>
        </w:tc>
        <w:tc>
          <w:tcPr>
            <w:tcW w:w="384" w:type="pct"/>
            <w:vAlign w:val="center"/>
          </w:tcPr>
          <w:p w14:paraId="4CCB796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0.23</w:t>
            </w:r>
          </w:p>
        </w:tc>
        <w:tc>
          <w:tcPr>
            <w:tcW w:w="385" w:type="pct"/>
            <w:vAlign w:val="center"/>
          </w:tcPr>
          <w:p w14:paraId="3AE7F1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w:t>
            </w:r>
          </w:p>
        </w:tc>
      </w:tr>
      <w:tr w14:paraId="4ADA8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7" w:hRule="atLeast"/>
        </w:trPr>
        <w:tc>
          <w:tcPr>
            <w:tcW w:w="175" w:type="pct"/>
            <w:vAlign w:val="center"/>
          </w:tcPr>
          <w:p w14:paraId="56B200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Cs/>
                <w:sz w:val="21"/>
                <w:szCs w:val="21"/>
                <w:highlight w:val="yellow"/>
              </w:rPr>
            </w:pPr>
            <w:r>
              <w:rPr>
                <w:rFonts w:hint="eastAsia" w:eastAsiaTheme="minorEastAsia"/>
                <w:bCs/>
                <w:sz w:val="21"/>
                <w:szCs w:val="21"/>
                <w:highlight w:val="yellow"/>
              </w:rPr>
              <w:t>2</w:t>
            </w:r>
          </w:p>
        </w:tc>
        <w:tc>
          <w:tcPr>
            <w:tcW w:w="406" w:type="pct"/>
            <w:vAlign w:val="center"/>
          </w:tcPr>
          <w:p w14:paraId="07E794B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sz w:val="21"/>
                <w:szCs w:val="21"/>
                <w:highlight w:val="yellow"/>
              </w:rPr>
            </w:pPr>
            <w:r>
              <w:rPr>
                <w:rFonts w:hint="default" w:hAnsiTheme="minorEastAsia" w:eastAsiaTheme="minorEastAsia"/>
                <w:bCs/>
                <w:sz w:val="21"/>
                <w:szCs w:val="21"/>
                <w:highlight w:val="yellow"/>
              </w:rPr>
              <w:t>机加生产线</w:t>
            </w:r>
            <w:r>
              <w:rPr>
                <w:rFonts w:hint="default" w:eastAsiaTheme="minorEastAsia"/>
                <w:bCs/>
                <w:sz w:val="21"/>
                <w:szCs w:val="21"/>
                <w:highlight w:val="yellow"/>
              </w:rPr>
              <w:t>DA0</w:t>
            </w:r>
            <w:r>
              <w:rPr>
                <w:rFonts w:hint="eastAsia" w:eastAsiaTheme="minorEastAsia"/>
                <w:bCs/>
                <w:sz w:val="21"/>
                <w:szCs w:val="21"/>
                <w:highlight w:val="yellow"/>
                <w:lang w:val="en-US" w:eastAsia="zh-CN"/>
              </w:rPr>
              <w:t>65</w:t>
            </w:r>
            <w:r>
              <w:rPr>
                <w:rFonts w:hint="default" w:hAnsiTheme="minorEastAsia" w:eastAsiaTheme="minorEastAsia"/>
                <w:bCs/>
                <w:sz w:val="21"/>
                <w:szCs w:val="21"/>
                <w:highlight w:val="yellow"/>
              </w:rPr>
              <w:t>排气筒</w:t>
            </w:r>
          </w:p>
        </w:tc>
        <w:tc>
          <w:tcPr>
            <w:tcW w:w="376" w:type="pct"/>
            <w:shd w:val="clear" w:color="auto" w:fill="auto"/>
            <w:vAlign w:val="center"/>
          </w:tcPr>
          <w:p w14:paraId="4059C51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eastAsia" w:eastAsiaTheme="minorEastAsia"/>
                <w:sz w:val="21"/>
                <w:szCs w:val="21"/>
                <w:highlight w:val="yellow"/>
              </w:rPr>
              <w:t>126.655921198</w:t>
            </w:r>
          </w:p>
        </w:tc>
        <w:tc>
          <w:tcPr>
            <w:tcW w:w="414" w:type="pct"/>
            <w:shd w:val="clear" w:color="auto" w:fill="auto"/>
            <w:vAlign w:val="center"/>
          </w:tcPr>
          <w:p w14:paraId="59C64A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eastAsia" w:eastAsiaTheme="minorEastAsia"/>
                <w:sz w:val="21"/>
                <w:szCs w:val="21"/>
                <w:highlight w:val="yellow"/>
              </w:rPr>
              <w:t>45.607526214</w:t>
            </w:r>
          </w:p>
        </w:tc>
        <w:tc>
          <w:tcPr>
            <w:tcW w:w="455" w:type="pct"/>
            <w:vAlign w:val="center"/>
          </w:tcPr>
          <w:p w14:paraId="238064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179</w:t>
            </w:r>
          </w:p>
        </w:tc>
        <w:tc>
          <w:tcPr>
            <w:tcW w:w="302" w:type="pct"/>
            <w:vAlign w:val="center"/>
          </w:tcPr>
          <w:p w14:paraId="65B896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23</w:t>
            </w:r>
          </w:p>
        </w:tc>
        <w:tc>
          <w:tcPr>
            <w:tcW w:w="404" w:type="pct"/>
            <w:vAlign w:val="center"/>
          </w:tcPr>
          <w:p w14:paraId="3BD50A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sz w:val="21"/>
                <w:szCs w:val="21"/>
                <w:highlight w:val="yellow"/>
                <w:lang w:eastAsia="zh-CN"/>
              </w:rPr>
            </w:pPr>
            <w:r>
              <w:rPr>
                <w:rFonts w:hint="eastAsia" w:eastAsiaTheme="minorEastAsia"/>
                <w:sz w:val="21"/>
                <w:szCs w:val="21"/>
                <w:highlight w:val="yellow"/>
              </w:rPr>
              <w:t>0.</w:t>
            </w:r>
            <w:r>
              <w:rPr>
                <w:rFonts w:hint="eastAsia" w:eastAsiaTheme="minorEastAsia"/>
                <w:sz w:val="21"/>
                <w:szCs w:val="21"/>
                <w:highlight w:val="yellow"/>
                <w:lang w:val="en-US" w:eastAsia="zh-CN"/>
              </w:rPr>
              <w:t>7</w:t>
            </w:r>
          </w:p>
        </w:tc>
        <w:tc>
          <w:tcPr>
            <w:tcW w:w="404" w:type="pct"/>
            <w:vAlign w:val="center"/>
          </w:tcPr>
          <w:p w14:paraId="2C5A7E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14.79</w:t>
            </w:r>
          </w:p>
        </w:tc>
        <w:tc>
          <w:tcPr>
            <w:tcW w:w="303" w:type="pct"/>
            <w:vAlign w:val="center"/>
          </w:tcPr>
          <w:p w14:paraId="5DDCFE9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常温</w:t>
            </w:r>
          </w:p>
        </w:tc>
        <w:tc>
          <w:tcPr>
            <w:tcW w:w="353" w:type="pct"/>
            <w:vAlign w:val="center"/>
          </w:tcPr>
          <w:p w14:paraId="125399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4000</w:t>
            </w:r>
          </w:p>
        </w:tc>
        <w:tc>
          <w:tcPr>
            <w:tcW w:w="251" w:type="pct"/>
            <w:vMerge w:val="continue"/>
            <w:vAlign w:val="center"/>
          </w:tcPr>
          <w:p w14:paraId="4AFB2B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yellow"/>
              </w:rPr>
            </w:pPr>
          </w:p>
        </w:tc>
        <w:tc>
          <w:tcPr>
            <w:tcW w:w="384" w:type="pct"/>
            <w:vAlign w:val="center"/>
          </w:tcPr>
          <w:p w14:paraId="402A36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lang w:val="en-US" w:eastAsia="zh-CN"/>
              </w:rPr>
            </w:pPr>
            <w:r>
              <w:rPr>
                <w:rFonts w:hint="eastAsia" w:eastAsiaTheme="minorEastAsia"/>
                <w:sz w:val="21"/>
                <w:szCs w:val="21"/>
                <w:highlight w:val="yellow"/>
                <w:lang w:val="en-US" w:eastAsia="zh-CN"/>
              </w:rPr>
              <w:t>0.08</w:t>
            </w:r>
          </w:p>
        </w:tc>
        <w:tc>
          <w:tcPr>
            <w:tcW w:w="384" w:type="pct"/>
            <w:vAlign w:val="center"/>
          </w:tcPr>
          <w:p w14:paraId="1A5E5E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eastAsia" w:eastAsiaTheme="minorEastAsia"/>
                <w:sz w:val="21"/>
                <w:szCs w:val="21"/>
                <w:highlight w:val="yellow"/>
              </w:rPr>
              <w:t>/</w:t>
            </w:r>
          </w:p>
        </w:tc>
        <w:tc>
          <w:tcPr>
            <w:tcW w:w="385" w:type="pct"/>
            <w:vAlign w:val="center"/>
          </w:tcPr>
          <w:p w14:paraId="462C6A3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yellow"/>
              </w:rPr>
            </w:pPr>
            <w:r>
              <w:rPr>
                <w:rFonts w:hint="eastAsia" w:eastAsiaTheme="minorEastAsia"/>
                <w:sz w:val="21"/>
                <w:szCs w:val="21"/>
                <w:highlight w:val="yellow"/>
              </w:rPr>
              <w:t>/</w:t>
            </w:r>
          </w:p>
        </w:tc>
      </w:tr>
    </w:tbl>
    <w:p w14:paraId="463B835D">
      <w:pPr>
        <w:pStyle w:val="7"/>
        <w:bidi w:val="0"/>
        <w:rPr>
          <w:highlight w:val="yellow"/>
        </w:rPr>
      </w:pPr>
      <w:r>
        <w:rPr>
          <w:highlight w:val="yellow"/>
        </w:rPr>
        <w:t>表2-4-</w:t>
      </w:r>
      <w:r>
        <w:rPr>
          <w:rFonts w:hint="eastAsia"/>
          <w:highlight w:val="yellow"/>
          <w:lang w:val="en-US" w:eastAsia="zh-CN"/>
        </w:rPr>
        <w:t>5</w:t>
      </w:r>
      <w:r>
        <w:rPr>
          <w:highlight w:val="yellow"/>
        </w:rPr>
        <w:t>矩形面源参数表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118"/>
        <w:gridCol w:w="1215"/>
        <w:gridCol w:w="1391"/>
        <w:gridCol w:w="1155"/>
        <w:gridCol w:w="915"/>
        <w:gridCol w:w="1040"/>
        <w:gridCol w:w="980"/>
        <w:gridCol w:w="1020"/>
        <w:gridCol w:w="980"/>
        <w:gridCol w:w="1090"/>
        <w:gridCol w:w="1362"/>
        <w:gridCol w:w="1363"/>
      </w:tblGrid>
      <w:tr w14:paraId="07D66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92" w:type="pct"/>
            <w:vMerge w:val="restart"/>
            <w:vAlign w:val="center"/>
          </w:tcPr>
          <w:p w14:paraId="53BE33A3">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编号</w:t>
            </w:r>
          </w:p>
        </w:tc>
        <w:tc>
          <w:tcPr>
            <w:tcW w:w="394" w:type="pct"/>
            <w:vMerge w:val="restart"/>
            <w:vAlign w:val="center"/>
          </w:tcPr>
          <w:p w14:paraId="30283207">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名称</w:t>
            </w:r>
          </w:p>
        </w:tc>
        <w:tc>
          <w:tcPr>
            <w:tcW w:w="919" w:type="pct"/>
            <w:gridSpan w:val="2"/>
            <w:vAlign w:val="center"/>
          </w:tcPr>
          <w:p w14:paraId="419E9B32">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面源各顶点坐标（°）</w:t>
            </w:r>
          </w:p>
        </w:tc>
        <w:tc>
          <w:tcPr>
            <w:tcW w:w="407" w:type="pct"/>
            <w:vMerge w:val="restart"/>
            <w:vAlign w:val="center"/>
          </w:tcPr>
          <w:p w14:paraId="2059D8AD">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面源海拔高度（m）</w:t>
            </w:r>
          </w:p>
        </w:tc>
        <w:tc>
          <w:tcPr>
            <w:tcW w:w="322" w:type="pct"/>
            <w:vMerge w:val="restart"/>
            <w:vAlign w:val="center"/>
          </w:tcPr>
          <w:p w14:paraId="03C56804">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面源长度（m）</w:t>
            </w:r>
          </w:p>
        </w:tc>
        <w:tc>
          <w:tcPr>
            <w:tcW w:w="366" w:type="pct"/>
            <w:vMerge w:val="restart"/>
            <w:vAlign w:val="center"/>
          </w:tcPr>
          <w:p w14:paraId="38A1FA75">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面源宽度（m）</w:t>
            </w:r>
          </w:p>
        </w:tc>
        <w:tc>
          <w:tcPr>
            <w:tcW w:w="345" w:type="pct"/>
            <w:vMerge w:val="restart"/>
            <w:vAlign w:val="center"/>
          </w:tcPr>
          <w:p w14:paraId="0274DFBF">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与正北向夹角（°）</w:t>
            </w:r>
          </w:p>
        </w:tc>
        <w:tc>
          <w:tcPr>
            <w:tcW w:w="359" w:type="pct"/>
            <w:vMerge w:val="restart"/>
            <w:vAlign w:val="center"/>
          </w:tcPr>
          <w:p w14:paraId="1ED29A17">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面源有效排放高度（m）</w:t>
            </w:r>
          </w:p>
        </w:tc>
        <w:tc>
          <w:tcPr>
            <w:tcW w:w="345" w:type="pct"/>
            <w:vMerge w:val="restart"/>
            <w:vAlign w:val="center"/>
          </w:tcPr>
          <w:p w14:paraId="1E6DCBA8">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年排放小时数（h）</w:t>
            </w:r>
          </w:p>
        </w:tc>
        <w:tc>
          <w:tcPr>
            <w:tcW w:w="384" w:type="pct"/>
            <w:vMerge w:val="restart"/>
            <w:vAlign w:val="center"/>
          </w:tcPr>
          <w:p w14:paraId="0563A678">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排放工况</w:t>
            </w:r>
          </w:p>
        </w:tc>
        <w:tc>
          <w:tcPr>
            <w:tcW w:w="961" w:type="pct"/>
            <w:gridSpan w:val="2"/>
            <w:vAlign w:val="center"/>
          </w:tcPr>
          <w:p w14:paraId="7FF15885">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污染物排放速率（kg/h）</w:t>
            </w:r>
          </w:p>
        </w:tc>
      </w:tr>
      <w:tr w14:paraId="64C31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192" w:type="pct"/>
            <w:vMerge w:val="continue"/>
            <w:vAlign w:val="center"/>
          </w:tcPr>
          <w:p w14:paraId="18E5D209">
            <w:pPr>
              <w:pStyle w:val="8"/>
              <w:suppressLineNumbers w:val="0"/>
              <w:bidi w:val="0"/>
              <w:spacing w:before="0" w:beforeAutospacing="0" w:after="0" w:afterAutospacing="0"/>
              <w:ind w:left="0" w:right="0"/>
              <w:rPr>
                <w:rFonts w:hint="default"/>
                <w:highlight w:val="yellow"/>
                <w:lang w:val="en-US" w:eastAsia="zh-CN"/>
              </w:rPr>
            </w:pPr>
          </w:p>
        </w:tc>
        <w:tc>
          <w:tcPr>
            <w:tcW w:w="394" w:type="pct"/>
            <w:vMerge w:val="continue"/>
            <w:vAlign w:val="center"/>
          </w:tcPr>
          <w:p w14:paraId="2D5E5BE4">
            <w:pPr>
              <w:pStyle w:val="8"/>
              <w:suppressLineNumbers w:val="0"/>
              <w:bidi w:val="0"/>
              <w:spacing w:before="0" w:beforeAutospacing="0" w:after="0" w:afterAutospacing="0"/>
              <w:ind w:left="0" w:right="0"/>
              <w:rPr>
                <w:rFonts w:hint="default"/>
                <w:highlight w:val="yellow"/>
                <w:lang w:val="en-US" w:eastAsia="zh-CN"/>
              </w:rPr>
            </w:pPr>
          </w:p>
        </w:tc>
        <w:tc>
          <w:tcPr>
            <w:tcW w:w="428" w:type="pct"/>
            <w:vAlign w:val="center"/>
          </w:tcPr>
          <w:p w14:paraId="3CF92F26">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经度</w:t>
            </w:r>
          </w:p>
        </w:tc>
        <w:tc>
          <w:tcPr>
            <w:tcW w:w="490" w:type="pct"/>
            <w:vAlign w:val="center"/>
          </w:tcPr>
          <w:p w14:paraId="64B45EA9">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纬度</w:t>
            </w:r>
          </w:p>
        </w:tc>
        <w:tc>
          <w:tcPr>
            <w:tcW w:w="407" w:type="pct"/>
            <w:vMerge w:val="continue"/>
            <w:vAlign w:val="center"/>
          </w:tcPr>
          <w:p w14:paraId="2C39A4B5">
            <w:pPr>
              <w:pStyle w:val="8"/>
              <w:suppressLineNumbers w:val="0"/>
              <w:bidi w:val="0"/>
              <w:spacing w:before="0" w:beforeAutospacing="0" w:after="0" w:afterAutospacing="0"/>
              <w:ind w:left="0" w:right="0"/>
              <w:rPr>
                <w:rFonts w:hint="default"/>
                <w:highlight w:val="yellow"/>
                <w:lang w:val="en-US" w:eastAsia="zh-CN"/>
              </w:rPr>
            </w:pPr>
          </w:p>
        </w:tc>
        <w:tc>
          <w:tcPr>
            <w:tcW w:w="322" w:type="pct"/>
            <w:vMerge w:val="continue"/>
            <w:vAlign w:val="center"/>
          </w:tcPr>
          <w:p w14:paraId="6D5132A3">
            <w:pPr>
              <w:pStyle w:val="8"/>
              <w:suppressLineNumbers w:val="0"/>
              <w:bidi w:val="0"/>
              <w:spacing w:before="0" w:beforeAutospacing="0" w:after="0" w:afterAutospacing="0"/>
              <w:ind w:left="0" w:right="0"/>
              <w:rPr>
                <w:rFonts w:hint="default"/>
                <w:highlight w:val="yellow"/>
                <w:lang w:val="en-US" w:eastAsia="zh-CN"/>
              </w:rPr>
            </w:pPr>
          </w:p>
        </w:tc>
        <w:tc>
          <w:tcPr>
            <w:tcW w:w="366" w:type="pct"/>
            <w:vMerge w:val="continue"/>
            <w:vAlign w:val="center"/>
          </w:tcPr>
          <w:p w14:paraId="3A523F6D">
            <w:pPr>
              <w:pStyle w:val="8"/>
              <w:suppressLineNumbers w:val="0"/>
              <w:bidi w:val="0"/>
              <w:spacing w:before="0" w:beforeAutospacing="0" w:after="0" w:afterAutospacing="0"/>
              <w:ind w:left="0" w:right="0"/>
              <w:rPr>
                <w:rFonts w:hint="default"/>
                <w:highlight w:val="yellow"/>
                <w:lang w:val="en-US" w:eastAsia="zh-CN"/>
              </w:rPr>
            </w:pPr>
          </w:p>
        </w:tc>
        <w:tc>
          <w:tcPr>
            <w:tcW w:w="345" w:type="pct"/>
            <w:vMerge w:val="continue"/>
            <w:vAlign w:val="center"/>
          </w:tcPr>
          <w:p w14:paraId="3324591A">
            <w:pPr>
              <w:pStyle w:val="8"/>
              <w:suppressLineNumbers w:val="0"/>
              <w:bidi w:val="0"/>
              <w:spacing w:before="0" w:beforeAutospacing="0" w:after="0" w:afterAutospacing="0"/>
              <w:ind w:left="0" w:right="0"/>
              <w:rPr>
                <w:rFonts w:hint="default"/>
                <w:highlight w:val="yellow"/>
                <w:lang w:val="en-US" w:eastAsia="zh-CN"/>
              </w:rPr>
            </w:pPr>
          </w:p>
        </w:tc>
        <w:tc>
          <w:tcPr>
            <w:tcW w:w="359" w:type="pct"/>
            <w:vMerge w:val="continue"/>
            <w:vAlign w:val="center"/>
          </w:tcPr>
          <w:p w14:paraId="55DF1767">
            <w:pPr>
              <w:pStyle w:val="8"/>
              <w:suppressLineNumbers w:val="0"/>
              <w:bidi w:val="0"/>
              <w:spacing w:before="0" w:beforeAutospacing="0" w:after="0" w:afterAutospacing="0"/>
              <w:ind w:left="0" w:right="0"/>
              <w:rPr>
                <w:rFonts w:hint="default"/>
                <w:highlight w:val="yellow"/>
                <w:lang w:val="en-US" w:eastAsia="zh-CN"/>
              </w:rPr>
            </w:pPr>
          </w:p>
        </w:tc>
        <w:tc>
          <w:tcPr>
            <w:tcW w:w="345" w:type="pct"/>
            <w:vMerge w:val="continue"/>
            <w:vAlign w:val="center"/>
          </w:tcPr>
          <w:p w14:paraId="1900A326">
            <w:pPr>
              <w:pStyle w:val="8"/>
              <w:suppressLineNumbers w:val="0"/>
              <w:bidi w:val="0"/>
              <w:spacing w:before="0" w:beforeAutospacing="0" w:after="0" w:afterAutospacing="0"/>
              <w:ind w:left="0" w:right="0"/>
              <w:rPr>
                <w:rFonts w:hint="default"/>
                <w:highlight w:val="yellow"/>
                <w:lang w:val="en-US" w:eastAsia="zh-CN"/>
              </w:rPr>
            </w:pPr>
          </w:p>
        </w:tc>
        <w:tc>
          <w:tcPr>
            <w:tcW w:w="384" w:type="pct"/>
            <w:vMerge w:val="continue"/>
            <w:vAlign w:val="center"/>
          </w:tcPr>
          <w:p w14:paraId="447719C4">
            <w:pPr>
              <w:pStyle w:val="8"/>
              <w:suppressLineNumbers w:val="0"/>
              <w:bidi w:val="0"/>
              <w:spacing w:before="0" w:beforeAutospacing="0" w:after="0" w:afterAutospacing="0"/>
              <w:ind w:left="0" w:right="0"/>
              <w:rPr>
                <w:rFonts w:hint="default"/>
                <w:highlight w:val="yellow"/>
                <w:lang w:val="en-US" w:eastAsia="zh-CN"/>
              </w:rPr>
            </w:pPr>
          </w:p>
        </w:tc>
        <w:tc>
          <w:tcPr>
            <w:tcW w:w="480" w:type="pct"/>
            <w:vAlign w:val="center"/>
          </w:tcPr>
          <w:p w14:paraId="6EAFDEC2">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NMHC</w:t>
            </w:r>
          </w:p>
        </w:tc>
        <w:tc>
          <w:tcPr>
            <w:tcW w:w="480" w:type="pct"/>
            <w:vAlign w:val="center"/>
          </w:tcPr>
          <w:p w14:paraId="543F52E9">
            <w:pPr>
              <w:pStyle w:val="8"/>
              <w:suppressLineNumbers w:val="0"/>
              <w:bidi w:val="0"/>
              <w:spacing w:before="0" w:beforeAutospacing="0" w:after="0" w:afterAutospacing="0"/>
              <w:ind w:left="0" w:right="0"/>
              <w:rPr>
                <w:rFonts w:hint="default"/>
                <w:highlight w:val="yellow"/>
                <w:lang w:val="en-US" w:eastAsia="zh-CN"/>
              </w:rPr>
            </w:pPr>
            <w:r>
              <w:rPr>
                <w:rFonts w:hint="eastAsia"/>
                <w:highlight w:val="yellow"/>
                <w:lang w:val="en-US" w:eastAsia="zh-CN"/>
              </w:rPr>
              <w:t>TSP</w:t>
            </w:r>
          </w:p>
        </w:tc>
      </w:tr>
      <w:tr w14:paraId="4FCB0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 w:type="pct"/>
            <w:vAlign w:val="center"/>
          </w:tcPr>
          <w:p w14:paraId="256616CC">
            <w:pPr>
              <w:pStyle w:val="8"/>
              <w:suppressLineNumbers w:val="0"/>
              <w:bidi w:val="0"/>
              <w:spacing w:before="0" w:beforeAutospacing="0" w:after="0" w:afterAutospacing="0"/>
              <w:ind w:left="0" w:right="0"/>
              <w:rPr>
                <w:rFonts w:hint="default"/>
                <w:highlight w:val="yellow"/>
                <w:lang w:val="en-US" w:eastAsia="zh-CN"/>
              </w:rPr>
            </w:pPr>
            <w:r>
              <w:rPr>
                <w:rFonts w:hint="default"/>
                <w:highlight w:val="yellow"/>
                <w:lang w:val="en-US" w:eastAsia="zh-CN"/>
              </w:rPr>
              <w:t>1</w:t>
            </w:r>
          </w:p>
        </w:tc>
        <w:tc>
          <w:tcPr>
            <w:tcW w:w="394" w:type="pct"/>
            <w:vAlign w:val="center"/>
          </w:tcPr>
          <w:p w14:paraId="0FBB835D">
            <w:pPr>
              <w:pStyle w:val="8"/>
              <w:suppressLineNumbers w:val="0"/>
              <w:bidi w:val="0"/>
              <w:spacing w:before="0" w:beforeAutospacing="0" w:after="0" w:afterAutospacing="0"/>
              <w:ind w:left="0" w:right="0"/>
              <w:rPr>
                <w:rFonts w:hint="default"/>
                <w:highlight w:val="yellow"/>
                <w:lang w:val="en-US" w:eastAsia="zh-CN"/>
              </w:rPr>
            </w:pPr>
            <w:r>
              <w:rPr>
                <w:rFonts w:hint="eastAsia"/>
                <w:highlight w:val="yellow"/>
                <w:lang w:val="en-US" w:eastAsia="zh-CN"/>
              </w:rPr>
              <w:t>2号厂房</w:t>
            </w:r>
          </w:p>
        </w:tc>
        <w:tc>
          <w:tcPr>
            <w:tcW w:w="428" w:type="pct"/>
            <w:vAlign w:val="center"/>
          </w:tcPr>
          <w:p w14:paraId="5E27D73E">
            <w:pPr>
              <w:keepNext w:val="0"/>
              <w:keepLines w:val="0"/>
              <w:pageBreakBefore w:val="0"/>
              <w:widowControl/>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color w:val="000000" w:themeColor="text1"/>
                <w:kern w:val="21"/>
                <w:sz w:val="21"/>
                <w:szCs w:val="21"/>
                <w:highlight w:val="yellow"/>
                <w:lang w:val="en-US" w:eastAsia="zh-CN"/>
                <w14:textFill>
                  <w14:solidFill>
                    <w14:schemeClr w14:val="tx1"/>
                  </w14:solidFill>
                </w14:textFill>
              </w:rPr>
            </w:pPr>
            <w:r>
              <w:rPr>
                <w:rFonts w:hint="eastAsia"/>
                <w:color w:val="000000" w:themeColor="text1"/>
                <w:kern w:val="21"/>
                <w:sz w:val="21"/>
                <w:szCs w:val="21"/>
                <w:highlight w:val="yellow"/>
                <w:lang w:val="en-US" w:eastAsia="zh-CN"/>
                <w14:textFill>
                  <w14:solidFill>
                    <w14:schemeClr w14:val="tx1"/>
                  </w14:solidFill>
                </w14:textFill>
              </w:rPr>
              <w:t>126.655629</w:t>
            </w:r>
          </w:p>
        </w:tc>
        <w:tc>
          <w:tcPr>
            <w:tcW w:w="490" w:type="pct"/>
            <w:vAlign w:val="center"/>
          </w:tcPr>
          <w:p w14:paraId="01117EA4">
            <w:pPr>
              <w:keepNext w:val="0"/>
              <w:keepLines w:val="0"/>
              <w:pageBreakBefore w:val="0"/>
              <w:widowControl/>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color w:val="000000" w:themeColor="text1"/>
                <w:kern w:val="21"/>
                <w:sz w:val="21"/>
                <w:szCs w:val="21"/>
                <w:highlight w:val="yellow"/>
                <w:lang w:val="en-US" w:eastAsia="zh-CN"/>
                <w14:textFill>
                  <w14:solidFill>
                    <w14:schemeClr w14:val="tx1"/>
                  </w14:solidFill>
                </w14:textFill>
              </w:rPr>
            </w:pPr>
            <w:r>
              <w:rPr>
                <w:rFonts w:hint="eastAsia"/>
                <w:color w:val="000000" w:themeColor="text1"/>
                <w:kern w:val="21"/>
                <w:sz w:val="21"/>
                <w:szCs w:val="21"/>
                <w:highlight w:val="yellow"/>
                <w:lang w:val="en-US" w:eastAsia="zh-CN"/>
                <w14:textFill>
                  <w14:solidFill>
                    <w14:schemeClr w14:val="tx1"/>
                  </w14:solidFill>
                </w14:textFill>
              </w:rPr>
              <w:t>45.607588</w:t>
            </w:r>
          </w:p>
        </w:tc>
        <w:tc>
          <w:tcPr>
            <w:tcW w:w="407" w:type="pct"/>
            <w:vAlign w:val="center"/>
          </w:tcPr>
          <w:p w14:paraId="6878D426">
            <w:pPr>
              <w:pStyle w:val="8"/>
              <w:suppressLineNumbers w:val="0"/>
              <w:bidi w:val="0"/>
              <w:spacing w:before="0" w:beforeAutospacing="0" w:after="0" w:afterAutospacing="0"/>
              <w:ind w:left="0" w:right="0"/>
              <w:rPr>
                <w:rFonts w:hint="default"/>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181</w:t>
            </w:r>
          </w:p>
        </w:tc>
        <w:tc>
          <w:tcPr>
            <w:tcW w:w="322" w:type="pct"/>
            <w:vAlign w:val="center"/>
          </w:tcPr>
          <w:p w14:paraId="7DF24F8F">
            <w:pPr>
              <w:keepNext w:val="0"/>
              <w:keepLines w:val="0"/>
              <w:pageBreakBefore w:val="0"/>
              <w:widowControl/>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color w:val="000000" w:themeColor="text1"/>
                <w:highlight w:val="yellow"/>
                <w:lang w:val="en-US" w:eastAsia="zh-CN"/>
                <w14:textFill>
                  <w14:solidFill>
                    <w14:schemeClr w14:val="tx1"/>
                  </w14:solidFill>
                </w14:textFill>
              </w:rPr>
            </w:pPr>
            <w:r>
              <w:rPr>
                <w:rFonts w:hint="eastAsia" w:ascii="Times New Roman" w:hAnsi="Times New Roman"/>
                <w:color w:val="000000" w:themeColor="text1"/>
                <w:kern w:val="21"/>
                <w:sz w:val="21"/>
                <w:szCs w:val="21"/>
                <w:highlight w:val="yellow"/>
                <w14:textFill>
                  <w14:solidFill>
                    <w14:schemeClr w14:val="tx1"/>
                  </w14:solidFill>
                </w14:textFill>
              </w:rPr>
              <w:t>208</w:t>
            </w:r>
          </w:p>
        </w:tc>
        <w:tc>
          <w:tcPr>
            <w:tcW w:w="366" w:type="pct"/>
            <w:vAlign w:val="center"/>
          </w:tcPr>
          <w:p w14:paraId="0D2AFD79">
            <w:pPr>
              <w:keepNext w:val="0"/>
              <w:keepLines w:val="0"/>
              <w:pageBreakBefore w:val="0"/>
              <w:widowControl/>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color w:val="000000" w:themeColor="text1"/>
                <w:highlight w:val="yellow"/>
                <w:lang w:val="en-US" w:eastAsia="zh-CN"/>
                <w14:textFill>
                  <w14:solidFill>
                    <w14:schemeClr w14:val="tx1"/>
                  </w14:solidFill>
                </w14:textFill>
              </w:rPr>
            </w:pPr>
            <w:r>
              <w:rPr>
                <w:rFonts w:hint="eastAsia" w:ascii="Times New Roman" w:hAnsi="Times New Roman"/>
                <w:color w:val="000000" w:themeColor="text1"/>
                <w:kern w:val="21"/>
                <w:sz w:val="21"/>
                <w:szCs w:val="21"/>
                <w:highlight w:val="yellow"/>
                <w14:textFill>
                  <w14:solidFill>
                    <w14:schemeClr w14:val="tx1"/>
                  </w14:solidFill>
                </w14:textFill>
              </w:rPr>
              <w:t>106</w:t>
            </w:r>
          </w:p>
        </w:tc>
        <w:tc>
          <w:tcPr>
            <w:tcW w:w="345" w:type="pct"/>
            <w:vAlign w:val="center"/>
          </w:tcPr>
          <w:p w14:paraId="3CC57C1C">
            <w:pPr>
              <w:pStyle w:val="8"/>
              <w:suppressLineNumbers w:val="0"/>
              <w:bidi w:val="0"/>
              <w:spacing w:before="0" w:beforeAutospacing="0" w:after="0" w:afterAutospacing="0"/>
              <w:ind w:left="0" w:right="0"/>
              <w:rPr>
                <w:rFonts w:hint="default" w:eastAsia="宋体"/>
                <w:highlight w:val="yellow"/>
                <w:lang w:val="en-US" w:eastAsia="zh-CN"/>
              </w:rPr>
            </w:pPr>
            <w:r>
              <w:rPr>
                <w:rFonts w:hint="eastAsia"/>
                <w:szCs w:val="21"/>
                <w:highlight w:val="yellow"/>
                <w:lang w:val="en-US" w:eastAsia="zh-CN"/>
              </w:rPr>
              <w:t>232</w:t>
            </w:r>
          </w:p>
        </w:tc>
        <w:tc>
          <w:tcPr>
            <w:tcW w:w="359" w:type="pct"/>
            <w:shd w:val="clear" w:color="auto" w:fill="auto"/>
            <w:vAlign w:val="center"/>
          </w:tcPr>
          <w:p w14:paraId="18373A09">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yellow"/>
                <w:lang w:val="en-US" w:eastAsia="zh-CN" w:bidi="ar-SA"/>
              </w:rPr>
            </w:pPr>
            <w:r>
              <w:rPr>
                <w:rFonts w:hint="eastAsia"/>
                <w:highlight w:val="yellow"/>
                <w:lang w:val="en-US" w:eastAsia="zh-CN"/>
              </w:rPr>
              <w:t>2.5</w:t>
            </w:r>
          </w:p>
        </w:tc>
        <w:tc>
          <w:tcPr>
            <w:tcW w:w="345" w:type="pct"/>
            <w:shd w:val="clear" w:color="auto" w:fill="auto"/>
            <w:vAlign w:val="center"/>
          </w:tcPr>
          <w:p w14:paraId="60B3EE2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yellow"/>
                <w:lang w:val="en-US" w:eastAsia="zh-CN" w:bidi="ar-SA"/>
              </w:rPr>
            </w:pPr>
            <w:r>
              <w:rPr>
                <w:rFonts w:hint="eastAsia"/>
                <w:highlight w:val="yellow"/>
                <w:lang w:val="en-US" w:eastAsia="zh-CN"/>
              </w:rPr>
              <w:t>4000</w:t>
            </w:r>
          </w:p>
        </w:tc>
        <w:tc>
          <w:tcPr>
            <w:tcW w:w="384" w:type="pct"/>
            <w:vMerge w:val="restart"/>
            <w:shd w:val="clear" w:color="auto" w:fill="auto"/>
            <w:vAlign w:val="center"/>
          </w:tcPr>
          <w:p w14:paraId="1152C4B9">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yellow"/>
                <w:lang w:val="en-US" w:eastAsia="zh-CN" w:bidi="ar-SA"/>
              </w:rPr>
            </w:pPr>
            <w:r>
              <w:rPr>
                <w:rFonts w:hint="default"/>
                <w:highlight w:val="yellow"/>
                <w:lang w:val="en-US" w:eastAsia="zh-CN"/>
              </w:rPr>
              <w:t>正常排放</w:t>
            </w:r>
          </w:p>
        </w:tc>
        <w:tc>
          <w:tcPr>
            <w:tcW w:w="480" w:type="pct"/>
            <w:shd w:val="clear" w:color="auto" w:fill="auto"/>
            <w:vAlign w:val="center"/>
          </w:tcPr>
          <w:p w14:paraId="61D76E7A">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yellow"/>
                <w:lang w:val="en-US" w:eastAsia="zh-CN" w:bidi="ar-SA"/>
              </w:rPr>
            </w:pPr>
            <w:r>
              <w:rPr>
                <w:rFonts w:hint="eastAsia" w:cs="Times New Roman"/>
                <w:color w:val="000000"/>
                <w:kern w:val="0"/>
                <w:sz w:val="21"/>
                <w:szCs w:val="24"/>
                <w:highlight w:val="yellow"/>
                <w:lang w:val="en-US" w:eastAsia="zh-CN" w:bidi="ar-SA"/>
              </w:rPr>
              <w:t>0.178</w:t>
            </w:r>
          </w:p>
        </w:tc>
        <w:tc>
          <w:tcPr>
            <w:tcW w:w="480" w:type="pct"/>
            <w:shd w:val="clear" w:color="auto" w:fill="auto"/>
            <w:vAlign w:val="center"/>
          </w:tcPr>
          <w:p w14:paraId="64FF71F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yellow"/>
                <w:lang w:val="en-US" w:eastAsia="zh-CN" w:bidi="ar-SA"/>
              </w:rPr>
            </w:pPr>
            <w:r>
              <w:rPr>
                <w:rFonts w:hint="eastAsia" w:cs="Times New Roman"/>
                <w:color w:val="000000"/>
                <w:kern w:val="0"/>
                <w:sz w:val="21"/>
                <w:szCs w:val="24"/>
                <w:highlight w:val="yellow"/>
                <w:lang w:val="en-US" w:eastAsia="zh-CN" w:bidi="ar-SA"/>
              </w:rPr>
              <w:t>/</w:t>
            </w:r>
          </w:p>
        </w:tc>
      </w:tr>
      <w:tr w14:paraId="7E9E6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192" w:type="pct"/>
            <w:vAlign w:val="center"/>
          </w:tcPr>
          <w:p w14:paraId="3E74A59C">
            <w:pPr>
              <w:pStyle w:val="8"/>
              <w:suppressLineNumbers w:val="0"/>
              <w:bidi w:val="0"/>
              <w:spacing w:before="0" w:beforeAutospacing="0" w:after="0" w:afterAutospacing="0"/>
              <w:ind w:left="0" w:right="0"/>
              <w:rPr>
                <w:rFonts w:hint="default"/>
                <w:highlight w:val="yellow"/>
                <w:lang w:val="en-US" w:eastAsia="zh-CN"/>
              </w:rPr>
            </w:pPr>
            <w:r>
              <w:rPr>
                <w:rFonts w:hint="eastAsia"/>
                <w:highlight w:val="yellow"/>
                <w:lang w:val="en-US" w:eastAsia="zh-CN"/>
              </w:rPr>
              <w:t>2</w:t>
            </w:r>
          </w:p>
        </w:tc>
        <w:tc>
          <w:tcPr>
            <w:tcW w:w="394" w:type="pct"/>
            <w:vAlign w:val="center"/>
          </w:tcPr>
          <w:p w14:paraId="213F5528">
            <w:pPr>
              <w:pStyle w:val="8"/>
              <w:suppressLineNumbers w:val="0"/>
              <w:bidi w:val="0"/>
              <w:spacing w:before="0" w:beforeAutospacing="0" w:after="0" w:afterAutospacing="0"/>
              <w:ind w:left="0" w:right="0"/>
              <w:rPr>
                <w:rFonts w:hint="default"/>
                <w:highlight w:val="yellow"/>
                <w:lang w:val="en-US" w:eastAsia="zh-CN"/>
              </w:rPr>
            </w:pPr>
            <w:r>
              <w:rPr>
                <w:rFonts w:hint="eastAsia"/>
                <w:highlight w:val="yellow"/>
                <w:lang w:val="en-US" w:eastAsia="zh-CN"/>
              </w:rPr>
              <w:t>4号厂房</w:t>
            </w:r>
          </w:p>
        </w:tc>
        <w:tc>
          <w:tcPr>
            <w:tcW w:w="428" w:type="pct"/>
            <w:vAlign w:val="center"/>
          </w:tcPr>
          <w:p w14:paraId="2C148275">
            <w:pPr>
              <w:keepNext w:val="0"/>
              <w:keepLines w:val="0"/>
              <w:pageBreakBefore w:val="0"/>
              <w:widowControl/>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color w:val="000000" w:themeColor="text1"/>
                <w:kern w:val="21"/>
                <w:sz w:val="21"/>
                <w:szCs w:val="21"/>
                <w:highlight w:val="yellow"/>
                <w:lang w:val="en-US" w:eastAsia="zh-CN"/>
                <w14:textFill>
                  <w14:solidFill>
                    <w14:schemeClr w14:val="tx1"/>
                  </w14:solidFill>
                </w14:textFill>
              </w:rPr>
            </w:pPr>
            <w:r>
              <w:rPr>
                <w:rFonts w:hint="eastAsia"/>
                <w:color w:val="000000" w:themeColor="text1"/>
                <w:kern w:val="21"/>
                <w:sz w:val="21"/>
                <w:szCs w:val="21"/>
                <w:highlight w:val="yellow"/>
                <w:lang w:val="en-US" w:eastAsia="zh-CN"/>
                <w14:textFill>
                  <w14:solidFill>
                    <w14:schemeClr w14:val="tx1"/>
                  </w14:solidFill>
                </w14:textFill>
              </w:rPr>
              <w:t>126.658377</w:t>
            </w:r>
          </w:p>
        </w:tc>
        <w:tc>
          <w:tcPr>
            <w:tcW w:w="490" w:type="pct"/>
            <w:vAlign w:val="center"/>
          </w:tcPr>
          <w:p w14:paraId="53AFD836">
            <w:pPr>
              <w:keepNext w:val="0"/>
              <w:keepLines w:val="0"/>
              <w:pageBreakBefore w:val="0"/>
              <w:widowControl/>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color w:val="000000" w:themeColor="text1"/>
                <w:kern w:val="21"/>
                <w:sz w:val="21"/>
                <w:szCs w:val="21"/>
                <w:highlight w:val="yellow"/>
                <w:lang w:val="en-US" w:eastAsia="zh-CN"/>
                <w14:textFill>
                  <w14:solidFill>
                    <w14:schemeClr w14:val="tx1"/>
                  </w14:solidFill>
                </w14:textFill>
              </w:rPr>
            </w:pPr>
            <w:r>
              <w:rPr>
                <w:rFonts w:hint="eastAsia"/>
                <w:color w:val="000000" w:themeColor="text1"/>
                <w:kern w:val="21"/>
                <w:sz w:val="21"/>
                <w:szCs w:val="21"/>
                <w:highlight w:val="yellow"/>
                <w:lang w:val="en-US" w:eastAsia="zh-CN"/>
                <w14:textFill>
                  <w14:solidFill>
                    <w14:schemeClr w14:val="tx1"/>
                  </w14:solidFill>
                </w14:textFill>
              </w:rPr>
              <w:t>45.608445</w:t>
            </w:r>
          </w:p>
        </w:tc>
        <w:tc>
          <w:tcPr>
            <w:tcW w:w="407" w:type="pct"/>
            <w:vAlign w:val="center"/>
          </w:tcPr>
          <w:p w14:paraId="1D4F50B0">
            <w:pPr>
              <w:pStyle w:val="8"/>
              <w:suppressLineNumbers w:val="0"/>
              <w:bidi w:val="0"/>
              <w:spacing w:before="0" w:beforeAutospacing="0" w:after="0" w:afterAutospacing="0"/>
              <w:ind w:left="0" w:right="0"/>
              <w:rPr>
                <w:rFonts w:hint="default"/>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178</w:t>
            </w:r>
          </w:p>
        </w:tc>
        <w:tc>
          <w:tcPr>
            <w:tcW w:w="322" w:type="pct"/>
            <w:vAlign w:val="center"/>
          </w:tcPr>
          <w:p w14:paraId="5BC44447">
            <w:pPr>
              <w:keepNext w:val="0"/>
              <w:keepLines w:val="0"/>
              <w:pageBreakBefore w:val="0"/>
              <w:widowControl/>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olor w:val="000000" w:themeColor="text1"/>
                <w:kern w:val="21"/>
                <w:sz w:val="21"/>
                <w:szCs w:val="21"/>
                <w:highlight w:val="yellow"/>
                <w:lang w:val="en-US" w:eastAsia="zh-CN"/>
                <w14:textFill>
                  <w14:solidFill>
                    <w14:schemeClr w14:val="tx1"/>
                  </w14:solidFill>
                </w14:textFill>
              </w:rPr>
            </w:pPr>
            <w:r>
              <w:rPr>
                <w:rFonts w:hint="eastAsia"/>
                <w:color w:val="000000" w:themeColor="text1"/>
                <w:kern w:val="21"/>
                <w:sz w:val="21"/>
                <w:szCs w:val="21"/>
                <w:highlight w:val="yellow"/>
                <w:lang w:val="en-US" w:eastAsia="zh-CN"/>
                <w14:textFill>
                  <w14:solidFill>
                    <w14:schemeClr w14:val="tx1"/>
                  </w14:solidFill>
                </w14:textFill>
              </w:rPr>
              <w:t>211</w:t>
            </w:r>
          </w:p>
        </w:tc>
        <w:tc>
          <w:tcPr>
            <w:tcW w:w="366" w:type="pct"/>
            <w:vAlign w:val="center"/>
          </w:tcPr>
          <w:p w14:paraId="156692A5">
            <w:pPr>
              <w:keepNext w:val="0"/>
              <w:keepLines w:val="0"/>
              <w:pageBreakBefore w:val="0"/>
              <w:widowControl/>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olor w:val="000000" w:themeColor="text1"/>
                <w:kern w:val="21"/>
                <w:sz w:val="21"/>
                <w:szCs w:val="21"/>
                <w:highlight w:val="yellow"/>
                <w:lang w:val="en-US" w:eastAsia="zh-CN"/>
                <w14:textFill>
                  <w14:solidFill>
                    <w14:schemeClr w14:val="tx1"/>
                  </w14:solidFill>
                </w14:textFill>
              </w:rPr>
            </w:pPr>
            <w:r>
              <w:rPr>
                <w:rFonts w:hint="eastAsia"/>
                <w:color w:val="000000" w:themeColor="text1"/>
                <w:kern w:val="21"/>
                <w:sz w:val="21"/>
                <w:szCs w:val="21"/>
                <w:highlight w:val="yellow"/>
                <w:lang w:val="en-US" w:eastAsia="zh-CN"/>
                <w14:textFill>
                  <w14:solidFill>
                    <w14:schemeClr w14:val="tx1"/>
                  </w14:solidFill>
                </w14:textFill>
              </w:rPr>
              <w:t>200</w:t>
            </w:r>
          </w:p>
        </w:tc>
        <w:tc>
          <w:tcPr>
            <w:tcW w:w="345" w:type="pct"/>
            <w:vAlign w:val="center"/>
          </w:tcPr>
          <w:p w14:paraId="04ECE307">
            <w:pPr>
              <w:pStyle w:val="8"/>
              <w:suppressLineNumbers w:val="0"/>
              <w:bidi w:val="0"/>
              <w:spacing w:before="0" w:beforeAutospacing="0" w:after="0" w:afterAutospacing="0"/>
              <w:ind w:left="0" w:right="0"/>
              <w:rPr>
                <w:rFonts w:hint="eastAsia"/>
                <w:szCs w:val="21"/>
                <w:highlight w:val="yellow"/>
                <w:lang w:val="en-US" w:eastAsia="zh-CN"/>
              </w:rPr>
            </w:pPr>
            <w:r>
              <w:rPr>
                <w:rFonts w:hint="eastAsia"/>
                <w:szCs w:val="21"/>
                <w:highlight w:val="yellow"/>
                <w:lang w:val="en-US" w:eastAsia="zh-CN"/>
              </w:rPr>
              <w:t>232</w:t>
            </w:r>
          </w:p>
        </w:tc>
        <w:tc>
          <w:tcPr>
            <w:tcW w:w="359" w:type="pct"/>
            <w:shd w:val="clear" w:color="auto" w:fill="auto"/>
            <w:vAlign w:val="center"/>
          </w:tcPr>
          <w:p w14:paraId="1A120430">
            <w:pPr>
              <w:pStyle w:val="8"/>
              <w:suppressLineNumbers w:val="0"/>
              <w:bidi w:val="0"/>
              <w:spacing w:before="0" w:beforeAutospacing="0" w:after="0" w:afterAutospacing="0"/>
              <w:ind w:left="0" w:leftChars="0" w:right="0" w:rightChars="0" w:firstLine="0" w:firstLineChars="0"/>
              <w:rPr>
                <w:rFonts w:hint="default"/>
                <w:highlight w:val="yellow"/>
                <w:lang w:val="en-US" w:eastAsia="zh-CN"/>
              </w:rPr>
            </w:pPr>
            <w:r>
              <w:rPr>
                <w:rFonts w:hint="eastAsia"/>
                <w:highlight w:val="yellow"/>
                <w:lang w:val="en-US" w:eastAsia="zh-CN"/>
              </w:rPr>
              <w:t>2.5</w:t>
            </w:r>
          </w:p>
        </w:tc>
        <w:tc>
          <w:tcPr>
            <w:tcW w:w="345" w:type="pct"/>
            <w:shd w:val="clear" w:color="auto" w:fill="auto"/>
            <w:vAlign w:val="center"/>
          </w:tcPr>
          <w:p w14:paraId="60E0EE02">
            <w:pPr>
              <w:pStyle w:val="8"/>
              <w:suppressLineNumbers w:val="0"/>
              <w:bidi w:val="0"/>
              <w:spacing w:before="0" w:beforeAutospacing="0" w:after="0" w:afterAutospacing="0"/>
              <w:ind w:left="0" w:leftChars="0" w:right="0" w:rightChars="0" w:firstLine="0" w:firstLineChars="0"/>
              <w:rPr>
                <w:rFonts w:hint="default"/>
                <w:highlight w:val="yellow"/>
                <w:lang w:val="en-US" w:eastAsia="zh-CN"/>
              </w:rPr>
            </w:pPr>
            <w:r>
              <w:rPr>
                <w:rFonts w:hint="eastAsia" w:eastAsiaTheme="minorEastAsia"/>
                <w:sz w:val="21"/>
                <w:szCs w:val="21"/>
                <w:highlight w:val="yellow"/>
                <w:lang w:val="en-US" w:eastAsia="zh-CN"/>
              </w:rPr>
              <w:t>3000</w:t>
            </w:r>
          </w:p>
        </w:tc>
        <w:tc>
          <w:tcPr>
            <w:tcW w:w="384" w:type="pct"/>
            <w:vMerge w:val="continue"/>
            <w:shd w:val="clear" w:color="auto" w:fill="auto"/>
            <w:vAlign w:val="center"/>
          </w:tcPr>
          <w:p w14:paraId="3B03AC1A">
            <w:pPr>
              <w:pStyle w:val="8"/>
              <w:suppressLineNumbers w:val="0"/>
              <w:bidi w:val="0"/>
              <w:spacing w:before="0" w:beforeAutospacing="0" w:after="0" w:afterAutospacing="0"/>
              <w:ind w:left="0" w:leftChars="0" w:right="0" w:rightChars="0" w:firstLine="0" w:firstLineChars="0"/>
              <w:rPr>
                <w:rFonts w:hint="default"/>
                <w:highlight w:val="yellow"/>
                <w:lang w:val="en-US" w:eastAsia="zh-CN"/>
              </w:rPr>
            </w:pPr>
          </w:p>
        </w:tc>
        <w:tc>
          <w:tcPr>
            <w:tcW w:w="480" w:type="pct"/>
            <w:shd w:val="clear" w:color="auto" w:fill="auto"/>
            <w:vAlign w:val="center"/>
          </w:tcPr>
          <w:p w14:paraId="4653E2F7">
            <w:pPr>
              <w:pStyle w:val="8"/>
              <w:suppressLineNumbers w:val="0"/>
              <w:bidi w:val="0"/>
              <w:spacing w:before="0" w:beforeAutospacing="0" w:after="0" w:afterAutospacing="0"/>
              <w:ind w:left="0" w:leftChars="0" w:right="0" w:rightChars="0" w:firstLine="0" w:firstLineChars="0"/>
              <w:rPr>
                <w:rFonts w:hint="default" w:cs="Times New Roman"/>
                <w:color w:val="000000"/>
                <w:kern w:val="0"/>
                <w:sz w:val="21"/>
                <w:szCs w:val="24"/>
                <w:highlight w:val="yellow"/>
                <w:lang w:val="en-US" w:eastAsia="zh-CN" w:bidi="ar-SA"/>
              </w:rPr>
            </w:pPr>
            <w:r>
              <w:rPr>
                <w:rFonts w:hint="eastAsia" w:cs="Times New Roman"/>
                <w:color w:val="000000"/>
                <w:kern w:val="0"/>
                <w:sz w:val="21"/>
                <w:szCs w:val="24"/>
                <w:highlight w:val="yellow"/>
                <w:lang w:val="en-US" w:eastAsia="zh-CN" w:bidi="ar-SA"/>
              </w:rPr>
              <w:t>0.11</w:t>
            </w:r>
          </w:p>
        </w:tc>
        <w:tc>
          <w:tcPr>
            <w:tcW w:w="480" w:type="pct"/>
            <w:shd w:val="clear" w:color="auto" w:fill="auto"/>
            <w:vAlign w:val="center"/>
          </w:tcPr>
          <w:p w14:paraId="37488568">
            <w:pPr>
              <w:pStyle w:val="8"/>
              <w:suppressLineNumbers w:val="0"/>
              <w:bidi w:val="0"/>
              <w:spacing w:before="0" w:beforeAutospacing="0" w:after="0" w:afterAutospacing="0"/>
              <w:ind w:left="0" w:leftChars="0" w:right="0" w:rightChars="0" w:firstLine="0" w:firstLineChars="0"/>
              <w:rPr>
                <w:rFonts w:hint="default" w:cs="Times New Roman"/>
                <w:color w:val="000000"/>
                <w:kern w:val="0"/>
                <w:sz w:val="21"/>
                <w:szCs w:val="24"/>
                <w:highlight w:val="yellow"/>
                <w:lang w:val="en-US" w:eastAsia="zh-CN" w:bidi="ar-SA"/>
              </w:rPr>
            </w:pPr>
            <w:r>
              <w:rPr>
                <w:rFonts w:hint="eastAsia" w:cs="Times New Roman"/>
                <w:color w:val="000000"/>
                <w:kern w:val="0"/>
                <w:sz w:val="21"/>
                <w:szCs w:val="24"/>
                <w:highlight w:val="yellow"/>
                <w:lang w:val="en-US" w:eastAsia="zh-CN" w:bidi="ar-SA"/>
              </w:rPr>
              <w:t>/</w:t>
            </w:r>
          </w:p>
        </w:tc>
      </w:tr>
    </w:tbl>
    <w:p w14:paraId="3C1F53F9">
      <w:pPr>
        <w:pageBreakBefore w:val="0"/>
        <w:kinsoku/>
        <w:overflowPunct/>
        <w:topLinePunct w:val="0"/>
        <w:bidi w:val="0"/>
        <w:spacing w:line="360" w:lineRule="auto"/>
        <w:ind w:firstLine="482" w:firstLineChars="200"/>
        <w:outlineLvl w:val="9"/>
        <w:rPr>
          <w:rFonts w:eastAsiaTheme="minorEastAsia"/>
          <w:b/>
          <w:sz w:val="24"/>
          <w:highlight w:val="none"/>
        </w:rPr>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cols w:space="425" w:num="1"/>
          <w:docGrid w:type="lines" w:linePitch="312" w:charSpace="0"/>
        </w:sectPr>
      </w:pPr>
    </w:p>
    <w:p w14:paraId="2091EAE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outlineLvl w:val="9"/>
        <w:rPr>
          <w:rFonts w:eastAsiaTheme="minorEastAsia"/>
          <w:b/>
          <w:sz w:val="24"/>
          <w:highlight w:val="none"/>
        </w:rPr>
      </w:pPr>
      <w:bookmarkStart w:id="163" w:name="_Toc30766"/>
      <w:r>
        <w:rPr>
          <w:sz w:val="24"/>
        </w:rPr>
        <mc:AlternateContent>
          <mc:Choice Requires="wps">
            <w:drawing>
              <wp:anchor distT="0" distB="0" distL="114300" distR="114300" simplePos="0" relativeHeight="251698176" behindDoc="0" locked="0" layoutInCell="1" allowOverlap="1">
                <wp:simplePos x="0" y="0"/>
                <wp:positionH relativeFrom="column">
                  <wp:posOffset>-533400</wp:posOffset>
                </wp:positionH>
                <wp:positionV relativeFrom="paragraph">
                  <wp:posOffset>-35560</wp:posOffset>
                </wp:positionV>
                <wp:extent cx="6048375" cy="2667635"/>
                <wp:effectExtent l="12700" t="0" r="15875" b="24765"/>
                <wp:wrapNone/>
                <wp:docPr id="60" name="矩形 60"/>
                <wp:cNvGraphicFramePr/>
                <a:graphic xmlns:a="http://schemas.openxmlformats.org/drawingml/2006/main">
                  <a:graphicData uri="http://schemas.microsoft.com/office/word/2010/wordprocessingShape">
                    <wps:wsp>
                      <wps:cNvSpPr/>
                      <wps:spPr>
                        <a:xfrm>
                          <a:off x="0" y="0"/>
                          <a:ext cx="6048375" cy="2667635"/>
                        </a:xfrm>
                        <a:prstGeom prst="rect">
                          <a:avLst/>
                        </a:prstGeom>
                        <a:solidFill>
                          <a:schemeClr val="bg1"/>
                        </a:solidFill>
                        <a:ln>
                          <a:solidFill>
                            <a:srgbClr val="000000">
                              <a:alpha val="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pt;margin-top:-2.8pt;height:210.05pt;width:476.25pt;z-index:251698176;v-text-anchor:middle;mso-width-relative:page;mso-height-relative:page;" fillcolor="#FFFFFF [3212]" filled="t" stroked="t" coordsize="21600,21600" o:gfxdata="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dIj/vbAAAACgEAAA8AAAAAAAAAAQAgAAAAIgAAAGRycy9k&#10;b3ducmV2LnhtbFBLAQIUABQAAAAIAIdO4kCU4cLEcQIAAP0EAAAOAAAAAAAAAAEAIAAAACoBAABk&#10;cnMvZTJvRG9jLnhtbFBLBQYAAAAABgAGAFkBAAANBgAAAAA=&#10;">
                <v:fill on="t" focussize="0,0"/>
                <v:stroke weight="2pt" color="#000000 [2404]" opacity="0f" joinstyle="round"/>
                <v:imagedata o:title=""/>
                <o:lock v:ext="edit" aspectratio="f"/>
              </v:rect>
            </w:pict>
          </mc:Fallback>
        </mc:AlternateContent>
      </w:r>
      <w:r>
        <w:rPr>
          <w:rFonts w:hint="eastAsia" w:eastAsiaTheme="minorEastAsia"/>
          <w:b/>
          <w:sz w:val="24"/>
          <w:highlight w:val="none"/>
          <w:lang w:val="en-US" w:eastAsia="zh-CN"/>
        </w:rPr>
        <w:t>（5）</w:t>
      </w:r>
      <w:r>
        <w:rPr>
          <w:rFonts w:hAnsiTheme="minorEastAsia" w:eastAsiaTheme="minorEastAsia"/>
          <w:b/>
          <w:sz w:val="24"/>
          <w:highlight w:val="none"/>
        </w:rPr>
        <w:t>评级工作等级确定</w:t>
      </w:r>
      <w:bookmarkEnd w:id="163"/>
    </w:p>
    <w:p w14:paraId="59BA6070">
      <w:pPr>
        <w:pageBreakBefore w:val="0"/>
        <w:kinsoku/>
        <w:overflowPunct/>
        <w:topLinePunct w:val="0"/>
        <w:bidi w:val="0"/>
        <w:outlineLvl w:val="9"/>
        <w:rPr>
          <w:highlight w:val="yellow"/>
        </w:rPr>
      </w:pPr>
      <w:r>
        <w:rPr>
          <w:highlight w:val="none"/>
        </w:rPr>
        <w:t>本项目</w:t>
      </w:r>
      <w:r>
        <w:rPr>
          <w:highlight w:val="yellow"/>
        </w:rPr>
        <w:t>所有污染源的正常排放的污染物的Pmax和D10%预测结果如下：</w:t>
      </w:r>
    </w:p>
    <w:p w14:paraId="32D93C76">
      <w:pPr>
        <w:pStyle w:val="7"/>
        <w:bidi w:val="0"/>
        <w:rPr>
          <w:highlight w:val="yellow"/>
        </w:rPr>
      </w:pPr>
      <w:r>
        <w:rPr>
          <w:highlight w:val="yellow"/>
        </w:rPr>
        <w:t>表2-4-</w:t>
      </w:r>
      <w:r>
        <w:rPr>
          <w:rFonts w:hint="eastAsia"/>
          <w:highlight w:val="yellow"/>
          <w:lang w:val="en-US" w:eastAsia="zh-CN"/>
        </w:rPr>
        <w:t>6</w:t>
      </w:r>
      <w:r>
        <w:rPr>
          <w:highlight w:val="yellow"/>
        </w:rPr>
        <w:t>Pmax和D10%预测和计算结果一览表</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1305"/>
        <w:gridCol w:w="1710"/>
        <w:gridCol w:w="1470"/>
        <w:gridCol w:w="1080"/>
        <w:gridCol w:w="1085"/>
      </w:tblGrid>
      <w:tr w14:paraId="510F7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tcBorders>
              <w:tl2br w:val="nil"/>
              <w:tr2bl w:val="nil"/>
            </w:tcBorders>
            <w:vAlign w:val="center"/>
          </w:tcPr>
          <w:p w14:paraId="345E1F1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污染源名称</w:t>
            </w:r>
          </w:p>
        </w:tc>
        <w:tc>
          <w:tcPr>
            <w:tcW w:w="1305" w:type="dxa"/>
            <w:tcBorders>
              <w:tl2br w:val="nil"/>
              <w:tr2bl w:val="nil"/>
            </w:tcBorders>
            <w:vAlign w:val="center"/>
          </w:tcPr>
          <w:p w14:paraId="41C906A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评价因子</w:t>
            </w:r>
          </w:p>
        </w:tc>
        <w:tc>
          <w:tcPr>
            <w:tcW w:w="1710" w:type="dxa"/>
            <w:tcBorders>
              <w:tl2br w:val="nil"/>
              <w:tr2bl w:val="nil"/>
            </w:tcBorders>
            <w:vAlign w:val="center"/>
          </w:tcPr>
          <w:p w14:paraId="5AB465A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评价标准(μg/m³)</w:t>
            </w:r>
          </w:p>
        </w:tc>
        <w:tc>
          <w:tcPr>
            <w:tcW w:w="1470" w:type="dxa"/>
            <w:tcBorders>
              <w:tl2br w:val="nil"/>
              <w:tr2bl w:val="nil"/>
            </w:tcBorders>
            <w:vAlign w:val="center"/>
          </w:tcPr>
          <w:p w14:paraId="2DEBB7B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Cmax(μg/m³)</w:t>
            </w:r>
          </w:p>
        </w:tc>
        <w:tc>
          <w:tcPr>
            <w:tcW w:w="1080" w:type="dxa"/>
            <w:tcBorders>
              <w:tl2br w:val="nil"/>
              <w:tr2bl w:val="nil"/>
            </w:tcBorders>
            <w:vAlign w:val="center"/>
          </w:tcPr>
          <w:p w14:paraId="451145A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Pmax(%)</w:t>
            </w:r>
          </w:p>
        </w:tc>
        <w:tc>
          <w:tcPr>
            <w:tcW w:w="1085" w:type="dxa"/>
            <w:tcBorders>
              <w:tl2br w:val="nil"/>
              <w:tr2bl w:val="nil"/>
            </w:tcBorders>
            <w:vAlign w:val="center"/>
          </w:tcPr>
          <w:p w14:paraId="1D55231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D10%(m)</w:t>
            </w:r>
          </w:p>
        </w:tc>
      </w:tr>
      <w:tr w14:paraId="3A87C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tcBorders>
              <w:tl2br w:val="nil"/>
              <w:tr2bl w:val="nil"/>
            </w:tcBorders>
            <w:vAlign w:val="center"/>
          </w:tcPr>
          <w:p w14:paraId="4D9EC88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sz w:val="21"/>
                <w:szCs w:val="21"/>
                <w:highlight w:val="yellow"/>
              </w:rPr>
              <w:t>2号</w:t>
            </w:r>
            <w:r>
              <w:rPr>
                <w:rFonts w:hint="eastAsia" w:ascii="Times New Roman" w:hAnsi="Times New Roman" w:eastAsia="宋体" w:cs="Times New Roman"/>
                <w:b w:val="0"/>
                <w:sz w:val="21"/>
                <w:szCs w:val="21"/>
                <w:highlight w:val="yellow"/>
                <w:lang w:val="en-US" w:eastAsia="zh-CN"/>
              </w:rPr>
              <w:t>厂房</w:t>
            </w:r>
          </w:p>
        </w:tc>
        <w:tc>
          <w:tcPr>
            <w:tcW w:w="1305" w:type="dxa"/>
            <w:tcBorders>
              <w:tl2br w:val="nil"/>
              <w:tr2bl w:val="nil"/>
            </w:tcBorders>
            <w:vAlign w:val="center"/>
          </w:tcPr>
          <w:p w14:paraId="0A791BF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NMHC</w:t>
            </w:r>
          </w:p>
        </w:tc>
        <w:tc>
          <w:tcPr>
            <w:tcW w:w="1710" w:type="dxa"/>
            <w:tcBorders>
              <w:tl2br w:val="nil"/>
              <w:tr2bl w:val="nil"/>
            </w:tcBorders>
            <w:vAlign w:val="center"/>
          </w:tcPr>
          <w:p w14:paraId="0737322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2000.0</w:t>
            </w:r>
          </w:p>
        </w:tc>
        <w:tc>
          <w:tcPr>
            <w:tcW w:w="1470" w:type="dxa"/>
            <w:tcBorders>
              <w:tl2br w:val="nil"/>
              <w:tr2bl w:val="nil"/>
            </w:tcBorders>
            <w:vAlign w:val="center"/>
          </w:tcPr>
          <w:p w14:paraId="59DC206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rPr>
            </w:pPr>
            <w:r>
              <w:rPr>
                <w:rFonts w:hint="default" w:ascii="Times New Roman" w:hAnsi="Times New Roman" w:eastAsia="宋体" w:cs="Times New Roman"/>
                <w:b w:val="0"/>
                <w:sz w:val="21"/>
                <w:szCs w:val="21"/>
                <w:highlight w:val="yellow"/>
              </w:rPr>
              <w:t>50.7240</w:t>
            </w:r>
          </w:p>
        </w:tc>
        <w:tc>
          <w:tcPr>
            <w:tcW w:w="1080" w:type="dxa"/>
            <w:tcBorders>
              <w:tl2br w:val="nil"/>
              <w:tr2bl w:val="nil"/>
            </w:tcBorders>
            <w:vAlign w:val="center"/>
          </w:tcPr>
          <w:p w14:paraId="36687A0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rPr>
            </w:pPr>
            <w:r>
              <w:rPr>
                <w:rFonts w:hint="default" w:ascii="Times New Roman" w:hAnsi="Times New Roman" w:eastAsia="宋体" w:cs="Times New Roman"/>
                <w:b w:val="0"/>
                <w:sz w:val="21"/>
                <w:szCs w:val="21"/>
                <w:highlight w:val="yellow"/>
              </w:rPr>
              <w:t>2.5362</w:t>
            </w:r>
          </w:p>
        </w:tc>
        <w:tc>
          <w:tcPr>
            <w:tcW w:w="1085" w:type="dxa"/>
            <w:tcBorders>
              <w:tl2br w:val="nil"/>
              <w:tr2bl w:val="nil"/>
            </w:tcBorders>
            <w:vAlign w:val="center"/>
          </w:tcPr>
          <w:p w14:paraId="5C7858E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r w14:paraId="3E147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vMerge w:val="restart"/>
            <w:tcBorders>
              <w:tl2br w:val="nil"/>
              <w:tr2bl w:val="nil"/>
            </w:tcBorders>
            <w:vAlign w:val="center"/>
          </w:tcPr>
          <w:p w14:paraId="7106AC2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DA067</w:t>
            </w:r>
          </w:p>
        </w:tc>
        <w:tc>
          <w:tcPr>
            <w:tcW w:w="1305" w:type="dxa"/>
            <w:tcBorders>
              <w:tl2br w:val="nil"/>
              <w:tr2bl w:val="nil"/>
            </w:tcBorders>
            <w:vAlign w:val="center"/>
          </w:tcPr>
          <w:p w14:paraId="18194DC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NMHC</w:t>
            </w:r>
          </w:p>
        </w:tc>
        <w:tc>
          <w:tcPr>
            <w:tcW w:w="1710" w:type="dxa"/>
            <w:tcBorders>
              <w:tl2br w:val="nil"/>
              <w:tr2bl w:val="nil"/>
            </w:tcBorders>
            <w:vAlign w:val="center"/>
          </w:tcPr>
          <w:p w14:paraId="0591A72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2000.0</w:t>
            </w:r>
          </w:p>
        </w:tc>
        <w:tc>
          <w:tcPr>
            <w:tcW w:w="1470" w:type="dxa"/>
            <w:tcBorders>
              <w:tl2br w:val="nil"/>
              <w:tr2bl w:val="nil"/>
            </w:tcBorders>
            <w:vAlign w:val="center"/>
          </w:tcPr>
          <w:p w14:paraId="07F9675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rPr>
            </w:pPr>
            <w:r>
              <w:rPr>
                <w:rFonts w:hint="default" w:ascii="Times New Roman" w:hAnsi="Times New Roman" w:eastAsia="宋体" w:cs="Times New Roman"/>
                <w:b w:val="0"/>
                <w:sz w:val="21"/>
                <w:szCs w:val="21"/>
                <w:highlight w:val="yellow"/>
              </w:rPr>
              <w:t>0.4975</w:t>
            </w:r>
          </w:p>
        </w:tc>
        <w:tc>
          <w:tcPr>
            <w:tcW w:w="1080" w:type="dxa"/>
            <w:tcBorders>
              <w:tl2br w:val="nil"/>
              <w:tr2bl w:val="nil"/>
            </w:tcBorders>
            <w:vAlign w:val="center"/>
          </w:tcPr>
          <w:p w14:paraId="2B3808E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rPr>
            </w:pPr>
            <w:r>
              <w:rPr>
                <w:rFonts w:hint="default" w:ascii="Times New Roman" w:hAnsi="Times New Roman" w:eastAsia="宋体" w:cs="Times New Roman"/>
                <w:b w:val="0"/>
                <w:sz w:val="21"/>
                <w:szCs w:val="21"/>
                <w:highlight w:val="yellow"/>
              </w:rPr>
              <w:t>0.0249</w:t>
            </w:r>
          </w:p>
        </w:tc>
        <w:tc>
          <w:tcPr>
            <w:tcW w:w="1085" w:type="dxa"/>
            <w:tcBorders>
              <w:tl2br w:val="nil"/>
              <w:tr2bl w:val="nil"/>
            </w:tcBorders>
            <w:vAlign w:val="center"/>
          </w:tcPr>
          <w:p w14:paraId="1F13984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r w14:paraId="099A7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vMerge w:val="continue"/>
            <w:tcBorders>
              <w:tl2br w:val="nil"/>
              <w:tr2bl w:val="nil"/>
            </w:tcBorders>
            <w:vAlign w:val="center"/>
          </w:tcPr>
          <w:p w14:paraId="17D517B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p>
        </w:tc>
        <w:tc>
          <w:tcPr>
            <w:tcW w:w="1305" w:type="dxa"/>
            <w:tcBorders>
              <w:tl2br w:val="nil"/>
              <w:tr2bl w:val="nil"/>
            </w:tcBorders>
            <w:vAlign w:val="center"/>
          </w:tcPr>
          <w:p w14:paraId="19B3BF1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PM10</w:t>
            </w:r>
          </w:p>
        </w:tc>
        <w:tc>
          <w:tcPr>
            <w:tcW w:w="1710" w:type="dxa"/>
            <w:tcBorders>
              <w:tl2br w:val="nil"/>
              <w:tr2bl w:val="nil"/>
            </w:tcBorders>
            <w:vAlign w:val="center"/>
          </w:tcPr>
          <w:p w14:paraId="7FF0B1A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450.0</w:t>
            </w:r>
          </w:p>
        </w:tc>
        <w:tc>
          <w:tcPr>
            <w:tcW w:w="1470" w:type="dxa"/>
            <w:tcBorders>
              <w:tl2br w:val="nil"/>
              <w:tr2bl w:val="nil"/>
            </w:tcBorders>
            <w:vAlign w:val="center"/>
          </w:tcPr>
          <w:p w14:paraId="22ABF51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rPr>
            </w:pPr>
            <w:r>
              <w:rPr>
                <w:rFonts w:hint="default" w:ascii="Times New Roman" w:hAnsi="Times New Roman" w:eastAsia="宋体" w:cs="Times New Roman"/>
                <w:b w:val="0"/>
                <w:sz w:val="21"/>
                <w:szCs w:val="21"/>
                <w:highlight w:val="yellow"/>
              </w:rPr>
              <w:t>0.0498</w:t>
            </w:r>
          </w:p>
        </w:tc>
        <w:tc>
          <w:tcPr>
            <w:tcW w:w="1080" w:type="dxa"/>
            <w:tcBorders>
              <w:tl2br w:val="nil"/>
              <w:tr2bl w:val="nil"/>
            </w:tcBorders>
            <w:vAlign w:val="center"/>
          </w:tcPr>
          <w:p w14:paraId="1A46E3E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rPr>
            </w:pPr>
            <w:r>
              <w:rPr>
                <w:rFonts w:hint="default" w:ascii="Times New Roman" w:hAnsi="Times New Roman" w:eastAsia="宋体" w:cs="Times New Roman"/>
                <w:b w:val="0"/>
                <w:sz w:val="21"/>
                <w:szCs w:val="21"/>
                <w:highlight w:val="yellow"/>
              </w:rPr>
              <w:t>0.0111</w:t>
            </w:r>
          </w:p>
        </w:tc>
        <w:tc>
          <w:tcPr>
            <w:tcW w:w="1085" w:type="dxa"/>
            <w:tcBorders>
              <w:tl2br w:val="nil"/>
              <w:tr2bl w:val="nil"/>
            </w:tcBorders>
            <w:vAlign w:val="center"/>
          </w:tcPr>
          <w:p w14:paraId="2FF8EF9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r w14:paraId="263B5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vMerge w:val="restart"/>
            <w:tcBorders>
              <w:tl2br w:val="nil"/>
              <w:tr2bl w:val="nil"/>
            </w:tcBorders>
            <w:vAlign w:val="center"/>
          </w:tcPr>
          <w:p w14:paraId="14D4446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highlight w:val="yellow"/>
                <w:lang w:eastAsia="zh-CN"/>
              </w:rPr>
            </w:pPr>
            <w:r>
              <w:rPr>
                <w:rFonts w:hint="eastAsia" w:cs="Times New Roman"/>
                <w:b w:val="0"/>
                <w:sz w:val="21"/>
                <w:szCs w:val="21"/>
                <w:highlight w:val="yellow"/>
                <w:lang w:eastAsia="zh-CN"/>
              </w:rPr>
              <w:t>DA068</w:t>
            </w:r>
          </w:p>
        </w:tc>
        <w:tc>
          <w:tcPr>
            <w:tcW w:w="1305" w:type="dxa"/>
            <w:tcBorders>
              <w:tl2br w:val="nil"/>
              <w:tr2bl w:val="nil"/>
            </w:tcBorders>
            <w:vAlign w:val="center"/>
          </w:tcPr>
          <w:p w14:paraId="23FC768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NMHC</w:t>
            </w:r>
          </w:p>
        </w:tc>
        <w:tc>
          <w:tcPr>
            <w:tcW w:w="1710" w:type="dxa"/>
            <w:tcBorders>
              <w:tl2br w:val="nil"/>
              <w:tr2bl w:val="nil"/>
            </w:tcBorders>
            <w:vAlign w:val="center"/>
          </w:tcPr>
          <w:p w14:paraId="734D682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2000.0</w:t>
            </w:r>
          </w:p>
        </w:tc>
        <w:tc>
          <w:tcPr>
            <w:tcW w:w="1470" w:type="dxa"/>
            <w:tcBorders>
              <w:tl2br w:val="nil"/>
              <w:tr2bl w:val="nil"/>
            </w:tcBorders>
            <w:vAlign w:val="center"/>
          </w:tcPr>
          <w:p w14:paraId="14D2B6B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ascii="Times New Roman" w:hAnsi="Times New Roman" w:eastAsia="宋体" w:cs="Times New Roman"/>
                <w:b w:val="0"/>
                <w:sz w:val="21"/>
                <w:szCs w:val="21"/>
                <w:highlight w:val="yellow"/>
                <w:lang w:val="en-US" w:eastAsia="zh-CN"/>
              </w:rPr>
              <w:t>0.9978</w:t>
            </w:r>
          </w:p>
        </w:tc>
        <w:tc>
          <w:tcPr>
            <w:tcW w:w="1080" w:type="dxa"/>
            <w:tcBorders>
              <w:tl2br w:val="nil"/>
              <w:tr2bl w:val="nil"/>
            </w:tcBorders>
            <w:vAlign w:val="center"/>
          </w:tcPr>
          <w:p w14:paraId="0F7EBEB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ascii="Times New Roman" w:hAnsi="Times New Roman" w:eastAsia="宋体" w:cs="Times New Roman"/>
                <w:b w:val="0"/>
                <w:sz w:val="21"/>
                <w:szCs w:val="21"/>
                <w:highlight w:val="yellow"/>
                <w:lang w:val="en-US" w:eastAsia="zh-CN"/>
              </w:rPr>
              <w:t>0.0499</w:t>
            </w:r>
          </w:p>
        </w:tc>
        <w:tc>
          <w:tcPr>
            <w:tcW w:w="1085" w:type="dxa"/>
            <w:tcBorders>
              <w:tl2br w:val="nil"/>
              <w:tr2bl w:val="nil"/>
            </w:tcBorders>
            <w:vAlign w:val="center"/>
          </w:tcPr>
          <w:p w14:paraId="1B5AEED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r w14:paraId="6A815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vMerge w:val="continue"/>
            <w:tcBorders>
              <w:tl2br w:val="nil"/>
              <w:tr2bl w:val="nil"/>
            </w:tcBorders>
            <w:vAlign w:val="center"/>
          </w:tcPr>
          <w:p w14:paraId="42B26CC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p>
        </w:tc>
        <w:tc>
          <w:tcPr>
            <w:tcW w:w="1305" w:type="dxa"/>
            <w:tcBorders>
              <w:tl2br w:val="nil"/>
              <w:tr2bl w:val="nil"/>
            </w:tcBorders>
            <w:vAlign w:val="center"/>
          </w:tcPr>
          <w:p w14:paraId="5541FDB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NOx</w:t>
            </w:r>
          </w:p>
        </w:tc>
        <w:tc>
          <w:tcPr>
            <w:tcW w:w="1710" w:type="dxa"/>
            <w:tcBorders>
              <w:tl2br w:val="nil"/>
              <w:tr2bl w:val="nil"/>
            </w:tcBorders>
            <w:vAlign w:val="center"/>
          </w:tcPr>
          <w:p w14:paraId="26B8C4B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250.0</w:t>
            </w:r>
          </w:p>
        </w:tc>
        <w:tc>
          <w:tcPr>
            <w:tcW w:w="1470" w:type="dxa"/>
            <w:tcBorders>
              <w:tl2br w:val="nil"/>
              <w:tr2bl w:val="nil"/>
            </w:tcBorders>
            <w:vAlign w:val="center"/>
          </w:tcPr>
          <w:p w14:paraId="422C34D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ascii="Times New Roman" w:hAnsi="Times New Roman" w:eastAsia="宋体" w:cs="Times New Roman"/>
                <w:b w:val="0"/>
                <w:sz w:val="21"/>
                <w:szCs w:val="21"/>
                <w:highlight w:val="yellow"/>
                <w:lang w:val="en-US" w:eastAsia="zh-CN"/>
              </w:rPr>
              <w:t>11.4741</w:t>
            </w:r>
          </w:p>
        </w:tc>
        <w:tc>
          <w:tcPr>
            <w:tcW w:w="1080" w:type="dxa"/>
            <w:tcBorders>
              <w:tl2br w:val="nil"/>
              <w:tr2bl w:val="nil"/>
            </w:tcBorders>
            <w:vAlign w:val="center"/>
          </w:tcPr>
          <w:p w14:paraId="4070751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ascii="Times New Roman" w:hAnsi="Times New Roman" w:eastAsia="宋体" w:cs="Times New Roman"/>
                <w:b w:val="0"/>
                <w:sz w:val="21"/>
                <w:szCs w:val="21"/>
                <w:highlight w:val="yellow"/>
                <w:lang w:val="en-US" w:eastAsia="zh-CN"/>
              </w:rPr>
              <w:t>4.5896</w:t>
            </w:r>
          </w:p>
        </w:tc>
        <w:tc>
          <w:tcPr>
            <w:tcW w:w="1085" w:type="dxa"/>
            <w:tcBorders>
              <w:tl2br w:val="nil"/>
              <w:tr2bl w:val="nil"/>
            </w:tcBorders>
            <w:vAlign w:val="center"/>
          </w:tcPr>
          <w:p w14:paraId="3EE8878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r w14:paraId="4576D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vMerge w:val="restart"/>
            <w:tcBorders>
              <w:tl2br w:val="nil"/>
              <w:tr2bl w:val="nil"/>
            </w:tcBorders>
            <w:vAlign w:val="center"/>
          </w:tcPr>
          <w:p w14:paraId="034376E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highlight w:val="yellow"/>
                <w:lang w:val="en-US" w:eastAsia="zh-CN"/>
              </w:rPr>
            </w:pPr>
            <w:r>
              <w:rPr>
                <w:rFonts w:hint="eastAsia" w:cs="Times New Roman"/>
                <w:b w:val="0"/>
                <w:sz w:val="21"/>
                <w:szCs w:val="21"/>
                <w:highlight w:val="yellow"/>
                <w:lang w:val="en-US" w:eastAsia="zh-CN"/>
              </w:rPr>
              <w:t>含油金属屑处理车间</w:t>
            </w:r>
          </w:p>
        </w:tc>
        <w:tc>
          <w:tcPr>
            <w:tcW w:w="1305" w:type="dxa"/>
            <w:tcBorders>
              <w:tl2br w:val="nil"/>
              <w:tr2bl w:val="nil"/>
            </w:tcBorders>
            <w:vAlign w:val="center"/>
          </w:tcPr>
          <w:p w14:paraId="433B6A0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NMHC</w:t>
            </w:r>
          </w:p>
        </w:tc>
        <w:tc>
          <w:tcPr>
            <w:tcW w:w="1710" w:type="dxa"/>
            <w:tcBorders>
              <w:tl2br w:val="nil"/>
              <w:tr2bl w:val="nil"/>
            </w:tcBorders>
            <w:vAlign w:val="center"/>
          </w:tcPr>
          <w:p w14:paraId="41A86F8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2000.0</w:t>
            </w:r>
          </w:p>
        </w:tc>
        <w:tc>
          <w:tcPr>
            <w:tcW w:w="1470" w:type="dxa"/>
            <w:tcBorders>
              <w:tl2br w:val="nil"/>
              <w:tr2bl w:val="nil"/>
            </w:tcBorders>
            <w:vAlign w:val="center"/>
          </w:tcPr>
          <w:p w14:paraId="0BCF341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cs="Times New Roman"/>
                <w:b w:val="0"/>
                <w:sz w:val="21"/>
                <w:szCs w:val="21"/>
                <w:highlight w:val="yellow"/>
                <w:lang w:val="en-US" w:eastAsia="zh-CN"/>
              </w:rPr>
              <w:t>82.9550</w:t>
            </w:r>
          </w:p>
        </w:tc>
        <w:tc>
          <w:tcPr>
            <w:tcW w:w="1080" w:type="dxa"/>
            <w:tcBorders>
              <w:tl2br w:val="nil"/>
              <w:tr2bl w:val="nil"/>
            </w:tcBorders>
            <w:vAlign w:val="center"/>
          </w:tcPr>
          <w:p w14:paraId="487FAFC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cs="Times New Roman"/>
                <w:b w:val="0"/>
                <w:sz w:val="21"/>
                <w:szCs w:val="21"/>
                <w:highlight w:val="yellow"/>
                <w:lang w:val="en-US" w:eastAsia="zh-CN"/>
              </w:rPr>
              <w:t>4.1478</w:t>
            </w:r>
          </w:p>
        </w:tc>
        <w:tc>
          <w:tcPr>
            <w:tcW w:w="1085" w:type="dxa"/>
            <w:tcBorders>
              <w:tl2br w:val="nil"/>
              <w:tr2bl w:val="nil"/>
            </w:tcBorders>
            <w:vAlign w:val="center"/>
          </w:tcPr>
          <w:p w14:paraId="38E3FEF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r w14:paraId="5A195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2" w:type="dxa"/>
            <w:vMerge w:val="continue"/>
            <w:tcBorders>
              <w:tl2br w:val="nil"/>
              <w:tr2bl w:val="nil"/>
            </w:tcBorders>
            <w:vAlign w:val="center"/>
          </w:tcPr>
          <w:p w14:paraId="6D23436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p>
        </w:tc>
        <w:tc>
          <w:tcPr>
            <w:tcW w:w="1305" w:type="dxa"/>
            <w:tcBorders>
              <w:tl2br w:val="nil"/>
              <w:tr2bl w:val="nil"/>
            </w:tcBorders>
            <w:vAlign w:val="center"/>
          </w:tcPr>
          <w:p w14:paraId="73EE61F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TSP</w:t>
            </w:r>
          </w:p>
        </w:tc>
        <w:tc>
          <w:tcPr>
            <w:tcW w:w="1710" w:type="dxa"/>
            <w:tcBorders>
              <w:tl2br w:val="nil"/>
              <w:tr2bl w:val="nil"/>
            </w:tcBorders>
            <w:vAlign w:val="center"/>
          </w:tcPr>
          <w:p w14:paraId="14B02E1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900.0</w:t>
            </w:r>
          </w:p>
        </w:tc>
        <w:tc>
          <w:tcPr>
            <w:tcW w:w="1470" w:type="dxa"/>
            <w:tcBorders>
              <w:tl2br w:val="nil"/>
              <w:tr2bl w:val="nil"/>
            </w:tcBorders>
            <w:vAlign w:val="center"/>
          </w:tcPr>
          <w:p w14:paraId="169D46A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cs="Times New Roman"/>
                <w:b w:val="0"/>
                <w:sz w:val="21"/>
                <w:szCs w:val="21"/>
                <w:highlight w:val="yellow"/>
                <w:lang w:val="en-US" w:eastAsia="zh-CN"/>
              </w:rPr>
              <w:t>0.1464</w:t>
            </w:r>
          </w:p>
        </w:tc>
        <w:tc>
          <w:tcPr>
            <w:tcW w:w="1080" w:type="dxa"/>
            <w:tcBorders>
              <w:tl2br w:val="nil"/>
              <w:tr2bl w:val="nil"/>
            </w:tcBorders>
            <w:vAlign w:val="center"/>
          </w:tcPr>
          <w:p w14:paraId="32794CD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default" w:ascii="Times New Roman" w:hAnsi="Times New Roman" w:eastAsia="宋体" w:cs="Times New Roman"/>
                <w:b w:val="0"/>
                <w:sz w:val="21"/>
                <w:szCs w:val="21"/>
                <w:highlight w:val="yellow"/>
              </w:rPr>
              <w:t>0.</w:t>
            </w:r>
            <w:r>
              <w:rPr>
                <w:rFonts w:hint="eastAsia" w:cs="Times New Roman"/>
                <w:b w:val="0"/>
                <w:sz w:val="21"/>
                <w:szCs w:val="21"/>
                <w:highlight w:val="yellow"/>
                <w:lang w:val="en-US" w:eastAsia="zh-CN"/>
              </w:rPr>
              <w:t>0163</w:t>
            </w:r>
          </w:p>
        </w:tc>
        <w:tc>
          <w:tcPr>
            <w:tcW w:w="1085" w:type="dxa"/>
            <w:tcBorders>
              <w:tl2br w:val="nil"/>
              <w:tr2bl w:val="nil"/>
            </w:tcBorders>
            <w:vAlign w:val="center"/>
          </w:tcPr>
          <w:p w14:paraId="4ED87D1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r w14:paraId="458B7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tcBorders>
              <w:tl2br w:val="nil"/>
              <w:tr2bl w:val="nil"/>
            </w:tcBorders>
            <w:vAlign w:val="center"/>
          </w:tcPr>
          <w:p w14:paraId="7B5C96A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DA066</w:t>
            </w:r>
          </w:p>
        </w:tc>
        <w:tc>
          <w:tcPr>
            <w:tcW w:w="1305" w:type="dxa"/>
            <w:tcBorders>
              <w:tl2br w:val="nil"/>
              <w:tr2bl w:val="nil"/>
            </w:tcBorders>
            <w:vAlign w:val="center"/>
          </w:tcPr>
          <w:p w14:paraId="10CB9F3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NMHC</w:t>
            </w:r>
          </w:p>
        </w:tc>
        <w:tc>
          <w:tcPr>
            <w:tcW w:w="1710" w:type="dxa"/>
            <w:tcBorders>
              <w:tl2br w:val="nil"/>
              <w:tr2bl w:val="nil"/>
            </w:tcBorders>
            <w:vAlign w:val="center"/>
          </w:tcPr>
          <w:p w14:paraId="2C78848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2000.0</w:t>
            </w:r>
          </w:p>
        </w:tc>
        <w:tc>
          <w:tcPr>
            <w:tcW w:w="1470" w:type="dxa"/>
            <w:tcBorders>
              <w:tl2br w:val="nil"/>
              <w:tr2bl w:val="nil"/>
            </w:tcBorders>
            <w:vAlign w:val="center"/>
          </w:tcPr>
          <w:p w14:paraId="4D97165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cs="Times New Roman"/>
                <w:b w:val="0"/>
                <w:sz w:val="21"/>
                <w:szCs w:val="21"/>
                <w:highlight w:val="yellow"/>
                <w:lang w:val="en-US" w:eastAsia="zh-CN"/>
              </w:rPr>
              <w:t>4.0080</w:t>
            </w:r>
          </w:p>
        </w:tc>
        <w:tc>
          <w:tcPr>
            <w:tcW w:w="1080" w:type="dxa"/>
            <w:tcBorders>
              <w:tl2br w:val="nil"/>
              <w:tr2bl w:val="nil"/>
            </w:tcBorders>
            <w:vAlign w:val="center"/>
          </w:tcPr>
          <w:p w14:paraId="052A768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default" w:ascii="Times New Roman" w:hAnsi="Times New Roman" w:eastAsia="宋体" w:cs="Times New Roman"/>
                <w:b w:val="0"/>
                <w:sz w:val="21"/>
                <w:szCs w:val="21"/>
                <w:highlight w:val="yellow"/>
              </w:rPr>
              <w:t>0.</w:t>
            </w:r>
            <w:r>
              <w:rPr>
                <w:rFonts w:hint="eastAsia" w:cs="Times New Roman"/>
                <w:b w:val="0"/>
                <w:sz w:val="21"/>
                <w:szCs w:val="21"/>
                <w:highlight w:val="yellow"/>
                <w:lang w:val="en-US" w:eastAsia="zh-CN"/>
              </w:rPr>
              <w:t>2004</w:t>
            </w:r>
          </w:p>
        </w:tc>
        <w:tc>
          <w:tcPr>
            <w:tcW w:w="1085" w:type="dxa"/>
            <w:tcBorders>
              <w:tl2br w:val="nil"/>
              <w:tr2bl w:val="nil"/>
            </w:tcBorders>
            <w:vAlign w:val="center"/>
          </w:tcPr>
          <w:p w14:paraId="0D26B80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r w14:paraId="48360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tcBorders>
              <w:tl2br w:val="nil"/>
              <w:tr2bl w:val="nil"/>
            </w:tcBorders>
            <w:vAlign w:val="center"/>
          </w:tcPr>
          <w:p w14:paraId="5A062BB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DA065</w:t>
            </w:r>
          </w:p>
        </w:tc>
        <w:tc>
          <w:tcPr>
            <w:tcW w:w="1305" w:type="dxa"/>
            <w:tcBorders>
              <w:tl2br w:val="nil"/>
              <w:tr2bl w:val="nil"/>
            </w:tcBorders>
            <w:vAlign w:val="center"/>
          </w:tcPr>
          <w:p w14:paraId="6960EEA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NMHC</w:t>
            </w:r>
          </w:p>
        </w:tc>
        <w:tc>
          <w:tcPr>
            <w:tcW w:w="1710" w:type="dxa"/>
            <w:tcBorders>
              <w:tl2br w:val="nil"/>
              <w:tr2bl w:val="nil"/>
            </w:tcBorders>
            <w:vAlign w:val="center"/>
          </w:tcPr>
          <w:p w14:paraId="7D889B7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2000.0</w:t>
            </w:r>
          </w:p>
        </w:tc>
        <w:tc>
          <w:tcPr>
            <w:tcW w:w="1470" w:type="dxa"/>
            <w:tcBorders>
              <w:tl2br w:val="nil"/>
              <w:tr2bl w:val="nil"/>
            </w:tcBorders>
            <w:vAlign w:val="center"/>
          </w:tcPr>
          <w:p w14:paraId="43F0A18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cs="Times New Roman"/>
                <w:b w:val="0"/>
                <w:sz w:val="21"/>
                <w:szCs w:val="21"/>
                <w:highlight w:val="yellow"/>
                <w:lang w:val="en-US" w:eastAsia="zh-CN"/>
              </w:rPr>
              <w:t>3.9448</w:t>
            </w:r>
          </w:p>
        </w:tc>
        <w:tc>
          <w:tcPr>
            <w:tcW w:w="1080" w:type="dxa"/>
            <w:tcBorders>
              <w:tl2br w:val="nil"/>
              <w:tr2bl w:val="nil"/>
            </w:tcBorders>
            <w:vAlign w:val="center"/>
          </w:tcPr>
          <w:p w14:paraId="0E0F8AA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cs="Times New Roman"/>
                <w:b w:val="0"/>
                <w:sz w:val="21"/>
                <w:szCs w:val="21"/>
                <w:highlight w:val="yellow"/>
                <w:lang w:val="en-US" w:eastAsia="zh-CN"/>
              </w:rPr>
              <w:t>0.1972</w:t>
            </w:r>
          </w:p>
        </w:tc>
        <w:tc>
          <w:tcPr>
            <w:tcW w:w="1085" w:type="dxa"/>
            <w:tcBorders>
              <w:tl2br w:val="nil"/>
              <w:tr2bl w:val="nil"/>
            </w:tcBorders>
            <w:vAlign w:val="center"/>
          </w:tcPr>
          <w:p w14:paraId="6E4C111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r w14:paraId="3ED1A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72" w:type="dxa"/>
            <w:tcBorders>
              <w:tl2br w:val="nil"/>
              <w:tr2bl w:val="nil"/>
            </w:tcBorders>
            <w:vAlign w:val="center"/>
          </w:tcPr>
          <w:p w14:paraId="2184AB1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sz w:val="21"/>
                <w:szCs w:val="21"/>
                <w:highlight w:val="yellow"/>
              </w:rPr>
              <w:t>4号</w:t>
            </w:r>
            <w:r>
              <w:rPr>
                <w:rFonts w:hint="eastAsia" w:ascii="Times New Roman" w:hAnsi="Times New Roman" w:eastAsia="宋体" w:cs="Times New Roman"/>
                <w:b w:val="0"/>
                <w:sz w:val="21"/>
                <w:szCs w:val="21"/>
                <w:highlight w:val="yellow"/>
                <w:lang w:val="en-US" w:eastAsia="zh-CN"/>
              </w:rPr>
              <w:t>厂房</w:t>
            </w:r>
          </w:p>
        </w:tc>
        <w:tc>
          <w:tcPr>
            <w:tcW w:w="1305" w:type="dxa"/>
            <w:tcBorders>
              <w:tl2br w:val="nil"/>
              <w:tr2bl w:val="nil"/>
            </w:tcBorders>
            <w:vAlign w:val="center"/>
          </w:tcPr>
          <w:p w14:paraId="7F11509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NMHC</w:t>
            </w:r>
          </w:p>
        </w:tc>
        <w:tc>
          <w:tcPr>
            <w:tcW w:w="1710" w:type="dxa"/>
            <w:tcBorders>
              <w:tl2br w:val="nil"/>
              <w:tr2bl w:val="nil"/>
            </w:tcBorders>
            <w:vAlign w:val="center"/>
          </w:tcPr>
          <w:p w14:paraId="1F19DB4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2000.0</w:t>
            </w:r>
          </w:p>
        </w:tc>
        <w:tc>
          <w:tcPr>
            <w:tcW w:w="1470" w:type="dxa"/>
            <w:tcBorders>
              <w:tl2br w:val="nil"/>
              <w:tr2bl w:val="nil"/>
            </w:tcBorders>
            <w:vAlign w:val="center"/>
          </w:tcPr>
          <w:p w14:paraId="34B8232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eastAsia" w:cs="Times New Roman"/>
                <w:b w:val="0"/>
                <w:sz w:val="21"/>
                <w:szCs w:val="21"/>
                <w:highlight w:val="yellow"/>
                <w:lang w:val="en-US" w:eastAsia="zh-CN"/>
              </w:rPr>
              <w:t>17.3960</w:t>
            </w:r>
          </w:p>
        </w:tc>
        <w:tc>
          <w:tcPr>
            <w:tcW w:w="1080" w:type="dxa"/>
            <w:tcBorders>
              <w:tl2br w:val="nil"/>
              <w:tr2bl w:val="nil"/>
            </w:tcBorders>
            <w:vAlign w:val="center"/>
          </w:tcPr>
          <w:p w14:paraId="6D35F9E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z w:val="21"/>
                <w:szCs w:val="21"/>
                <w:highlight w:val="yellow"/>
                <w:lang w:val="en-US" w:eastAsia="zh-CN"/>
              </w:rPr>
            </w:pPr>
            <w:r>
              <w:rPr>
                <w:rFonts w:hint="default" w:ascii="Times New Roman" w:hAnsi="Times New Roman" w:eastAsia="宋体" w:cs="Times New Roman"/>
                <w:b w:val="0"/>
                <w:sz w:val="21"/>
                <w:szCs w:val="21"/>
                <w:highlight w:val="yellow"/>
              </w:rPr>
              <w:t>0.</w:t>
            </w:r>
            <w:r>
              <w:rPr>
                <w:rFonts w:hint="eastAsia" w:cs="Times New Roman"/>
                <w:b w:val="0"/>
                <w:sz w:val="21"/>
                <w:szCs w:val="21"/>
                <w:highlight w:val="yellow"/>
                <w:lang w:val="en-US" w:eastAsia="zh-CN"/>
              </w:rPr>
              <w:t>8698</w:t>
            </w:r>
          </w:p>
        </w:tc>
        <w:tc>
          <w:tcPr>
            <w:tcW w:w="1085" w:type="dxa"/>
            <w:tcBorders>
              <w:tl2br w:val="nil"/>
              <w:tr2bl w:val="nil"/>
            </w:tcBorders>
            <w:vAlign w:val="center"/>
          </w:tcPr>
          <w:p w14:paraId="68440C0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yellow"/>
              </w:rPr>
            </w:pPr>
            <w:r>
              <w:rPr>
                <w:rFonts w:hint="default" w:ascii="Times New Roman" w:hAnsi="Times New Roman" w:eastAsia="宋体" w:cs="Times New Roman"/>
                <w:b w:val="0"/>
                <w:sz w:val="21"/>
                <w:szCs w:val="21"/>
                <w:highlight w:val="yellow"/>
              </w:rPr>
              <w:t>/</w:t>
            </w:r>
          </w:p>
        </w:tc>
      </w:tr>
    </w:tbl>
    <w:p w14:paraId="09CB7170">
      <w:pPr>
        <w:pageBreakBefore w:val="0"/>
        <w:kinsoku/>
        <w:overflowPunct/>
        <w:topLinePunct w:val="0"/>
        <w:bidi w:val="0"/>
        <w:outlineLvl w:val="9"/>
        <w:rPr>
          <w:rFonts w:eastAsiaTheme="minorEastAsia"/>
          <w:sz w:val="24"/>
          <w:highlight w:val="none"/>
        </w:rPr>
      </w:pPr>
      <w:r>
        <w:rPr>
          <w:rFonts w:hAnsiTheme="minorEastAsia" w:eastAsiaTheme="minorEastAsia"/>
          <w:sz w:val="24"/>
          <w:highlight w:val="none"/>
        </w:rPr>
        <w:t>由上表可知，本项目产生的大气污染物预测最大地面质量浓度占标率最大值为</w:t>
      </w:r>
      <w:r>
        <w:rPr>
          <w:rFonts w:hint="eastAsia" w:eastAsiaTheme="minorEastAsia"/>
          <w:sz w:val="21"/>
          <w:szCs w:val="21"/>
          <w:highlight w:val="none"/>
          <w:lang w:val="en-US" w:eastAsia="zh-CN"/>
        </w:rPr>
        <w:t>4.5896</w:t>
      </w:r>
      <w:r>
        <w:rPr>
          <w:rFonts w:eastAsiaTheme="minorEastAsia"/>
          <w:sz w:val="24"/>
          <w:highlight w:val="none"/>
        </w:rPr>
        <w:t>%</w:t>
      </w:r>
      <w:r>
        <w:rPr>
          <w:rFonts w:hAnsiTheme="minorEastAsia" w:eastAsiaTheme="minorEastAsia"/>
          <w:sz w:val="24"/>
          <w:highlight w:val="none"/>
        </w:rPr>
        <w:t>，因此，确定本项目大气环境影响评价等级为</w:t>
      </w:r>
      <w:r>
        <w:rPr>
          <w:rFonts w:hint="eastAsia" w:hAnsiTheme="minorEastAsia" w:eastAsiaTheme="minorEastAsia"/>
          <w:sz w:val="24"/>
          <w:highlight w:val="none"/>
          <w:lang w:val="en-US" w:eastAsia="zh-CN"/>
        </w:rPr>
        <w:t>二</w:t>
      </w:r>
      <w:r>
        <w:rPr>
          <w:rFonts w:hAnsiTheme="minorEastAsia" w:eastAsiaTheme="minorEastAsia"/>
          <w:sz w:val="24"/>
          <w:highlight w:val="none"/>
        </w:rPr>
        <w:t>级。</w:t>
      </w:r>
    </w:p>
    <w:p w14:paraId="0F358A38">
      <w:pPr>
        <w:pStyle w:val="5"/>
        <w:bidi w:val="0"/>
        <w:rPr>
          <w:highlight w:val="none"/>
        </w:rPr>
      </w:pPr>
      <w:bookmarkStart w:id="164" w:name="_Toc25176"/>
      <w:bookmarkStart w:id="165" w:name="_Toc10510"/>
      <w:r>
        <w:rPr>
          <w:highlight w:val="none"/>
        </w:rPr>
        <w:t>2.4.2地表水环境</w:t>
      </w:r>
      <w:bookmarkEnd w:id="164"/>
      <w:bookmarkEnd w:id="165"/>
    </w:p>
    <w:p w14:paraId="4FF736D4">
      <w:pPr>
        <w:bidi w:val="0"/>
        <w:rPr>
          <w:rFonts w:hAnsiTheme="minorEastAsia" w:eastAsiaTheme="minorEastAsia"/>
          <w:snapToGrid w:val="0"/>
          <w:kern w:val="0"/>
          <w:sz w:val="24"/>
          <w:highlight w:val="none"/>
        </w:rPr>
      </w:pPr>
      <w:r>
        <w:rPr>
          <w:rFonts w:hAnsiTheme="minorEastAsia" w:eastAsiaTheme="minorEastAsia"/>
          <w:snapToGrid w:val="0"/>
          <w:kern w:val="0"/>
          <w:sz w:val="24"/>
          <w:highlight w:val="none"/>
        </w:rPr>
        <w:t>根据《环境影响评价技术导则地表水环境》（</w:t>
      </w:r>
      <w:r>
        <w:rPr>
          <w:rFonts w:eastAsiaTheme="minorEastAsia"/>
          <w:snapToGrid w:val="0"/>
          <w:kern w:val="0"/>
          <w:sz w:val="24"/>
          <w:highlight w:val="none"/>
        </w:rPr>
        <w:t>HJ2.3-2018</w:t>
      </w:r>
      <w:r>
        <w:rPr>
          <w:rFonts w:hAnsiTheme="minorEastAsia" w:eastAsiaTheme="minorEastAsia"/>
          <w:snapToGrid w:val="0"/>
          <w:kern w:val="0"/>
          <w:sz w:val="24"/>
          <w:highlight w:val="none"/>
        </w:rPr>
        <w:t>）中的有关规定，将地表水环境影响评价工作等级分为一级、二级、三级</w:t>
      </w:r>
      <w:r>
        <w:rPr>
          <w:rFonts w:eastAsiaTheme="minorEastAsia"/>
          <w:snapToGrid w:val="0"/>
          <w:kern w:val="0"/>
          <w:sz w:val="24"/>
          <w:highlight w:val="none"/>
        </w:rPr>
        <w:t>A</w:t>
      </w:r>
      <w:r>
        <w:rPr>
          <w:rFonts w:hAnsiTheme="minorEastAsia" w:eastAsiaTheme="minorEastAsia"/>
          <w:snapToGrid w:val="0"/>
          <w:kern w:val="0"/>
          <w:sz w:val="24"/>
          <w:highlight w:val="none"/>
        </w:rPr>
        <w:t>、三级</w:t>
      </w:r>
      <w:r>
        <w:rPr>
          <w:rFonts w:eastAsiaTheme="minorEastAsia"/>
          <w:snapToGrid w:val="0"/>
          <w:kern w:val="0"/>
          <w:sz w:val="24"/>
          <w:highlight w:val="none"/>
        </w:rPr>
        <w:t>B</w:t>
      </w:r>
      <w:r>
        <w:rPr>
          <w:rFonts w:hAnsiTheme="minorEastAsia" w:eastAsiaTheme="minorEastAsia"/>
          <w:snapToGrid w:val="0"/>
          <w:kern w:val="0"/>
          <w:sz w:val="24"/>
          <w:highlight w:val="none"/>
        </w:rPr>
        <w:t>，划分依据见</w:t>
      </w:r>
      <w:r>
        <w:rPr>
          <w:rFonts w:hint="eastAsia" w:hAnsiTheme="minorEastAsia" w:eastAsiaTheme="minorEastAsia"/>
          <w:snapToGrid w:val="0"/>
          <w:kern w:val="0"/>
          <w:sz w:val="24"/>
          <w:highlight w:val="none"/>
          <w:lang w:val="en-US" w:eastAsia="zh-CN"/>
        </w:rPr>
        <w:t>下表</w:t>
      </w:r>
      <w:r>
        <w:rPr>
          <w:rFonts w:hAnsiTheme="minorEastAsia" w:eastAsiaTheme="minorEastAsia"/>
          <w:snapToGrid w:val="0"/>
          <w:kern w:val="0"/>
          <w:sz w:val="24"/>
          <w:highlight w:val="none"/>
        </w:rPr>
        <w:t>。</w:t>
      </w:r>
    </w:p>
    <w:p w14:paraId="1384CFC5">
      <w:pPr>
        <w:bidi w:val="0"/>
        <w:rPr>
          <w:rFonts w:hAnsiTheme="minorEastAsia" w:eastAsiaTheme="minorEastAsia"/>
          <w:snapToGrid w:val="0"/>
          <w:kern w:val="0"/>
          <w:sz w:val="24"/>
          <w:highlight w:val="none"/>
        </w:rPr>
      </w:pPr>
    </w:p>
    <w:p w14:paraId="7C84D5CB">
      <w:pPr>
        <w:bidi w:val="0"/>
        <w:rPr>
          <w:rFonts w:hAnsiTheme="minorEastAsia" w:eastAsiaTheme="minorEastAsia"/>
          <w:snapToGrid w:val="0"/>
          <w:kern w:val="0"/>
          <w:sz w:val="24"/>
          <w:highlight w:val="none"/>
        </w:rPr>
      </w:pPr>
    </w:p>
    <w:p w14:paraId="71D759B4">
      <w:pPr>
        <w:bidi w:val="0"/>
        <w:rPr>
          <w:rFonts w:hAnsiTheme="minorEastAsia" w:eastAsiaTheme="minorEastAsia"/>
          <w:snapToGrid w:val="0"/>
          <w:kern w:val="0"/>
          <w:sz w:val="24"/>
          <w:highlight w:val="none"/>
        </w:rPr>
      </w:pPr>
    </w:p>
    <w:p w14:paraId="48195A30">
      <w:pPr>
        <w:bidi w:val="0"/>
        <w:rPr>
          <w:rFonts w:hAnsiTheme="minorEastAsia" w:eastAsiaTheme="minorEastAsia"/>
          <w:snapToGrid w:val="0"/>
          <w:kern w:val="0"/>
          <w:sz w:val="24"/>
          <w:highlight w:val="none"/>
        </w:rPr>
      </w:pPr>
    </w:p>
    <w:p w14:paraId="1F98231F">
      <w:pPr>
        <w:bidi w:val="0"/>
        <w:rPr>
          <w:rFonts w:hAnsiTheme="minorEastAsia" w:eastAsiaTheme="minorEastAsia"/>
          <w:snapToGrid w:val="0"/>
          <w:kern w:val="0"/>
          <w:sz w:val="24"/>
          <w:highlight w:val="none"/>
        </w:rPr>
      </w:pPr>
    </w:p>
    <w:p w14:paraId="5242D4C2">
      <w:pPr>
        <w:bidi w:val="0"/>
        <w:rPr>
          <w:rFonts w:hAnsiTheme="minorEastAsia" w:eastAsiaTheme="minorEastAsia"/>
          <w:snapToGrid w:val="0"/>
          <w:kern w:val="0"/>
          <w:sz w:val="24"/>
          <w:highlight w:val="none"/>
        </w:rPr>
      </w:pPr>
    </w:p>
    <w:p w14:paraId="483D422A">
      <w:pPr>
        <w:bidi w:val="0"/>
        <w:rPr>
          <w:rFonts w:hAnsiTheme="minorEastAsia" w:eastAsiaTheme="minorEastAsia"/>
          <w:snapToGrid w:val="0"/>
          <w:kern w:val="0"/>
          <w:sz w:val="24"/>
          <w:highlight w:val="none"/>
        </w:rPr>
      </w:pPr>
    </w:p>
    <w:p w14:paraId="4369ABCC">
      <w:pPr>
        <w:bidi w:val="0"/>
        <w:rPr>
          <w:rFonts w:hAnsiTheme="minorEastAsia" w:eastAsiaTheme="minorEastAsia"/>
          <w:snapToGrid w:val="0"/>
          <w:kern w:val="0"/>
          <w:sz w:val="24"/>
          <w:highlight w:val="none"/>
        </w:rPr>
      </w:pPr>
    </w:p>
    <w:p w14:paraId="6241C40D">
      <w:pPr>
        <w:bidi w:val="0"/>
        <w:rPr>
          <w:rFonts w:hAnsiTheme="minorEastAsia" w:eastAsiaTheme="minorEastAsia"/>
          <w:snapToGrid w:val="0"/>
          <w:kern w:val="0"/>
          <w:sz w:val="24"/>
          <w:highlight w:val="none"/>
        </w:rPr>
      </w:pPr>
    </w:p>
    <w:p w14:paraId="39B9EDF9">
      <w:pPr>
        <w:bidi w:val="0"/>
        <w:rPr>
          <w:rFonts w:hAnsiTheme="minorEastAsia" w:eastAsiaTheme="minorEastAsia"/>
          <w:snapToGrid w:val="0"/>
          <w:kern w:val="0"/>
          <w:sz w:val="24"/>
          <w:highlight w:val="none"/>
        </w:rPr>
      </w:pPr>
    </w:p>
    <w:p w14:paraId="4AD743A8">
      <w:pPr>
        <w:bidi w:val="0"/>
        <w:rPr>
          <w:rFonts w:hAnsiTheme="minorEastAsia" w:eastAsiaTheme="minorEastAsia"/>
          <w:snapToGrid w:val="0"/>
          <w:kern w:val="0"/>
          <w:sz w:val="24"/>
          <w:highlight w:val="none"/>
        </w:rPr>
      </w:pPr>
    </w:p>
    <w:p w14:paraId="187EEF82">
      <w:pPr>
        <w:bidi w:val="0"/>
        <w:rPr>
          <w:rFonts w:hAnsiTheme="minorEastAsia" w:eastAsiaTheme="minorEastAsia"/>
          <w:snapToGrid w:val="0"/>
          <w:kern w:val="0"/>
          <w:sz w:val="24"/>
          <w:highlight w:val="none"/>
        </w:rPr>
      </w:pPr>
    </w:p>
    <w:p w14:paraId="73B4E326">
      <w:pPr>
        <w:bidi w:val="0"/>
        <w:rPr>
          <w:rFonts w:hAnsiTheme="minorEastAsia" w:eastAsiaTheme="minorEastAsia"/>
          <w:snapToGrid w:val="0"/>
          <w:kern w:val="0"/>
          <w:sz w:val="24"/>
          <w:highlight w:val="none"/>
        </w:rPr>
      </w:pPr>
    </w:p>
    <w:p w14:paraId="0A539B25">
      <w:pPr>
        <w:bidi w:val="0"/>
        <w:rPr>
          <w:rFonts w:hAnsiTheme="minorEastAsia" w:eastAsiaTheme="minorEastAsia"/>
          <w:snapToGrid w:val="0"/>
          <w:kern w:val="0"/>
          <w:sz w:val="24"/>
          <w:highlight w:val="none"/>
        </w:rPr>
      </w:pPr>
    </w:p>
    <w:p w14:paraId="70706CAF">
      <w:pPr>
        <w:bidi w:val="0"/>
        <w:rPr>
          <w:rFonts w:hAnsiTheme="minorEastAsia" w:eastAsiaTheme="minorEastAsia"/>
          <w:snapToGrid w:val="0"/>
          <w:kern w:val="0"/>
          <w:sz w:val="24"/>
          <w:highlight w:val="none"/>
        </w:rPr>
      </w:pPr>
    </w:p>
    <w:p w14:paraId="2086BA47">
      <w:pPr>
        <w:bidi w:val="0"/>
        <w:rPr>
          <w:rFonts w:hAnsiTheme="minorEastAsia" w:eastAsiaTheme="minorEastAsia"/>
          <w:snapToGrid w:val="0"/>
          <w:kern w:val="0"/>
          <w:sz w:val="24"/>
          <w:highlight w:val="none"/>
        </w:rPr>
      </w:pPr>
    </w:p>
    <w:p w14:paraId="06999FF6">
      <w:pPr>
        <w:pStyle w:val="7"/>
        <w:bidi w:val="0"/>
        <w:rPr>
          <w:highlight w:val="none"/>
        </w:rPr>
      </w:pPr>
      <w:bookmarkStart w:id="166" w:name="_Hlk10134411"/>
      <w:r>
        <w:rPr>
          <w:highlight w:val="none"/>
        </w:rPr>
        <w:t>表2-4-</w:t>
      </w:r>
      <w:r>
        <w:rPr>
          <w:rFonts w:hint="eastAsia"/>
          <w:highlight w:val="none"/>
          <w:lang w:val="en-US" w:eastAsia="zh-CN"/>
        </w:rPr>
        <w:t>7</w:t>
      </w:r>
      <w:r>
        <w:rPr>
          <w:highlight w:val="none"/>
        </w:rPr>
        <w:t>地表水评价等级确定表</w:t>
      </w:r>
    </w:p>
    <w:bookmarkEnd w:id="166"/>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90"/>
        <w:gridCol w:w="2327"/>
        <w:gridCol w:w="4305"/>
      </w:tblGrid>
      <w:tr w14:paraId="73CD27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42" w:type="dxa"/>
            <w:vMerge w:val="restart"/>
            <w:vAlign w:val="center"/>
          </w:tcPr>
          <w:p w14:paraId="713BFED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评价等级</w:t>
            </w:r>
          </w:p>
        </w:tc>
        <w:tc>
          <w:tcPr>
            <w:tcW w:w="6464" w:type="dxa"/>
            <w:gridSpan w:val="2"/>
          </w:tcPr>
          <w:p w14:paraId="766ACC4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判定依据</w:t>
            </w:r>
          </w:p>
        </w:tc>
      </w:tr>
      <w:tr w14:paraId="01A8B9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42" w:type="dxa"/>
            <w:vMerge w:val="continue"/>
            <w:vAlign w:val="center"/>
          </w:tcPr>
          <w:p w14:paraId="7E19B95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p>
        </w:tc>
        <w:tc>
          <w:tcPr>
            <w:tcW w:w="2268" w:type="dxa"/>
            <w:vAlign w:val="center"/>
          </w:tcPr>
          <w:p w14:paraId="26274E2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排放方式</w:t>
            </w:r>
          </w:p>
        </w:tc>
        <w:tc>
          <w:tcPr>
            <w:tcW w:w="4196" w:type="dxa"/>
            <w:vAlign w:val="center"/>
          </w:tcPr>
          <w:p w14:paraId="43D9142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废水排放量</w:t>
            </w:r>
            <w:r>
              <w:rPr>
                <w:rFonts w:hint="default" w:eastAsiaTheme="minorEastAsia"/>
                <w:snapToGrid w:val="0"/>
                <w:kern w:val="0"/>
                <w:sz w:val="21"/>
                <w:szCs w:val="21"/>
                <w:highlight w:val="none"/>
                <w:lang w:val="zh-CN"/>
              </w:rPr>
              <w:t>Q/</w:t>
            </w:r>
            <w:r>
              <w:rPr>
                <w:rFonts w:hint="default" w:hAnsiTheme="minorEastAsia" w:eastAsiaTheme="minorEastAsia"/>
                <w:snapToGrid w:val="0"/>
                <w:kern w:val="0"/>
                <w:sz w:val="21"/>
                <w:szCs w:val="21"/>
                <w:highlight w:val="none"/>
                <w:lang w:val="zh-CN"/>
              </w:rPr>
              <w:t>（</w:t>
            </w:r>
            <w:r>
              <w:rPr>
                <w:rFonts w:hint="default" w:eastAsiaTheme="minorEastAsia"/>
                <w:snapToGrid w:val="0"/>
                <w:kern w:val="0"/>
                <w:sz w:val="21"/>
                <w:szCs w:val="21"/>
                <w:highlight w:val="none"/>
                <w:lang w:val="zh-CN"/>
              </w:rPr>
              <w:t>m</w:t>
            </w:r>
            <w:r>
              <w:rPr>
                <w:rFonts w:hint="default" w:eastAsiaTheme="minorEastAsia"/>
                <w:snapToGrid w:val="0"/>
                <w:kern w:val="0"/>
                <w:sz w:val="21"/>
                <w:szCs w:val="21"/>
                <w:highlight w:val="none"/>
                <w:vertAlign w:val="superscript"/>
                <w:lang w:val="zh-CN"/>
              </w:rPr>
              <w:t>3</w:t>
            </w:r>
            <w:r>
              <w:rPr>
                <w:rFonts w:hint="default" w:eastAsiaTheme="minorEastAsia"/>
                <w:snapToGrid w:val="0"/>
                <w:kern w:val="0"/>
                <w:sz w:val="21"/>
                <w:szCs w:val="21"/>
                <w:highlight w:val="none"/>
                <w:lang w:val="zh-CN"/>
              </w:rPr>
              <w:t>/d</w:t>
            </w:r>
            <w:r>
              <w:rPr>
                <w:rFonts w:hint="default" w:hAnsiTheme="minorEastAsia" w:eastAsiaTheme="minorEastAsia"/>
                <w:snapToGrid w:val="0"/>
                <w:kern w:val="0"/>
                <w:sz w:val="21"/>
                <w:szCs w:val="21"/>
                <w:highlight w:val="none"/>
                <w:lang w:val="zh-CN"/>
              </w:rPr>
              <w:t>）；</w:t>
            </w:r>
          </w:p>
          <w:p w14:paraId="7DDB820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水污染物当量数</w:t>
            </w:r>
            <w:r>
              <w:rPr>
                <w:rFonts w:hint="default" w:eastAsiaTheme="minorEastAsia"/>
                <w:snapToGrid w:val="0"/>
                <w:kern w:val="0"/>
                <w:sz w:val="21"/>
                <w:szCs w:val="21"/>
                <w:highlight w:val="none"/>
                <w:lang w:val="zh-CN"/>
              </w:rPr>
              <w:t>W/</w:t>
            </w:r>
            <w:r>
              <w:rPr>
                <w:rFonts w:hint="default" w:hAnsiTheme="minorEastAsia" w:eastAsiaTheme="minorEastAsia"/>
                <w:snapToGrid w:val="0"/>
                <w:kern w:val="0"/>
                <w:sz w:val="21"/>
                <w:szCs w:val="21"/>
                <w:highlight w:val="none"/>
                <w:lang w:val="zh-CN"/>
              </w:rPr>
              <w:t>（无量纲）</w:t>
            </w:r>
          </w:p>
        </w:tc>
      </w:tr>
      <w:tr w14:paraId="155F9C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42" w:type="dxa"/>
            <w:vAlign w:val="center"/>
          </w:tcPr>
          <w:p w14:paraId="564F1C9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一级</w:t>
            </w:r>
          </w:p>
        </w:tc>
        <w:tc>
          <w:tcPr>
            <w:tcW w:w="2268" w:type="dxa"/>
            <w:vAlign w:val="center"/>
          </w:tcPr>
          <w:p w14:paraId="1C86BDC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直接排放</w:t>
            </w:r>
          </w:p>
        </w:tc>
        <w:tc>
          <w:tcPr>
            <w:tcW w:w="4196" w:type="dxa"/>
            <w:vAlign w:val="center"/>
          </w:tcPr>
          <w:p w14:paraId="1A89B84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eastAsiaTheme="minorEastAsia"/>
                <w:snapToGrid w:val="0"/>
                <w:kern w:val="0"/>
                <w:sz w:val="21"/>
                <w:szCs w:val="21"/>
                <w:highlight w:val="none"/>
                <w:lang w:val="zh-CN"/>
              </w:rPr>
              <w:t>Q≥20000</w:t>
            </w:r>
            <w:r>
              <w:rPr>
                <w:rFonts w:hint="default" w:hAnsiTheme="minorEastAsia" w:eastAsiaTheme="minorEastAsia"/>
                <w:snapToGrid w:val="0"/>
                <w:kern w:val="0"/>
                <w:sz w:val="21"/>
                <w:szCs w:val="21"/>
                <w:highlight w:val="none"/>
                <w:lang w:val="zh-CN"/>
              </w:rPr>
              <w:t>或</w:t>
            </w:r>
            <w:r>
              <w:rPr>
                <w:rFonts w:hint="default" w:eastAsiaTheme="minorEastAsia"/>
                <w:snapToGrid w:val="0"/>
                <w:kern w:val="0"/>
                <w:sz w:val="21"/>
                <w:szCs w:val="21"/>
                <w:highlight w:val="none"/>
                <w:lang w:val="zh-CN"/>
              </w:rPr>
              <w:t>W≥600000</w:t>
            </w:r>
          </w:p>
        </w:tc>
      </w:tr>
      <w:tr w14:paraId="69777B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42" w:type="dxa"/>
            <w:vAlign w:val="center"/>
          </w:tcPr>
          <w:p w14:paraId="2034891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二级</w:t>
            </w:r>
          </w:p>
        </w:tc>
        <w:tc>
          <w:tcPr>
            <w:tcW w:w="2268" w:type="dxa"/>
            <w:vAlign w:val="center"/>
          </w:tcPr>
          <w:p w14:paraId="5E5630B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直接排放</w:t>
            </w:r>
          </w:p>
        </w:tc>
        <w:tc>
          <w:tcPr>
            <w:tcW w:w="4196" w:type="dxa"/>
            <w:vAlign w:val="center"/>
          </w:tcPr>
          <w:p w14:paraId="64316A2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其他</w:t>
            </w:r>
          </w:p>
        </w:tc>
      </w:tr>
      <w:tr w14:paraId="38514F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42" w:type="dxa"/>
            <w:vAlign w:val="center"/>
          </w:tcPr>
          <w:p w14:paraId="6A672DC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rPr>
              <w:t>三级</w:t>
            </w:r>
            <w:r>
              <w:rPr>
                <w:rFonts w:hint="default" w:eastAsiaTheme="minorEastAsia"/>
                <w:snapToGrid w:val="0"/>
                <w:kern w:val="0"/>
                <w:sz w:val="21"/>
                <w:szCs w:val="21"/>
                <w:highlight w:val="none"/>
              </w:rPr>
              <w:t>A</w:t>
            </w:r>
          </w:p>
        </w:tc>
        <w:tc>
          <w:tcPr>
            <w:tcW w:w="2268" w:type="dxa"/>
            <w:vAlign w:val="center"/>
          </w:tcPr>
          <w:p w14:paraId="71AC900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hAnsiTheme="minorEastAsia" w:eastAsiaTheme="minorEastAsia"/>
                <w:snapToGrid w:val="0"/>
                <w:kern w:val="0"/>
                <w:sz w:val="21"/>
                <w:szCs w:val="21"/>
                <w:highlight w:val="none"/>
                <w:lang w:val="zh-CN"/>
              </w:rPr>
              <w:t>直接排放</w:t>
            </w:r>
          </w:p>
        </w:tc>
        <w:tc>
          <w:tcPr>
            <w:tcW w:w="4196" w:type="dxa"/>
            <w:vAlign w:val="center"/>
          </w:tcPr>
          <w:p w14:paraId="79D3DC6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kern w:val="0"/>
                <w:sz w:val="21"/>
                <w:szCs w:val="21"/>
                <w:highlight w:val="none"/>
                <w:lang w:val="zh-CN"/>
              </w:rPr>
            </w:pPr>
            <w:r>
              <w:rPr>
                <w:rFonts w:hint="default" w:eastAsiaTheme="minorEastAsia"/>
                <w:snapToGrid w:val="0"/>
                <w:kern w:val="0"/>
                <w:sz w:val="21"/>
                <w:szCs w:val="21"/>
                <w:highlight w:val="none"/>
                <w:lang w:val="zh-CN"/>
              </w:rPr>
              <w:t>Q</w:t>
            </w:r>
            <w:r>
              <w:rPr>
                <w:rFonts w:hint="default" w:hAnsiTheme="minorEastAsia" w:eastAsiaTheme="minorEastAsia"/>
                <w:snapToGrid w:val="0"/>
                <w:kern w:val="0"/>
                <w:sz w:val="21"/>
                <w:szCs w:val="21"/>
                <w:highlight w:val="none"/>
                <w:lang w:val="zh-CN"/>
              </w:rPr>
              <w:t>＜</w:t>
            </w:r>
            <w:r>
              <w:rPr>
                <w:rFonts w:hint="default" w:eastAsiaTheme="minorEastAsia"/>
                <w:snapToGrid w:val="0"/>
                <w:kern w:val="0"/>
                <w:sz w:val="21"/>
                <w:szCs w:val="21"/>
                <w:highlight w:val="none"/>
                <w:lang w:val="zh-CN"/>
              </w:rPr>
              <w:t>200</w:t>
            </w:r>
            <w:r>
              <w:rPr>
                <w:rFonts w:hint="default" w:hAnsiTheme="minorEastAsia" w:eastAsiaTheme="minorEastAsia"/>
                <w:snapToGrid w:val="0"/>
                <w:kern w:val="0"/>
                <w:sz w:val="21"/>
                <w:szCs w:val="21"/>
                <w:highlight w:val="none"/>
                <w:lang w:val="zh-CN"/>
              </w:rPr>
              <w:t>或</w:t>
            </w:r>
            <w:r>
              <w:rPr>
                <w:rFonts w:hint="default" w:eastAsiaTheme="minorEastAsia"/>
                <w:snapToGrid w:val="0"/>
                <w:kern w:val="0"/>
                <w:sz w:val="21"/>
                <w:szCs w:val="21"/>
                <w:highlight w:val="none"/>
                <w:lang w:val="zh-CN"/>
              </w:rPr>
              <w:t>W</w:t>
            </w:r>
            <w:r>
              <w:rPr>
                <w:rFonts w:hint="default" w:hAnsiTheme="minorEastAsia" w:eastAsiaTheme="minorEastAsia"/>
                <w:snapToGrid w:val="0"/>
                <w:kern w:val="0"/>
                <w:sz w:val="21"/>
                <w:szCs w:val="21"/>
                <w:highlight w:val="none"/>
                <w:lang w:val="zh-CN"/>
              </w:rPr>
              <w:t>＜</w:t>
            </w:r>
            <w:r>
              <w:rPr>
                <w:rFonts w:hint="default" w:eastAsiaTheme="minorEastAsia"/>
                <w:snapToGrid w:val="0"/>
                <w:kern w:val="0"/>
                <w:sz w:val="21"/>
                <w:szCs w:val="21"/>
                <w:highlight w:val="none"/>
                <w:lang w:val="zh-CN"/>
              </w:rPr>
              <w:t>6000</w:t>
            </w:r>
          </w:p>
        </w:tc>
      </w:tr>
      <w:tr w14:paraId="693918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42" w:type="dxa"/>
            <w:vAlign w:val="center"/>
          </w:tcPr>
          <w:p w14:paraId="3599A6F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
                <w:snapToGrid w:val="0"/>
                <w:kern w:val="0"/>
                <w:sz w:val="21"/>
                <w:szCs w:val="21"/>
                <w:highlight w:val="none"/>
              </w:rPr>
            </w:pPr>
            <w:r>
              <w:rPr>
                <w:rFonts w:hint="default" w:hAnsiTheme="minorEastAsia" w:eastAsiaTheme="minorEastAsia"/>
                <w:b/>
                <w:snapToGrid w:val="0"/>
                <w:kern w:val="0"/>
                <w:sz w:val="21"/>
                <w:szCs w:val="21"/>
                <w:highlight w:val="none"/>
              </w:rPr>
              <w:t>三级</w:t>
            </w:r>
            <w:r>
              <w:rPr>
                <w:rFonts w:hint="default" w:eastAsiaTheme="minorEastAsia"/>
                <w:b/>
                <w:snapToGrid w:val="0"/>
                <w:kern w:val="0"/>
                <w:sz w:val="21"/>
                <w:szCs w:val="21"/>
                <w:highlight w:val="none"/>
              </w:rPr>
              <w:t>B</w:t>
            </w:r>
          </w:p>
        </w:tc>
        <w:tc>
          <w:tcPr>
            <w:tcW w:w="2268" w:type="dxa"/>
            <w:vAlign w:val="center"/>
          </w:tcPr>
          <w:p w14:paraId="4684FC8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
                <w:snapToGrid w:val="0"/>
                <w:kern w:val="0"/>
                <w:sz w:val="21"/>
                <w:szCs w:val="21"/>
                <w:highlight w:val="none"/>
                <w:lang w:val="zh-CN"/>
              </w:rPr>
            </w:pPr>
            <w:r>
              <w:rPr>
                <w:rFonts w:hint="default" w:hAnsiTheme="minorEastAsia" w:eastAsiaTheme="minorEastAsia"/>
                <w:b/>
                <w:snapToGrid w:val="0"/>
                <w:kern w:val="0"/>
                <w:sz w:val="21"/>
                <w:szCs w:val="21"/>
                <w:highlight w:val="none"/>
                <w:lang w:val="zh-CN"/>
              </w:rPr>
              <w:t>间接排放</w:t>
            </w:r>
          </w:p>
        </w:tc>
        <w:tc>
          <w:tcPr>
            <w:tcW w:w="4196" w:type="dxa"/>
            <w:vAlign w:val="center"/>
          </w:tcPr>
          <w:p w14:paraId="2594078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
                <w:snapToGrid w:val="0"/>
                <w:kern w:val="0"/>
                <w:sz w:val="21"/>
                <w:szCs w:val="21"/>
                <w:highlight w:val="none"/>
                <w:lang w:val="zh-CN"/>
              </w:rPr>
            </w:pPr>
            <w:r>
              <w:rPr>
                <w:rFonts w:hint="default" w:eastAsiaTheme="minorEastAsia"/>
                <w:b/>
                <w:snapToGrid w:val="0"/>
                <w:kern w:val="0"/>
                <w:sz w:val="21"/>
                <w:szCs w:val="21"/>
                <w:highlight w:val="none"/>
                <w:lang w:val="zh-CN"/>
              </w:rPr>
              <w:t>/</w:t>
            </w:r>
          </w:p>
        </w:tc>
      </w:tr>
      <w:tr w14:paraId="3A28C9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306" w:type="dxa"/>
            <w:gridSpan w:val="3"/>
            <w:vAlign w:val="center"/>
          </w:tcPr>
          <w:p w14:paraId="703D24BD">
            <w:pPr>
              <w:pStyle w:val="87"/>
              <w:keepNext w:val="0"/>
              <w:keepLines w:val="0"/>
              <w:suppressLineNumbers w:val="0"/>
              <w:spacing w:before="0" w:beforeAutospacing="0" w:after="0" w:afterAutospacing="0" w:line="0" w:lineRule="atLeast"/>
              <w:ind w:left="0" w:right="0" w:firstLine="318"/>
              <w:jc w:val="both"/>
              <w:rPr>
                <w:rFonts w:hint="default" w:ascii="Times New Roman" w:cs="Times New Roman" w:eastAsiaTheme="minorEastAsia"/>
                <w:sz w:val="18"/>
                <w:szCs w:val="22"/>
                <w:highlight w:val="none"/>
              </w:rPr>
            </w:pPr>
            <w:r>
              <w:rPr>
                <w:rFonts w:hint="default" w:ascii="Times New Roman" w:cs="Times New Roman" w:eastAsiaTheme="minorEastAsia"/>
                <w:sz w:val="18"/>
                <w:szCs w:val="22"/>
                <w:highlight w:val="none"/>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18B8BA23">
            <w:pPr>
              <w:pStyle w:val="87"/>
              <w:keepNext w:val="0"/>
              <w:keepLines w:val="0"/>
              <w:suppressLineNumbers w:val="0"/>
              <w:spacing w:before="0" w:beforeAutospacing="0" w:after="0" w:afterAutospacing="0" w:line="0" w:lineRule="atLeast"/>
              <w:ind w:left="0" w:right="0" w:firstLine="318"/>
              <w:jc w:val="both"/>
              <w:rPr>
                <w:rFonts w:hint="default" w:ascii="Times New Roman" w:cs="Times New Roman" w:eastAsiaTheme="minorEastAsia"/>
                <w:sz w:val="18"/>
                <w:szCs w:val="22"/>
                <w:highlight w:val="none"/>
              </w:rPr>
            </w:pPr>
            <w:r>
              <w:rPr>
                <w:rFonts w:hint="default" w:ascii="Times New Roman" w:cs="Times New Roman" w:eastAsiaTheme="minorEastAsia"/>
                <w:sz w:val="18"/>
                <w:szCs w:val="22"/>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34CDE7A3">
            <w:pPr>
              <w:pStyle w:val="87"/>
              <w:keepNext w:val="0"/>
              <w:keepLines w:val="0"/>
              <w:suppressLineNumbers w:val="0"/>
              <w:spacing w:before="0" w:beforeAutospacing="0" w:after="0" w:afterAutospacing="0" w:line="0" w:lineRule="atLeast"/>
              <w:ind w:left="0" w:right="0" w:firstLine="318"/>
              <w:jc w:val="both"/>
              <w:rPr>
                <w:rFonts w:hint="default" w:ascii="Times New Roman" w:cs="Times New Roman" w:eastAsiaTheme="minorEastAsia"/>
                <w:sz w:val="18"/>
                <w:szCs w:val="22"/>
                <w:highlight w:val="none"/>
              </w:rPr>
            </w:pPr>
            <w:r>
              <w:rPr>
                <w:rFonts w:hint="default" w:ascii="Times New Roman" w:cs="Times New Roman" w:eastAsiaTheme="minorEastAsia"/>
                <w:sz w:val="18"/>
                <w:szCs w:val="22"/>
                <w:highlight w:val="none"/>
              </w:rPr>
              <w:t>注3：厂区存在堆积物（露天堆放的原料、燃料、废渣等以及垃圾堆放场）、降尘污染的，应将初期雨污水纳入废水排放量，相应的主要污染物纳入水污染当量计算。</w:t>
            </w:r>
          </w:p>
          <w:p w14:paraId="4401C39C">
            <w:pPr>
              <w:pStyle w:val="87"/>
              <w:keepNext w:val="0"/>
              <w:keepLines w:val="0"/>
              <w:suppressLineNumbers w:val="0"/>
              <w:spacing w:before="0" w:beforeAutospacing="0" w:after="0" w:afterAutospacing="0" w:line="0" w:lineRule="atLeast"/>
              <w:ind w:left="0" w:right="0" w:firstLine="318"/>
              <w:jc w:val="both"/>
              <w:rPr>
                <w:rFonts w:hint="default" w:eastAsiaTheme="minorEastAsia"/>
                <w:sz w:val="18"/>
                <w:szCs w:val="22"/>
                <w:highlight w:val="none"/>
              </w:rPr>
            </w:pPr>
            <w:r>
              <w:rPr>
                <w:rFonts w:hint="default" w:ascii="Times New Roman" w:cs="Times New Roman" w:eastAsiaTheme="minorEastAsia"/>
                <w:sz w:val="18"/>
                <w:szCs w:val="22"/>
                <w:highlight w:val="none"/>
              </w:rPr>
              <w:t>注4：建设项目直接排放第一类污染物的，其评价等级为一级；建设项目直接排放的污染物为受</w:t>
            </w:r>
            <w:r>
              <w:rPr>
                <w:rFonts w:hint="eastAsia" w:cs="Times New Roman" w:eastAsiaTheme="minorEastAsia"/>
                <w:sz w:val="18"/>
                <w:szCs w:val="22"/>
                <w:highlight w:val="none"/>
                <w:lang w:val="en-US" w:eastAsia="zh-CN"/>
              </w:rPr>
              <w:t>纳</w:t>
            </w:r>
            <w:r>
              <w:rPr>
                <w:rFonts w:hint="default" w:ascii="Times New Roman" w:cs="Times New Roman" w:eastAsiaTheme="minorEastAsia"/>
                <w:sz w:val="18"/>
                <w:szCs w:val="22"/>
                <w:highlight w:val="none"/>
              </w:rPr>
              <w:t>水</w:t>
            </w:r>
            <w:r>
              <w:rPr>
                <w:rFonts w:hint="default" w:eastAsiaTheme="minorEastAsia"/>
                <w:sz w:val="18"/>
                <w:szCs w:val="22"/>
                <w:highlight w:val="none"/>
              </w:rPr>
              <w:t>体超标因子的，评价等级不低于二级。</w:t>
            </w:r>
          </w:p>
          <w:p w14:paraId="29752CE5">
            <w:pPr>
              <w:pStyle w:val="87"/>
              <w:keepNext w:val="0"/>
              <w:keepLines w:val="0"/>
              <w:suppressLineNumbers w:val="0"/>
              <w:spacing w:before="0" w:beforeAutospacing="0" w:after="0" w:afterAutospacing="0" w:line="0" w:lineRule="atLeast"/>
              <w:ind w:left="0" w:right="0" w:firstLine="318"/>
              <w:jc w:val="both"/>
              <w:rPr>
                <w:rFonts w:hint="default" w:hAnsi="Times New Roman" w:eastAsiaTheme="minorEastAsia"/>
                <w:sz w:val="18"/>
                <w:szCs w:val="22"/>
                <w:highlight w:val="none"/>
              </w:rPr>
            </w:pPr>
            <w:r>
              <w:rPr>
                <w:rFonts w:hint="default" w:eastAsiaTheme="minorEastAsia"/>
                <w:sz w:val="18"/>
                <w:szCs w:val="22"/>
                <w:highlight w:val="none"/>
              </w:rPr>
              <w:t>注</w:t>
            </w:r>
            <w:r>
              <w:rPr>
                <w:rFonts w:hint="default" w:hAnsi="Times New Roman" w:eastAsiaTheme="minorEastAsia"/>
                <w:sz w:val="18"/>
                <w:szCs w:val="22"/>
                <w:highlight w:val="none"/>
              </w:rPr>
              <w:t>5</w:t>
            </w:r>
            <w:r>
              <w:rPr>
                <w:rFonts w:hint="default" w:eastAsiaTheme="minorEastAsia"/>
                <w:sz w:val="18"/>
                <w:szCs w:val="22"/>
                <w:highlight w:val="none"/>
              </w:rPr>
              <w:t>：直接排放受纳水体影响范围涉及饮用水水源保护区、饮用水取水口、重点保护与珍稀水生生物的栖息地、重要水生生物的自然产卵场等保护目标时，评价等级不低于二级。</w:t>
            </w:r>
          </w:p>
          <w:p w14:paraId="6819071B">
            <w:pPr>
              <w:pStyle w:val="87"/>
              <w:keepNext w:val="0"/>
              <w:keepLines w:val="0"/>
              <w:suppressLineNumbers w:val="0"/>
              <w:spacing w:before="0" w:beforeAutospacing="0" w:after="0" w:afterAutospacing="0" w:line="0" w:lineRule="atLeast"/>
              <w:ind w:left="0" w:right="0" w:firstLine="318"/>
              <w:jc w:val="both"/>
              <w:rPr>
                <w:rFonts w:hint="default" w:hAnsi="Times New Roman" w:eastAsiaTheme="minorEastAsia"/>
                <w:b/>
                <w:snapToGrid w:val="0"/>
                <w:kern w:val="0"/>
                <w:highlight w:val="none"/>
                <w:lang w:val="zh-CN"/>
              </w:rPr>
            </w:pPr>
            <w:r>
              <w:rPr>
                <w:rFonts w:hint="default" w:eastAsiaTheme="minorEastAsia"/>
                <w:sz w:val="18"/>
                <w:szCs w:val="22"/>
                <w:highlight w:val="none"/>
              </w:rPr>
              <w:t>注</w:t>
            </w:r>
            <w:r>
              <w:rPr>
                <w:rFonts w:hint="default" w:hAnsi="Times New Roman" w:eastAsiaTheme="minorEastAsia"/>
                <w:sz w:val="18"/>
                <w:szCs w:val="22"/>
                <w:highlight w:val="none"/>
              </w:rPr>
              <w:t>6</w:t>
            </w:r>
            <w:r>
              <w:rPr>
                <w:rFonts w:hint="default" w:eastAsiaTheme="minorEastAsia"/>
                <w:sz w:val="18"/>
                <w:szCs w:val="22"/>
                <w:highlight w:val="none"/>
              </w:rPr>
              <w:t>：建设项目向河流、湖库排放温排水引起受纳水体水温变化超过水环境质量标准要求，且评价范围有水温敏感目标时，评价等级为一级。</w:t>
            </w:r>
          </w:p>
          <w:p w14:paraId="4B7E60F4">
            <w:pPr>
              <w:pStyle w:val="87"/>
              <w:keepNext w:val="0"/>
              <w:keepLines w:val="0"/>
              <w:suppressLineNumbers w:val="0"/>
              <w:spacing w:before="0" w:beforeAutospacing="0" w:after="0" w:afterAutospacing="0" w:line="0" w:lineRule="atLeast"/>
              <w:ind w:left="0" w:right="0" w:firstLine="318"/>
              <w:jc w:val="both"/>
              <w:rPr>
                <w:rFonts w:hint="default" w:hAnsi="Times New Roman" w:eastAsiaTheme="minorEastAsia"/>
                <w:sz w:val="18"/>
                <w:szCs w:val="22"/>
                <w:highlight w:val="none"/>
              </w:rPr>
            </w:pPr>
            <w:r>
              <w:rPr>
                <w:rFonts w:hint="default" w:eastAsiaTheme="minorEastAsia"/>
                <w:sz w:val="18"/>
                <w:szCs w:val="22"/>
                <w:highlight w:val="none"/>
              </w:rPr>
              <w:t>注</w:t>
            </w:r>
            <w:r>
              <w:rPr>
                <w:rFonts w:hint="default" w:hAnsi="Times New Roman" w:eastAsiaTheme="minorEastAsia"/>
                <w:sz w:val="18"/>
                <w:szCs w:val="22"/>
                <w:highlight w:val="none"/>
              </w:rPr>
              <w:t>7</w:t>
            </w:r>
            <w:r>
              <w:rPr>
                <w:rFonts w:hint="default" w:eastAsiaTheme="minorEastAsia"/>
                <w:sz w:val="18"/>
                <w:szCs w:val="22"/>
                <w:highlight w:val="none"/>
              </w:rPr>
              <w:t>：建设项目利用海水作为调节温度介质，排水量</w:t>
            </w:r>
            <w:r>
              <w:rPr>
                <w:rFonts w:hint="default" w:hAnsi="Times New Roman" w:eastAsiaTheme="minorEastAsia"/>
                <w:sz w:val="18"/>
                <w:szCs w:val="22"/>
                <w:highlight w:val="none"/>
              </w:rPr>
              <w:t>≥500</w:t>
            </w:r>
            <w:r>
              <w:rPr>
                <w:rFonts w:hint="default" w:eastAsiaTheme="minorEastAsia"/>
                <w:sz w:val="18"/>
                <w:szCs w:val="22"/>
                <w:highlight w:val="none"/>
              </w:rPr>
              <w:t>万</w:t>
            </w:r>
            <w:r>
              <w:rPr>
                <w:rFonts w:hint="default" w:hAnsi="Times New Roman" w:eastAsiaTheme="minorEastAsia"/>
                <w:sz w:val="18"/>
                <w:szCs w:val="22"/>
                <w:highlight w:val="none"/>
              </w:rPr>
              <w:t>m</w:t>
            </w:r>
            <w:r>
              <w:rPr>
                <w:rFonts w:hint="default" w:hAnsi="Times New Roman" w:eastAsiaTheme="minorEastAsia"/>
                <w:sz w:val="18"/>
                <w:szCs w:val="22"/>
                <w:highlight w:val="none"/>
                <w:vertAlign w:val="superscript"/>
              </w:rPr>
              <w:t>3</w:t>
            </w:r>
            <w:r>
              <w:rPr>
                <w:rFonts w:hint="default" w:hAnsi="Times New Roman" w:eastAsiaTheme="minorEastAsia"/>
                <w:sz w:val="18"/>
                <w:szCs w:val="22"/>
                <w:highlight w:val="none"/>
              </w:rPr>
              <w:t>/d</w:t>
            </w:r>
            <w:r>
              <w:rPr>
                <w:rFonts w:hint="default" w:eastAsiaTheme="minorEastAsia"/>
                <w:sz w:val="18"/>
                <w:szCs w:val="22"/>
                <w:highlight w:val="none"/>
              </w:rPr>
              <w:t>，评价等级为一级；排水量＜</w:t>
            </w:r>
            <w:r>
              <w:rPr>
                <w:rFonts w:hint="default" w:hAnsi="Times New Roman" w:eastAsiaTheme="minorEastAsia"/>
                <w:sz w:val="18"/>
                <w:szCs w:val="22"/>
                <w:highlight w:val="none"/>
              </w:rPr>
              <w:t>500</w:t>
            </w:r>
            <w:r>
              <w:rPr>
                <w:rFonts w:hint="default" w:eastAsiaTheme="minorEastAsia"/>
                <w:sz w:val="18"/>
                <w:szCs w:val="22"/>
                <w:highlight w:val="none"/>
              </w:rPr>
              <w:t>万</w:t>
            </w:r>
            <w:r>
              <w:rPr>
                <w:rFonts w:hint="default" w:hAnsi="Times New Roman" w:eastAsiaTheme="minorEastAsia"/>
                <w:sz w:val="18"/>
                <w:szCs w:val="22"/>
                <w:highlight w:val="none"/>
              </w:rPr>
              <w:t>m</w:t>
            </w:r>
            <w:r>
              <w:rPr>
                <w:rFonts w:hint="default" w:hAnsi="Times New Roman" w:eastAsiaTheme="minorEastAsia"/>
                <w:sz w:val="18"/>
                <w:szCs w:val="22"/>
                <w:highlight w:val="none"/>
                <w:vertAlign w:val="superscript"/>
              </w:rPr>
              <w:t>3</w:t>
            </w:r>
            <w:r>
              <w:rPr>
                <w:rFonts w:hint="default" w:hAnsi="Times New Roman" w:eastAsiaTheme="minorEastAsia"/>
                <w:sz w:val="18"/>
                <w:szCs w:val="22"/>
                <w:highlight w:val="none"/>
              </w:rPr>
              <w:t>/d</w:t>
            </w:r>
            <w:r>
              <w:rPr>
                <w:rFonts w:hint="default" w:eastAsiaTheme="minorEastAsia"/>
                <w:sz w:val="18"/>
                <w:szCs w:val="22"/>
                <w:highlight w:val="none"/>
              </w:rPr>
              <w:t>，评价等级为二级。注</w:t>
            </w:r>
            <w:r>
              <w:rPr>
                <w:rFonts w:hint="default" w:hAnsi="Times New Roman" w:eastAsiaTheme="minorEastAsia"/>
                <w:sz w:val="18"/>
                <w:szCs w:val="22"/>
                <w:highlight w:val="none"/>
              </w:rPr>
              <w:t>8</w:t>
            </w:r>
            <w:r>
              <w:rPr>
                <w:rFonts w:hint="default" w:eastAsiaTheme="minorEastAsia"/>
                <w:sz w:val="18"/>
                <w:szCs w:val="22"/>
                <w:highlight w:val="none"/>
              </w:rPr>
              <w:t>：仅涉及清净下水排放的，如其排放水质满足受纳水体水环境质量标准要求的，评价等级为三级</w:t>
            </w:r>
            <w:r>
              <w:rPr>
                <w:rFonts w:hint="default" w:hAnsi="Times New Roman" w:eastAsiaTheme="minorEastAsia"/>
                <w:sz w:val="18"/>
                <w:szCs w:val="22"/>
                <w:highlight w:val="none"/>
              </w:rPr>
              <w:t>A</w:t>
            </w:r>
            <w:r>
              <w:rPr>
                <w:rFonts w:hint="default" w:eastAsiaTheme="minorEastAsia"/>
                <w:sz w:val="18"/>
                <w:szCs w:val="22"/>
                <w:highlight w:val="none"/>
              </w:rPr>
              <w:t>。</w:t>
            </w:r>
          </w:p>
          <w:p w14:paraId="5F3958FC">
            <w:pPr>
              <w:pStyle w:val="87"/>
              <w:keepNext w:val="0"/>
              <w:keepLines w:val="0"/>
              <w:suppressLineNumbers w:val="0"/>
              <w:spacing w:before="0" w:beforeAutospacing="0" w:after="0" w:afterAutospacing="0" w:line="0" w:lineRule="atLeast"/>
              <w:ind w:left="0" w:right="0" w:firstLine="318"/>
              <w:jc w:val="both"/>
              <w:rPr>
                <w:rFonts w:hint="default" w:hAnsi="Times New Roman" w:eastAsiaTheme="minorEastAsia"/>
                <w:sz w:val="18"/>
                <w:szCs w:val="22"/>
                <w:highlight w:val="none"/>
              </w:rPr>
            </w:pPr>
            <w:r>
              <w:rPr>
                <w:rFonts w:hint="default" w:eastAsiaTheme="minorEastAsia"/>
                <w:sz w:val="18"/>
                <w:szCs w:val="22"/>
                <w:highlight w:val="none"/>
              </w:rPr>
              <w:t>注</w:t>
            </w:r>
            <w:r>
              <w:rPr>
                <w:rFonts w:hint="default" w:hAnsi="Times New Roman" w:eastAsiaTheme="minorEastAsia"/>
                <w:sz w:val="18"/>
                <w:szCs w:val="22"/>
                <w:highlight w:val="none"/>
              </w:rPr>
              <w:t>9</w:t>
            </w:r>
            <w:r>
              <w:rPr>
                <w:rFonts w:hint="default" w:eastAsiaTheme="minorEastAsia"/>
                <w:sz w:val="18"/>
                <w:szCs w:val="22"/>
                <w:highlight w:val="none"/>
              </w:rPr>
              <w:t>：依托现有排放口，且对外环境未新增排放污染物的直接排放建设项目，评价等级参照间接排放，定为三级</w:t>
            </w:r>
            <w:r>
              <w:rPr>
                <w:rFonts w:hint="default" w:hAnsi="Times New Roman" w:eastAsiaTheme="minorEastAsia"/>
                <w:sz w:val="18"/>
                <w:szCs w:val="22"/>
                <w:highlight w:val="none"/>
              </w:rPr>
              <w:t>B</w:t>
            </w:r>
            <w:r>
              <w:rPr>
                <w:rFonts w:hint="default" w:eastAsiaTheme="minorEastAsia"/>
                <w:sz w:val="18"/>
                <w:szCs w:val="22"/>
                <w:highlight w:val="none"/>
              </w:rPr>
              <w:t>。</w:t>
            </w:r>
          </w:p>
          <w:p w14:paraId="6C4DE6E5">
            <w:pPr>
              <w:pStyle w:val="87"/>
              <w:keepNext w:val="0"/>
              <w:keepLines w:val="0"/>
              <w:suppressLineNumbers w:val="0"/>
              <w:spacing w:before="0" w:beforeAutospacing="0" w:after="0" w:afterAutospacing="0" w:line="0" w:lineRule="atLeast"/>
              <w:ind w:left="0" w:right="0" w:firstLine="318"/>
              <w:jc w:val="both"/>
              <w:rPr>
                <w:rFonts w:hint="default" w:eastAsiaTheme="minorEastAsia"/>
                <w:sz w:val="18"/>
                <w:szCs w:val="22"/>
                <w:highlight w:val="none"/>
              </w:rPr>
            </w:pPr>
            <w:r>
              <w:rPr>
                <w:rFonts w:hint="default" w:eastAsiaTheme="minorEastAsia"/>
                <w:sz w:val="18"/>
                <w:szCs w:val="22"/>
                <w:highlight w:val="none"/>
              </w:rPr>
              <w:t>注</w:t>
            </w:r>
            <w:r>
              <w:rPr>
                <w:rFonts w:hint="default" w:hAnsi="Times New Roman" w:eastAsiaTheme="minorEastAsia"/>
                <w:sz w:val="18"/>
                <w:szCs w:val="22"/>
                <w:highlight w:val="none"/>
              </w:rPr>
              <w:t>10</w:t>
            </w:r>
            <w:r>
              <w:rPr>
                <w:rFonts w:hint="default" w:eastAsiaTheme="minorEastAsia"/>
                <w:sz w:val="18"/>
                <w:szCs w:val="22"/>
                <w:highlight w:val="none"/>
              </w:rPr>
              <w:t>：建设项目生产工艺中有废水产生，但作为回水利用，不排放到外环境的，按三级</w:t>
            </w:r>
            <w:r>
              <w:rPr>
                <w:rFonts w:hint="default" w:hAnsi="Times New Roman" w:eastAsiaTheme="minorEastAsia"/>
                <w:sz w:val="18"/>
                <w:szCs w:val="22"/>
                <w:highlight w:val="none"/>
              </w:rPr>
              <w:t>B</w:t>
            </w:r>
            <w:r>
              <w:rPr>
                <w:rFonts w:hint="default" w:eastAsiaTheme="minorEastAsia"/>
                <w:sz w:val="18"/>
                <w:szCs w:val="22"/>
                <w:highlight w:val="none"/>
              </w:rPr>
              <w:t>评价。</w:t>
            </w:r>
          </w:p>
        </w:tc>
      </w:tr>
    </w:tbl>
    <w:p w14:paraId="62597CA8">
      <w:pPr>
        <w:bidi w:val="0"/>
        <w:rPr>
          <w:rFonts w:eastAsiaTheme="minorEastAsia"/>
          <w:kern w:val="0"/>
          <w:sz w:val="24"/>
          <w:highlight w:val="none"/>
        </w:rPr>
      </w:pPr>
      <w:r>
        <w:rPr>
          <w:rFonts w:hAnsiTheme="minorEastAsia" w:eastAsiaTheme="minorEastAsia"/>
          <w:kern w:val="0"/>
          <w:sz w:val="24"/>
          <w:highlight w:val="none"/>
        </w:rPr>
        <w:t>根据工程的排污特点，</w:t>
      </w:r>
      <w:r>
        <w:rPr>
          <w:rFonts w:hint="eastAsia" w:hAnsiTheme="minorEastAsia" w:eastAsiaTheme="minorEastAsia"/>
          <w:kern w:val="0"/>
          <w:sz w:val="24"/>
          <w:highlight w:val="none"/>
          <w:lang w:val="en-US" w:eastAsia="zh-CN"/>
        </w:rPr>
        <w:t>本项目</w:t>
      </w:r>
      <w:r>
        <w:rPr>
          <w:rFonts w:hint="eastAsia" w:hAnsiTheme="minorEastAsia" w:eastAsiaTheme="minorEastAsia"/>
          <w:kern w:val="0"/>
          <w:sz w:val="24"/>
          <w:highlight w:val="none"/>
          <w:lang w:eastAsia="zh-CN"/>
        </w:rPr>
        <w:t>无生产废水</w:t>
      </w:r>
      <w:r>
        <w:rPr>
          <w:rFonts w:hint="eastAsia" w:hAnsiTheme="minorEastAsia" w:eastAsiaTheme="minorEastAsia"/>
          <w:kern w:val="0"/>
          <w:sz w:val="24"/>
          <w:highlight w:val="none"/>
          <w:lang w:val="en-US" w:eastAsia="zh-CN"/>
        </w:rPr>
        <w:t>，生活污水经防渗旱厕收集后定期清掏外运堆肥</w:t>
      </w:r>
      <w:r>
        <w:rPr>
          <w:rFonts w:hAnsiTheme="minorEastAsia" w:eastAsiaTheme="minorEastAsia"/>
          <w:kern w:val="0"/>
          <w:sz w:val="24"/>
          <w:highlight w:val="none"/>
        </w:rPr>
        <w:t>，</w:t>
      </w:r>
      <w:r>
        <w:rPr>
          <w:rFonts w:hint="eastAsia" w:hAnsiTheme="minorEastAsia" w:eastAsiaTheme="minorEastAsia"/>
          <w:kern w:val="0"/>
          <w:sz w:val="24"/>
          <w:highlight w:val="none"/>
          <w:lang w:eastAsia="zh-CN"/>
        </w:rPr>
        <w:t>属于</w:t>
      </w:r>
      <w:r>
        <w:rPr>
          <w:rFonts w:hint="default" w:hAnsiTheme="minorEastAsia" w:eastAsiaTheme="minorEastAsia"/>
          <w:kern w:val="0"/>
          <w:sz w:val="24"/>
          <w:highlight w:val="none"/>
          <w:lang w:eastAsia="zh-CN"/>
        </w:rPr>
        <w:t>建设项目生产工艺中有废水产生，但作为回水利用，不排放到外环境的</w:t>
      </w:r>
      <w:r>
        <w:rPr>
          <w:rFonts w:hint="eastAsia" w:hAnsiTheme="minorEastAsia" w:eastAsiaTheme="minorEastAsia"/>
          <w:kern w:val="0"/>
          <w:sz w:val="24"/>
          <w:highlight w:val="none"/>
          <w:lang w:eastAsia="zh-CN"/>
        </w:rPr>
        <w:t>，</w:t>
      </w:r>
      <w:r>
        <w:rPr>
          <w:rFonts w:hAnsiTheme="minorEastAsia" w:eastAsiaTheme="minorEastAsia"/>
          <w:kern w:val="0"/>
          <w:sz w:val="24"/>
          <w:highlight w:val="none"/>
        </w:rPr>
        <w:t>按照《环境影响评价技术导则</w:t>
      </w:r>
      <w:r>
        <w:rPr>
          <w:rFonts w:eastAsiaTheme="minorEastAsia"/>
          <w:kern w:val="0"/>
          <w:sz w:val="24"/>
          <w:highlight w:val="none"/>
        </w:rPr>
        <w:t>—</w:t>
      </w:r>
      <w:r>
        <w:rPr>
          <w:rFonts w:hAnsiTheme="minorEastAsia" w:eastAsiaTheme="minorEastAsia"/>
          <w:kern w:val="0"/>
          <w:sz w:val="24"/>
          <w:highlight w:val="none"/>
        </w:rPr>
        <w:t>地表水环境》（</w:t>
      </w:r>
      <w:r>
        <w:rPr>
          <w:rFonts w:eastAsiaTheme="minorEastAsia"/>
          <w:kern w:val="0"/>
          <w:sz w:val="24"/>
          <w:highlight w:val="none"/>
        </w:rPr>
        <w:t>HJ2.3-2018</w:t>
      </w:r>
      <w:r>
        <w:rPr>
          <w:rFonts w:hAnsiTheme="minorEastAsia" w:eastAsiaTheme="minorEastAsia"/>
          <w:kern w:val="0"/>
          <w:sz w:val="24"/>
          <w:highlight w:val="none"/>
        </w:rPr>
        <w:t>）的有关规定，本项目产生的评价等级为三级</w:t>
      </w:r>
      <w:r>
        <w:rPr>
          <w:rFonts w:eastAsiaTheme="minorEastAsia"/>
          <w:kern w:val="0"/>
          <w:sz w:val="24"/>
          <w:highlight w:val="none"/>
        </w:rPr>
        <w:t>B</w:t>
      </w:r>
      <w:r>
        <w:rPr>
          <w:rFonts w:hAnsiTheme="minorEastAsia" w:eastAsiaTheme="minorEastAsia"/>
          <w:kern w:val="0"/>
          <w:sz w:val="24"/>
          <w:highlight w:val="none"/>
        </w:rPr>
        <w:t>。</w:t>
      </w:r>
    </w:p>
    <w:p w14:paraId="0DCDB816">
      <w:pPr>
        <w:pStyle w:val="5"/>
        <w:bidi w:val="0"/>
        <w:rPr>
          <w:highlight w:val="none"/>
        </w:rPr>
      </w:pPr>
      <w:bookmarkStart w:id="167" w:name="_Toc1795"/>
      <w:bookmarkStart w:id="168" w:name="_Toc4778"/>
      <w:r>
        <w:rPr>
          <w:highlight w:val="none"/>
        </w:rPr>
        <w:t>2.4.3地下水环境</w:t>
      </w:r>
      <w:bookmarkEnd w:id="167"/>
      <w:bookmarkEnd w:id="168"/>
    </w:p>
    <w:p w14:paraId="770F029D">
      <w:pPr>
        <w:bidi w:val="0"/>
        <w:rPr>
          <w:highlight w:val="none"/>
        </w:rPr>
      </w:pPr>
      <w:r>
        <w:rPr>
          <w:highlight w:val="none"/>
        </w:rPr>
        <w:t>根据《环境影响评价技术导则地下水环境》（HJ610-2016）评价工作等级的划分应依据建设项目行业分类和地下水环境敏感程度分级进行判定。</w:t>
      </w:r>
    </w:p>
    <w:p w14:paraId="30827C97">
      <w:pPr>
        <w:bidi w:val="0"/>
        <w:rPr>
          <w:highlight w:val="none"/>
        </w:rPr>
      </w:pPr>
      <w:r>
        <w:rPr>
          <w:highlight w:val="none"/>
        </w:rPr>
        <w:t>（1）根据《环境影响评价技术导则地下水环境》附录A确定本项目所属的地下水环境影响评价项目类别为</w:t>
      </w:r>
      <w:r>
        <w:rPr>
          <w:rFonts w:hint="default"/>
          <w:highlight w:val="none"/>
        </w:rPr>
        <w:fldChar w:fldCharType="begin"/>
      </w:r>
      <w:r>
        <w:rPr>
          <w:rFonts w:hint="default"/>
          <w:highlight w:val="none"/>
        </w:rPr>
        <w:instrText xml:space="preserve"> = 3 \* ROMAN </w:instrText>
      </w:r>
      <w:r>
        <w:rPr>
          <w:rFonts w:hint="default"/>
          <w:highlight w:val="none"/>
        </w:rPr>
        <w:fldChar w:fldCharType="separate"/>
      </w:r>
      <w:r>
        <w:rPr>
          <w:rFonts w:hint="default"/>
          <w:highlight w:val="none"/>
        </w:rPr>
        <w:t>I</w:t>
      </w:r>
      <w:r>
        <w:rPr>
          <w:rFonts w:hint="default"/>
          <w:highlight w:val="none"/>
        </w:rPr>
        <w:fldChar w:fldCharType="end"/>
      </w:r>
      <w:r>
        <w:rPr>
          <w:highlight w:val="none"/>
        </w:rPr>
        <w:t>类。</w:t>
      </w:r>
    </w:p>
    <w:p w14:paraId="37E59FE2">
      <w:pPr>
        <w:bidi w:val="0"/>
        <w:rPr>
          <w:highlight w:val="none"/>
        </w:rPr>
      </w:pPr>
      <w:r>
        <w:rPr>
          <w:highlight w:val="none"/>
        </w:rPr>
        <w:t>（2）建设项目场地的地下水环境敏感程度可分为敏感、较敏感、不敏感三级，分级原则见</w:t>
      </w:r>
      <w:r>
        <w:rPr>
          <w:rFonts w:hint="eastAsia"/>
          <w:highlight w:val="none"/>
          <w:lang w:val="en-US" w:eastAsia="zh-CN"/>
        </w:rPr>
        <w:t>下表</w:t>
      </w:r>
      <w:r>
        <w:rPr>
          <w:highlight w:val="none"/>
        </w:rPr>
        <w:t>。</w:t>
      </w:r>
    </w:p>
    <w:p w14:paraId="22A93B02">
      <w:pPr>
        <w:pStyle w:val="8"/>
        <w:bidi w:val="0"/>
        <w:rPr>
          <w:highlight w:val="none"/>
        </w:rPr>
      </w:pPr>
    </w:p>
    <w:p w14:paraId="454737B1">
      <w:pPr>
        <w:rPr>
          <w:highlight w:val="none"/>
        </w:rPr>
      </w:pPr>
    </w:p>
    <w:p w14:paraId="1BB3184A">
      <w:pPr>
        <w:rPr>
          <w:highlight w:val="none"/>
        </w:rPr>
      </w:pPr>
    </w:p>
    <w:p w14:paraId="057E757A">
      <w:pPr>
        <w:pStyle w:val="8"/>
        <w:bidi w:val="0"/>
        <w:rPr>
          <w:highlight w:val="none"/>
        </w:rPr>
      </w:pPr>
    </w:p>
    <w:p w14:paraId="1BF483C4">
      <w:pPr>
        <w:pStyle w:val="8"/>
        <w:bidi w:val="0"/>
        <w:rPr>
          <w:highlight w:val="none"/>
        </w:rPr>
      </w:pPr>
    </w:p>
    <w:p w14:paraId="5F1B7C36">
      <w:pPr>
        <w:pStyle w:val="7"/>
        <w:bidi w:val="0"/>
        <w:rPr>
          <w:highlight w:val="none"/>
        </w:rPr>
      </w:pPr>
      <w:r>
        <w:rPr>
          <w:highlight w:val="none"/>
        </w:rPr>
        <w:t>表2-4-</w:t>
      </w:r>
      <w:r>
        <w:rPr>
          <w:rFonts w:hint="eastAsia"/>
          <w:highlight w:val="none"/>
          <w:lang w:val="en-US" w:eastAsia="zh-CN"/>
        </w:rPr>
        <w:t>8</w:t>
      </w:r>
      <w:r>
        <w:rPr>
          <w:highlight w:val="none"/>
        </w:rPr>
        <w:t>地下水环境敏感程度分级</w:t>
      </w:r>
    </w:p>
    <w:tbl>
      <w:tblPr>
        <w:tblStyle w:val="44"/>
        <w:tblW w:w="86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7800"/>
      </w:tblGrid>
      <w:tr w14:paraId="799CA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85" w:type="dxa"/>
            <w:vAlign w:val="center"/>
          </w:tcPr>
          <w:p w14:paraId="19B892E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cs="Times New Roman" w:hAnsiTheme="minorEastAsia" w:eastAsiaTheme="minorEastAsia"/>
                <w:snapToGrid w:val="0"/>
                <w:kern w:val="0"/>
                <w:sz w:val="21"/>
                <w:szCs w:val="21"/>
                <w:highlight w:val="none"/>
                <w:lang w:val="zh-CN"/>
              </w:rPr>
            </w:pPr>
            <w:r>
              <w:rPr>
                <w:rFonts w:hint="default" w:ascii="Times New Roman" w:cs="Times New Roman" w:hAnsiTheme="minorEastAsia" w:eastAsiaTheme="minorEastAsia"/>
                <w:snapToGrid w:val="0"/>
                <w:kern w:val="0"/>
                <w:sz w:val="21"/>
                <w:szCs w:val="21"/>
                <w:highlight w:val="none"/>
                <w:lang w:val="zh-CN"/>
              </w:rPr>
              <w:t>分级</w:t>
            </w:r>
          </w:p>
        </w:tc>
        <w:tc>
          <w:tcPr>
            <w:tcW w:w="7800" w:type="dxa"/>
            <w:vAlign w:val="center"/>
          </w:tcPr>
          <w:p w14:paraId="1488E9C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cs="Times New Roman" w:hAnsiTheme="minorEastAsia" w:eastAsiaTheme="minorEastAsia"/>
                <w:snapToGrid w:val="0"/>
                <w:kern w:val="0"/>
                <w:sz w:val="21"/>
                <w:szCs w:val="21"/>
                <w:highlight w:val="none"/>
                <w:lang w:val="zh-CN"/>
              </w:rPr>
            </w:pPr>
            <w:r>
              <w:rPr>
                <w:rFonts w:hint="default" w:ascii="Times New Roman" w:cs="Times New Roman" w:hAnsiTheme="minorEastAsia" w:eastAsiaTheme="minorEastAsia"/>
                <w:snapToGrid w:val="0"/>
                <w:kern w:val="0"/>
                <w:sz w:val="21"/>
                <w:szCs w:val="21"/>
                <w:highlight w:val="none"/>
                <w:lang w:val="zh-CN"/>
              </w:rPr>
              <w:t>项目场地的地下水环境敏感特征</w:t>
            </w:r>
          </w:p>
        </w:tc>
      </w:tr>
      <w:tr w14:paraId="537C0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exact"/>
          <w:jc w:val="center"/>
        </w:trPr>
        <w:tc>
          <w:tcPr>
            <w:tcW w:w="885" w:type="dxa"/>
            <w:vAlign w:val="center"/>
          </w:tcPr>
          <w:p w14:paraId="7183646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cs="Times New Roman" w:hAnsiTheme="minorEastAsia" w:eastAsiaTheme="minorEastAsia"/>
                <w:snapToGrid w:val="0"/>
                <w:kern w:val="0"/>
                <w:sz w:val="21"/>
                <w:szCs w:val="21"/>
                <w:highlight w:val="none"/>
                <w:lang w:val="zh-CN"/>
              </w:rPr>
            </w:pPr>
            <w:r>
              <w:rPr>
                <w:rFonts w:hint="default" w:ascii="Times New Roman" w:cs="Times New Roman" w:hAnsiTheme="minorEastAsia" w:eastAsiaTheme="minorEastAsia"/>
                <w:snapToGrid w:val="0"/>
                <w:kern w:val="0"/>
                <w:sz w:val="21"/>
                <w:szCs w:val="21"/>
                <w:highlight w:val="none"/>
                <w:lang w:val="zh-CN"/>
              </w:rPr>
              <w:t>敏感</w:t>
            </w:r>
          </w:p>
        </w:tc>
        <w:tc>
          <w:tcPr>
            <w:tcW w:w="7800" w:type="dxa"/>
            <w:vAlign w:val="center"/>
          </w:tcPr>
          <w:p w14:paraId="42A49057">
            <w:pPr>
              <w:pStyle w:val="87"/>
              <w:keepNext w:val="0"/>
              <w:keepLines w:val="0"/>
              <w:suppressLineNumbers w:val="0"/>
              <w:spacing w:before="0" w:beforeAutospacing="0" w:after="0" w:afterAutospacing="0" w:line="0" w:lineRule="atLeast"/>
              <w:ind w:left="0" w:right="0" w:firstLine="318"/>
              <w:jc w:val="both"/>
              <w:rPr>
                <w:rFonts w:hint="default" w:ascii="Times New Roman" w:cs="Times New Roman" w:eastAsiaTheme="minorEastAsia"/>
                <w:sz w:val="21"/>
                <w:szCs w:val="21"/>
                <w:highlight w:val="none"/>
                <w:lang w:val="zh-CN"/>
              </w:rPr>
            </w:pPr>
            <w:r>
              <w:rPr>
                <w:rFonts w:hint="default" w:ascii="Times New Roman" w:cs="Times New Roman" w:eastAsiaTheme="minorEastAsia"/>
                <w:sz w:val="21"/>
                <w:szCs w:val="21"/>
                <w:highlight w:val="none"/>
                <w:lang w:val="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66782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1" w:hRule="exact"/>
          <w:jc w:val="center"/>
        </w:trPr>
        <w:tc>
          <w:tcPr>
            <w:tcW w:w="885" w:type="dxa"/>
            <w:vAlign w:val="center"/>
          </w:tcPr>
          <w:p w14:paraId="2DE84FF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cs="Times New Roman" w:hAnsiTheme="minorEastAsia" w:eastAsiaTheme="minorEastAsia"/>
                <w:snapToGrid w:val="0"/>
                <w:kern w:val="0"/>
                <w:sz w:val="21"/>
                <w:szCs w:val="21"/>
                <w:highlight w:val="none"/>
                <w:lang w:val="zh-CN"/>
              </w:rPr>
            </w:pPr>
            <w:r>
              <w:rPr>
                <w:rFonts w:hint="default" w:ascii="Times New Roman" w:cs="Times New Roman" w:hAnsiTheme="minorEastAsia" w:eastAsiaTheme="minorEastAsia"/>
                <w:snapToGrid w:val="0"/>
                <w:kern w:val="0"/>
                <w:sz w:val="21"/>
                <w:szCs w:val="21"/>
                <w:highlight w:val="none"/>
                <w:lang w:val="zh-CN"/>
              </w:rPr>
              <w:t>较敏感</w:t>
            </w:r>
          </w:p>
        </w:tc>
        <w:tc>
          <w:tcPr>
            <w:tcW w:w="7800" w:type="dxa"/>
            <w:vAlign w:val="center"/>
          </w:tcPr>
          <w:p w14:paraId="7ADA5FEA">
            <w:pPr>
              <w:pStyle w:val="87"/>
              <w:keepNext w:val="0"/>
              <w:keepLines w:val="0"/>
              <w:suppressLineNumbers w:val="0"/>
              <w:spacing w:before="0" w:beforeAutospacing="0" w:after="0" w:afterAutospacing="0" w:line="0" w:lineRule="atLeast"/>
              <w:ind w:left="0" w:right="0" w:firstLine="318"/>
              <w:jc w:val="both"/>
              <w:rPr>
                <w:rFonts w:hint="default" w:ascii="Times New Roman" w:cs="Times New Roman" w:eastAsiaTheme="minorEastAsia"/>
                <w:sz w:val="21"/>
                <w:szCs w:val="21"/>
                <w:highlight w:val="none"/>
                <w:lang w:val="zh-CN"/>
              </w:rPr>
            </w:pPr>
            <w:r>
              <w:rPr>
                <w:rFonts w:hint="default" w:ascii="Times New Roman" w:cs="Times New Roman" w:eastAsiaTheme="minorEastAsia"/>
                <w:sz w:val="21"/>
                <w:szCs w:val="21"/>
                <w:highlight w:val="none"/>
                <w:lang w:val="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a</w:t>
            </w:r>
          </w:p>
        </w:tc>
      </w:tr>
      <w:tr w14:paraId="2E10F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85" w:type="dxa"/>
            <w:vAlign w:val="center"/>
          </w:tcPr>
          <w:p w14:paraId="49F6BF6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cs="Times New Roman" w:hAnsiTheme="minorEastAsia" w:eastAsiaTheme="minorEastAsia"/>
                <w:snapToGrid w:val="0"/>
                <w:kern w:val="0"/>
                <w:sz w:val="21"/>
                <w:szCs w:val="21"/>
                <w:highlight w:val="none"/>
                <w:lang w:val="zh-CN"/>
              </w:rPr>
            </w:pPr>
            <w:r>
              <w:rPr>
                <w:rFonts w:hint="default" w:ascii="Times New Roman" w:cs="Times New Roman" w:hAnsiTheme="minorEastAsia" w:eastAsiaTheme="minorEastAsia"/>
                <w:snapToGrid w:val="0"/>
                <w:kern w:val="0"/>
                <w:sz w:val="21"/>
                <w:szCs w:val="21"/>
                <w:highlight w:val="none"/>
                <w:lang w:val="zh-CN"/>
              </w:rPr>
              <w:t>不敏感</w:t>
            </w:r>
          </w:p>
        </w:tc>
        <w:tc>
          <w:tcPr>
            <w:tcW w:w="7800" w:type="dxa"/>
            <w:vAlign w:val="center"/>
          </w:tcPr>
          <w:p w14:paraId="039CB06D">
            <w:pPr>
              <w:pStyle w:val="87"/>
              <w:keepNext w:val="0"/>
              <w:keepLines w:val="0"/>
              <w:suppressLineNumbers w:val="0"/>
              <w:spacing w:before="0" w:beforeAutospacing="0" w:after="0" w:afterAutospacing="0" w:line="0" w:lineRule="atLeast"/>
              <w:ind w:left="0" w:right="0" w:firstLine="318"/>
              <w:jc w:val="both"/>
              <w:rPr>
                <w:rFonts w:hint="default" w:ascii="Times New Roman" w:cs="Times New Roman" w:eastAsiaTheme="minorEastAsia"/>
                <w:sz w:val="21"/>
                <w:szCs w:val="21"/>
                <w:highlight w:val="none"/>
                <w:lang w:val="zh-CN"/>
              </w:rPr>
            </w:pPr>
            <w:r>
              <w:rPr>
                <w:rFonts w:hint="default" w:ascii="Times New Roman" w:cs="Times New Roman" w:eastAsiaTheme="minorEastAsia"/>
                <w:sz w:val="21"/>
                <w:szCs w:val="21"/>
                <w:highlight w:val="none"/>
                <w:lang w:val="zh-CN"/>
              </w:rPr>
              <w:t>上述地区之外的其他地区。</w:t>
            </w:r>
          </w:p>
        </w:tc>
      </w:tr>
      <w:tr w14:paraId="5E16076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 w:hRule="atLeast"/>
          <w:jc w:val="center"/>
        </w:trPr>
        <w:tc>
          <w:tcPr>
            <w:tcW w:w="8685" w:type="dxa"/>
            <w:gridSpan w:val="2"/>
            <w:vAlign w:val="center"/>
          </w:tcPr>
          <w:p w14:paraId="3FDF01E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cs="Times New Roman" w:hAnsiTheme="minorEastAsia" w:eastAsiaTheme="minorEastAsia"/>
                <w:snapToGrid w:val="0"/>
                <w:kern w:val="0"/>
                <w:sz w:val="21"/>
                <w:szCs w:val="21"/>
                <w:highlight w:val="none"/>
                <w:lang w:val="zh-CN"/>
              </w:rPr>
            </w:pPr>
            <w:r>
              <w:rPr>
                <w:rFonts w:hint="default" w:ascii="Times New Roman" w:cs="Times New Roman" w:hAnsiTheme="minorEastAsia" w:eastAsiaTheme="minorEastAsia"/>
                <w:snapToGrid w:val="0"/>
                <w:kern w:val="0"/>
                <w:sz w:val="18"/>
                <w:szCs w:val="18"/>
                <w:highlight w:val="none"/>
                <w:lang w:val="zh-CN"/>
              </w:rPr>
              <w:t>注：a</w:t>
            </w:r>
            <w:r>
              <w:rPr>
                <w:rFonts w:hint="eastAsia" w:ascii="Times New Roman" w:cs="Times New Roman" w:hAnsiTheme="minorEastAsia" w:eastAsiaTheme="minorEastAsia"/>
                <w:snapToGrid w:val="0"/>
                <w:kern w:val="0"/>
                <w:sz w:val="18"/>
                <w:szCs w:val="18"/>
                <w:highlight w:val="none"/>
                <w:lang w:val="zh-CN" w:eastAsia="zh-CN"/>
              </w:rPr>
              <w:t>“</w:t>
            </w:r>
            <w:r>
              <w:rPr>
                <w:rFonts w:hint="default" w:ascii="Times New Roman" w:cs="Times New Roman" w:hAnsiTheme="minorEastAsia" w:eastAsiaTheme="minorEastAsia"/>
                <w:snapToGrid w:val="0"/>
                <w:kern w:val="0"/>
                <w:sz w:val="18"/>
                <w:szCs w:val="18"/>
                <w:highlight w:val="none"/>
                <w:lang w:val="zh-CN"/>
              </w:rPr>
              <w:t>环境敏感区</w:t>
            </w:r>
            <w:r>
              <w:rPr>
                <w:rFonts w:hint="eastAsia" w:ascii="Times New Roman" w:cs="Times New Roman" w:hAnsiTheme="minorEastAsia" w:eastAsiaTheme="minorEastAsia"/>
                <w:snapToGrid w:val="0"/>
                <w:kern w:val="0"/>
                <w:sz w:val="18"/>
                <w:szCs w:val="18"/>
                <w:highlight w:val="none"/>
                <w:lang w:val="zh-CN" w:eastAsia="zh-CN"/>
              </w:rPr>
              <w:t>”</w:t>
            </w:r>
            <w:r>
              <w:rPr>
                <w:rFonts w:hint="default" w:ascii="Times New Roman" w:cs="Times New Roman" w:hAnsiTheme="minorEastAsia" w:eastAsiaTheme="minorEastAsia"/>
                <w:snapToGrid w:val="0"/>
                <w:kern w:val="0"/>
                <w:sz w:val="18"/>
                <w:szCs w:val="18"/>
                <w:highlight w:val="none"/>
                <w:lang w:val="zh-CN"/>
              </w:rPr>
              <w:t>是指《建设项目环境影响评价分类管理名录》中所界定的涉及地下水的环境敏感区</w:t>
            </w:r>
            <w:r>
              <w:rPr>
                <w:rFonts w:hint="default" w:ascii="Times New Roman" w:cs="Times New Roman" w:hAnsiTheme="minorEastAsia" w:eastAsiaTheme="minorEastAsia"/>
                <w:snapToGrid w:val="0"/>
                <w:kern w:val="0"/>
                <w:sz w:val="21"/>
                <w:szCs w:val="21"/>
                <w:highlight w:val="none"/>
                <w:lang w:val="zh-CN"/>
              </w:rPr>
              <w:t>。</w:t>
            </w:r>
          </w:p>
        </w:tc>
      </w:tr>
    </w:tbl>
    <w:p w14:paraId="7DD0CB88">
      <w:pPr>
        <w:spacing w:line="360" w:lineRule="auto"/>
        <w:ind w:firstLine="480" w:firstLineChars="200"/>
        <w:rPr>
          <w:rFonts w:hAnsiTheme="minorEastAsia" w:eastAsiaTheme="minorEastAsia"/>
          <w:sz w:val="24"/>
          <w:highlight w:val="none"/>
        </w:rPr>
      </w:pPr>
      <w:r>
        <w:rPr>
          <w:rFonts w:hint="default"/>
          <w:highlight w:val="none"/>
        </w:rPr>
        <w:t>根据调查，本项目不在地下水集中式水源地（包括已建成的在用、备用、应急水源，在建和规划的饮用水水源）保护区范围内</w:t>
      </w:r>
      <w:r>
        <w:rPr>
          <w:rFonts w:hint="eastAsia"/>
          <w:highlight w:val="none"/>
          <w:lang w:eastAsia="zh-CN"/>
        </w:rPr>
        <w:t>，</w:t>
      </w:r>
      <w:r>
        <w:rPr>
          <w:rFonts w:hint="default"/>
          <w:highlight w:val="none"/>
        </w:rPr>
        <w:t>不在除集中式饮用水水源以外的国家或地方政府设定的与地下水环境相关的其它保护区，如热水、矿泉水、温泉等特殊地下水资源保护区。不在集中式饮用水水源（包括已建成的在用、备用、应急水源，在建和规划的饮用水水源）准保护区以外的补给径流区；不在未划定准保护区的集中水式饮用水水源，其保护区以外的补给径流区；不在特殊地下水资源（如矿泉水、温泉等）保护区以外的分布区等其他未列入上述敏感分级的环境敏感区内</w:t>
      </w:r>
      <w:r>
        <w:rPr>
          <w:rFonts w:hint="eastAsia"/>
          <w:highlight w:val="none"/>
          <w:lang w:eastAsia="zh-CN"/>
        </w:rPr>
        <w:t>。</w:t>
      </w:r>
      <w:r>
        <w:rPr>
          <w:rFonts w:hAnsiTheme="minorEastAsia" w:eastAsiaTheme="minorEastAsia"/>
          <w:sz w:val="24"/>
          <w:highlight w:val="none"/>
        </w:rPr>
        <w:t>本项目评价范围内的</w:t>
      </w:r>
      <w:r>
        <w:rPr>
          <w:rFonts w:hint="eastAsia" w:hAnsiTheme="minorEastAsia" w:eastAsiaTheme="minorEastAsia"/>
          <w:sz w:val="24"/>
          <w:highlight w:val="none"/>
          <w:lang w:eastAsia="zh-CN"/>
        </w:rPr>
        <w:t>幸福</w:t>
      </w:r>
      <w:r>
        <w:rPr>
          <w:rFonts w:hAnsiTheme="minorEastAsia" w:eastAsiaTheme="minorEastAsia"/>
          <w:sz w:val="24"/>
          <w:highlight w:val="none"/>
        </w:rPr>
        <w:t>村饮用水由村自打的</w:t>
      </w:r>
      <w:r>
        <w:rPr>
          <w:rFonts w:hint="eastAsia" w:hAnsiTheme="minorEastAsia" w:eastAsiaTheme="minorEastAsia"/>
          <w:sz w:val="24"/>
          <w:highlight w:val="none"/>
          <w:lang w:eastAsia="zh-CN"/>
        </w:rPr>
        <w:t>集中式</w:t>
      </w:r>
      <w:r>
        <w:rPr>
          <w:rFonts w:hAnsiTheme="minorEastAsia" w:eastAsiaTheme="minorEastAsia"/>
          <w:sz w:val="24"/>
          <w:highlight w:val="none"/>
        </w:rPr>
        <w:t>式（供水人口数</w:t>
      </w:r>
      <w:r>
        <w:rPr>
          <w:rFonts w:hint="eastAsia" w:hAnsiTheme="minorEastAsia" w:eastAsiaTheme="minorEastAsia"/>
          <w:sz w:val="24"/>
          <w:highlight w:val="none"/>
          <w:lang w:eastAsia="zh-CN"/>
        </w:rPr>
        <w:t>大</w:t>
      </w:r>
      <w:r>
        <w:rPr>
          <w:rFonts w:hAnsiTheme="minorEastAsia" w:eastAsiaTheme="minorEastAsia"/>
          <w:sz w:val="24"/>
          <w:highlight w:val="none"/>
        </w:rPr>
        <w:t>于</w:t>
      </w:r>
      <w:r>
        <w:rPr>
          <w:rFonts w:eastAsiaTheme="minorEastAsia"/>
          <w:sz w:val="24"/>
          <w:highlight w:val="none"/>
        </w:rPr>
        <w:t>1000</w:t>
      </w:r>
      <w:r>
        <w:rPr>
          <w:rFonts w:hAnsiTheme="minorEastAsia" w:eastAsiaTheme="minorEastAsia"/>
          <w:sz w:val="24"/>
          <w:highlight w:val="none"/>
        </w:rPr>
        <w:t>人）饮用水水井提供，距离本项目厂界</w:t>
      </w:r>
      <w:r>
        <w:rPr>
          <w:rFonts w:hint="eastAsia" w:eastAsiaTheme="minorEastAsia"/>
          <w:sz w:val="24"/>
          <w:highlight w:val="none"/>
          <w:lang w:val="en-US" w:eastAsia="zh-CN"/>
        </w:rPr>
        <w:t>320</w:t>
      </w:r>
      <w:r>
        <w:rPr>
          <w:rFonts w:eastAsiaTheme="minorEastAsia"/>
          <w:sz w:val="24"/>
          <w:highlight w:val="none"/>
        </w:rPr>
        <w:t>m</w:t>
      </w:r>
      <w:r>
        <w:rPr>
          <w:rFonts w:hAnsiTheme="minorEastAsia" w:eastAsiaTheme="minorEastAsia"/>
          <w:sz w:val="24"/>
          <w:highlight w:val="none"/>
        </w:rPr>
        <w:t>，此饮用水井供水人口为</w:t>
      </w:r>
      <w:r>
        <w:rPr>
          <w:rFonts w:hint="eastAsia" w:hAnsiTheme="minorEastAsia" w:eastAsiaTheme="minorEastAsia"/>
          <w:sz w:val="24"/>
          <w:highlight w:val="none"/>
          <w:lang w:val="en-US" w:eastAsia="zh-CN"/>
        </w:rPr>
        <w:t>1</w:t>
      </w:r>
      <w:r>
        <w:rPr>
          <w:rFonts w:eastAsiaTheme="minorEastAsia"/>
          <w:sz w:val="24"/>
          <w:highlight w:val="none"/>
        </w:rPr>
        <w:t>850</w:t>
      </w:r>
      <w:r>
        <w:rPr>
          <w:rFonts w:hAnsiTheme="minorEastAsia" w:eastAsiaTheme="minorEastAsia"/>
          <w:sz w:val="24"/>
          <w:highlight w:val="none"/>
        </w:rPr>
        <w:t>人，该水井未划定保护区，考虑未划定保护区的水井按</w:t>
      </w:r>
      <w:r>
        <w:rPr>
          <w:rFonts w:eastAsiaTheme="minorEastAsia"/>
          <w:sz w:val="24"/>
          <w:highlight w:val="none"/>
        </w:rPr>
        <w:t>30m</w:t>
      </w:r>
      <w:r>
        <w:rPr>
          <w:rFonts w:hAnsiTheme="minorEastAsia" w:eastAsiaTheme="minorEastAsia"/>
          <w:sz w:val="24"/>
          <w:highlight w:val="none"/>
        </w:rPr>
        <w:t>划定一级保护区，因此本项目不在保护区范围内；其他评价区域饮用水</w:t>
      </w:r>
      <w:r>
        <w:rPr>
          <w:rFonts w:hint="eastAsia" w:hAnsiTheme="minorEastAsia" w:eastAsiaTheme="minorEastAsia"/>
          <w:sz w:val="24"/>
          <w:highlight w:val="none"/>
          <w:lang w:eastAsia="zh-CN"/>
        </w:rPr>
        <w:t>均</w:t>
      </w:r>
      <w:r>
        <w:rPr>
          <w:rFonts w:hAnsiTheme="minorEastAsia" w:eastAsiaTheme="minorEastAsia"/>
          <w:sz w:val="24"/>
          <w:highlight w:val="none"/>
        </w:rPr>
        <w:t>由</w:t>
      </w:r>
      <w:r>
        <w:rPr>
          <w:rFonts w:hint="eastAsia" w:hAnsiTheme="minorEastAsia" w:eastAsiaTheme="minorEastAsia"/>
          <w:sz w:val="24"/>
          <w:highlight w:val="none"/>
          <w:lang w:eastAsia="zh-CN"/>
        </w:rPr>
        <w:t>该井</w:t>
      </w:r>
      <w:r>
        <w:rPr>
          <w:rFonts w:hAnsiTheme="minorEastAsia" w:eastAsiaTheme="minorEastAsia"/>
          <w:sz w:val="24"/>
          <w:highlight w:val="none"/>
        </w:rPr>
        <w:t>提供，评价范围无其他饮用水井。</w:t>
      </w:r>
    </w:p>
    <w:p w14:paraId="332BDEC0">
      <w:pPr>
        <w:bidi w:val="0"/>
        <w:rPr>
          <w:rFonts w:hint="eastAsia"/>
          <w:color w:val="000000" w:themeColor="text1"/>
          <w:highlight w:val="none"/>
          <w:lang w:val="en-US" w:eastAsia="zh-CN"/>
          <w14:textFill>
            <w14:solidFill>
              <w14:schemeClr w14:val="tx1"/>
            </w14:solidFill>
          </w14:textFill>
        </w:rPr>
      </w:pPr>
      <w:r>
        <w:rPr>
          <w:rFonts w:hint="eastAsia" w:ascii="Times New Roman" w:hAnsi="Times New Roman"/>
          <w:color w:val="000000" w:themeColor="text1"/>
          <w:kern w:val="0"/>
          <w:highlight w:val="none"/>
          <w14:textFill>
            <w14:solidFill>
              <w14:schemeClr w14:val="tx1"/>
            </w14:solidFill>
          </w14:textFill>
        </w:rPr>
        <w:t>以敏感区边界外扩3000天的质点迁移距离范围作为较敏感区</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评价范围</w:t>
      </w:r>
      <w:r>
        <w:rPr>
          <w:rFonts w:hint="eastAsia"/>
          <w:color w:val="000000" w:themeColor="text1"/>
          <w:highlight w:val="none"/>
          <w:lang w:val="en-GB" w:eastAsia="zh-CN"/>
          <w14:textFill>
            <w14:solidFill>
              <w14:schemeClr w14:val="tx1"/>
            </w14:solidFill>
          </w14:textFill>
        </w:rPr>
        <w:t>质点运移天数</w:t>
      </w:r>
      <w:r>
        <w:rPr>
          <w:rFonts w:hint="eastAsia"/>
          <w:color w:val="000000" w:themeColor="text1"/>
          <w:highlight w:val="none"/>
          <w:lang w:val="en-US" w:eastAsia="zh-CN"/>
          <w14:textFill>
            <w14:solidFill>
              <w14:schemeClr w14:val="tx1"/>
            </w14:solidFill>
          </w14:textFill>
        </w:rPr>
        <w:t>不小于5000d。</w:t>
      </w:r>
    </w:p>
    <w:p w14:paraId="32324C72">
      <w:pPr>
        <w:keepNext w:val="0"/>
        <w:keepLines w:val="0"/>
        <w:pageBreakBefore w:val="0"/>
        <w:widowControl w:val="0"/>
        <w:wordWrap/>
        <w:overflowPunct/>
        <w:topLinePunct w:val="0"/>
        <w:bidi w:val="0"/>
        <w:adjustRightInd/>
        <w:snapToGrid/>
        <w:spacing w:line="480" w:lineRule="exact"/>
        <w:ind w:firstLine="482" w:firstLineChars="0"/>
        <w:jc w:val="center"/>
        <w:rPr>
          <w:rFonts w:eastAsia="仿宋_GB2312"/>
          <w:color w:val="000000" w:themeColor="text1"/>
          <w:highlight w:val="none"/>
          <w:vertAlign w:val="subscript"/>
          <w:lang w:val="en-GB"/>
          <w14:textFill>
            <w14:solidFill>
              <w14:schemeClr w14:val="tx1"/>
            </w14:solidFill>
          </w14:textFill>
        </w:rPr>
      </w:pPr>
      <w:r>
        <w:rPr>
          <w:rFonts w:eastAsia="仿宋_GB2312"/>
          <w:color w:val="000000" w:themeColor="text1"/>
          <w:highlight w:val="none"/>
          <w:lang w:val="en-GB"/>
          <w14:textFill>
            <w14:solidFill>
              <w14:schemeClr w14:val="tx1"/>
            </w14:solidFill>
          </w14:textFill>
        </w:rPr>
        <w:t>L=a×K×I×T/n</w:t>
      </w:r>
      <w:r>
        <w:rPr>
          <w:rFonts w:eastAsia="仿宋_GB2312"/>
          <w:color w:val="000000" w:themeColor="text1"/>
          <w:highlight w:val="none"/>
          <w:vertAlign w:val="subscript"/>
          <w:lang w:val="en-GB"/>
          <w14:textFill>
            <w14:solidFill>
              <w14:schemeClr w14:val="tx1"/>
            </w14:solidFill>
          </w14:textFill>
        </w:rPr>
        <w:t>e</w:t>
      </w:r>
    </w:p>
    <w:p w14:paraId="45137BF4">
      <w:pPr>
        <w:bidi w:val="0"/>
        <w:rPr>
          <w:rFonts w:hint="eastAsia"/>
          <w:color w:val="000000" w:themeColor="text1"/>
          <w:highlight w:val="none"/>
          <w:lang w:val="en-GB"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8"/>
          <w:highlight w:val="none"/>
          <w:lang w:val="en-GB" w:eastAsia="zh-CN" w:bidi="ar-SA"/>
          <w14:textFill>
            <w14:solidFill>
              <w14:schemeClr w14:val="tx1"/>
            </w14:solidFill>
          </w14:textFill>
        </w:rPr>
        <w:t>L－下游迁移距</w:t>
      </w:r>
      <w:r>
        <w:rPr>
          <w:rFonts w:hint="eastAsia"/>
          <w:color w:val="000000" w:themeColor="text1"/>
          <w:highlight w:val="none"/>
          <w:lang w:val="en-GB" w:eastAsia="zh-CN"/>
          <w14:textFill>
            <w14:solidFill>
              <w14:schemeClr w14:val="tx1"/>
            </w14:solidFill>
          </w14:textFill>
        </w:rPr>
        <w:t>离，m</w:t>
      </w:r>
    </w:p>
    <w:p w14:paraId="06DEB428">
      <w:pPr>
        <w:bidi w:val="0"/>
        <w:rPr>
          <w:rFonts w:hint="eastAsia"/>
          <w:color w:val="000000" w:themeColor="text1"/>
          <w:highlight w:val="none"/>
          <w:lang w:val="en-GB" w:eastAsia="zh-CN"/>
          <w14:textFill>
            <w14:solidFill>
              <w14:schemeClr w14:val="tx1"/>
            </w14:solidFill>
          </w14:textFill>
        </w:rPr>
      </w:pPr>
      <w:r>
        <w:rPr>
          <w:rFonts w:hint="eastAsia"/>
          <w:color w:val="000000" w:themeColor="text1"/>
          <w:highlight w:val="none"/>
          <w:lang w:val="en-GB" w:eastAsia="zh-CN"/>
          <w14:textFill>
            <w14:solidFill>
              <w14:schemeClr w14:val="tx1"/>
            </w14:solidFill>
          </w14:textFill>
        </w:rPr>
        <w:t>a－变化系数，a</w:t>
      </w:r>
      <w:r>
        <w:rPr>
          <w:rFonts w:hint="default" w:ascii="Times New Roman" w:hAnsi="Times New Roman" w:cs="Times New Roman"/>
          <w:color w:val="000000" w:themeColor="text1"/>
          <w:highlight w:val="none"/>
          <w:lang w:val="en-GB" w:eastAsia="zh-CN"/>
          <w14:textFill>
            <w14:solidFill>
              <w14:schemeClr w14:val="tx1"/>
            </w14:solidFill>
          </w14:textFill>
        </w:rPr>
        <w:t>≥</w:t>
      </w:r>
      <w:r>
        <w:rPr>
          <w:rFonts w:hint="eastAsia"/>
          <w:color w:val="000000" w:themeColor="text1"/>
          <w:highlight w:val="none"/>
          <w:lang w:val="en-GB" w:eastAsia="zh-CN"/>
          <w14:textFill>
            <w14:solidFill>
              <w14:schemeClr w14:val="tx1"/>
            </w14:solidFill>
          </w14:textFill>
        </w:rPr>
        <w:t>1，一般取2；</w:t>
      </w:r>
    </w:p>
    <w:p w14:paraId="18B61C7D">
      <w:pPr>
        <w:bidi w:val="0"/>
        <w:rPr>
          <w:rFonts w:hint="eastAsia"/>
          <w:color w:val="000000" w:themeColor="text1"/>
          <w:highlight w:val="none"/>
          <w:lang w:val="en-GB" w:eastAsia="zh-CN"/>
          <w14:textFill>
            <w14:solidFill>
              <w14:schemeClr w14:val="tx1"/>
            </w14:solidFill>
          </w14:textFill>
        </w:rPr>
      </w:pPr>
      <w:r>
        <w:rPr>
          <w:rFonts w:hint="eastAsia"/>
          <w:color w:val="000000" w:themeColor="text1"/>
          <w:highlight w:val="none"/>
          <w:lang w:val="en-GB" w:eastAsia="zh-CN"/>
          <w14:textFill>
            <w14:solidFill>
              <w14:schemeClr w14:val="tx1"/>
            </w14:solidFill>
          </w14:textFill>
        </w:rPr>
        <w:t>K－渗透系数，m/d；</w:t>
      </w:r>
    </w:p>
    <w:p w14:paraId="1787EFDE">
      <w:pPr>
        <w:bidi w:val="0"/>
        <w:rPr>
          <w:rFonts w:hint="eastAsia"/>
          <w:color w:val="000000" w:themeColor="text1"/>
          <w:highlight w:val="none"/>
          <w:lang w:val="en-GB" w:eastAsia="zh-CN"/>
          <w14:textFill>
            <w14:solidFill>
              <w14:schemeClr w14:val="tx1"/>
            </w14:solidFill>
          </w14:textFill>
        </w:rPr>
      </w:pPr>
      <w:r>
        <w:rPr>
          <w:rFonts w:hint="eastAsia"/>
          <w:color w:val="000000" w:themeColor="text1"/>
          <w:highlight w:val="none"/>
          <w:lang w:val="en-GB" w:eastAsia="zh-CN"/>
          <w14:textFill>
            <w14:solidFill>
              <w14:schemeClr w14:val="tx1"/>
            </w14:solidFill>
          </w14:textFill>
        </w:rPr>
        <w:t>I－水力坡度，无量纲；</w:t>
      </w:r>
    </w:p>
    <w:p w14:paraId="738ACA68">
      <w:pPr>
        <w:bidi w:val="0"/>
        <w:rPr>
          <w:rFonts w:hint="eastAsia"/>
          <w:color w:val="000000" w:themeColor="text1"/>
          <w:highlight w:val="none"/>
          <w:lang w:val="en-GB" w:eastAsia="zh-CN"/>
          <w14:textFill>
            <w14:solidFill>
              <w14:schemeClr w14:val="tx1"/>
            </w14:solidFill>
          </w14:textFill>
        </w:rPr>
      </w:pPr>
      <w:r>
        <w:rPr>
          <w:rFonts w:hint="eastAsia"/>
          <w:color w:val="000000" w:themeColor="text1"/>
          <w:highlight w:val="none"/>
          <w:lang w:val="en-GB" w:eastAsia="zh-CN"/>
          <w14:textFill>
            <w14:solidFill>
              <w14:schemeClr w14:val="tx1"/>
            </w14:solidFill>
          </w14:textFill>
        </w:rPr>
        <w:t>T－质点运移天数，</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val="en-GB" w:eastAsia="zh-CN"/>
          <w14:textFill>
            <w14:solidFill>
              <w14:schemeClr w14:val="tx1"/>
            </w14:solidFill>
          </w14:textFill>
        </w:rPr>
        <w:t>000d，</w:t>
      </w:r>
      <w:r>
        <w:rPr>
          <w:rFonts w:hint="eastAsia"/>
          <w:color w:val="000000" w:themeColor="text1"/>
          <w:highlight w:val="none"/>
          <w:lang w:val="en-US" w:eastAsia="zh-CN"/>
          <w14:textFill>
            <w14:solidFill>
              <w14:schemeClr w14:val="tx1"/>
            </w14:solidFill>
          </w14:textFill>
        </w:rPr>
        <w:t>5000d</w:t>
      </w:r>
      <w:r>
        <w:rPr>
          <w:rFonts w:hint="eastAsia"/>
          <w:color w:val="000000" w:themeColor="text1"/>
          <w:highlight w:val="none"/>
          <w:lang w:val="en-GB" w:eastAsia="zh-CN"/>
          <w14:textFill>
            <w14:solidFill>
              <w14:schemeClr w14:val="tx1"/>
            </w14:solidFill>
          </w14:textFill>
        </w:rPr>
        <w:t>；</w:t>
      </w:r>
    </w:p>
    <w:p w14:paraId="5D7C825C">
      <w:pPr>
        <w:bidi w:val="0"/>
        <w:rPr>
          <w:rFonts w:hint="eastAsia" w:ascii="Times New Roman" w:hAnsi="Times New Roman" w:eastAsia="宋体" w:cs="Times New Roman"/>
          <w:b w:val="0"/>
          <w:bCs w:val="0"/>
          <w:color w:val="000000" w:themeColor="text1"/>
          <w:kern w:val="0"/>
          <w:szCs w:val="28"/>
          <w:highlight w:val="none"/>
          <w:lang w:val="en-GB" w:eastAsia="zh-CN" w:bidi="ar-SA"/>
          <w14:textFill>
            <w14:solidFill>
              <w14:schemeClr w14:val="tx1"/>
            </w14:solidFill>
          </w14:textFill>
        </w:rPr>
      </w:pPr>
      <w:r>
        <w:rPr>
          <w:rFonts w:hint="eastAsia"/>
          <w:color w:val="000000" w:themeColor="text1"/>
          <w:highlight w:val="none"/>
          <w:lang w:val="en-GB" w:eastAsia="zh-CN"/>
          <w14:textFill>
            <w14:solidFill>
              <w14:schemeClr w14:val="tx1"/>
            </w14:solidFill>
          </w14:textFill>
        </w:rPr>
        <w:t>ne－有效孔隙度，无量</w:t>
      </w:r>
      <w:r>
        <w:rPr>
          <w:rFonts w:hint="eastAsia" w:ascii="Times New Roman" w:hAnsi="Times New Roman" w:eastAsia="宋体" w:cs="Times New Roman"/>
          <w:b w:val="0"/>
          <w:bCs w:val="0"/>
          <w:color w:val="000000" w:themeColor="text1"/>
          <w:kern w:val="0"/>
          <w:szCs w:val="28"/>
          <w:highlight w:val="none"/>
          <w:lang w:val="en-GB" w:eastAsia="zh-CN" w:bidi="ar-SA"/>
          <w14:textFill>
            <w14:solidFill>
              <w14:schemeClr w14:val="tx1"/>
            </w14:solidFill>
          </w14:textFill>
        </w:rPr>
        <w:t>纲。</w:t>
      </w:r>
    </w:p>
    <w:p w14:paraId="36D7F0B4">
      <w:pPr>
        <w:bidi w:val="0"/>
        <w:rPr>
          <w:rFonts w:hint="default"/>
          <w:highlight w:val="none"/>
          <w:lang w:val="en-US" w:eastAsia="zh-CN"/>
        </w:rPr>
      </w:pPr>
      <w:r>
        <w:rPr>
          <w:highlight w:val="none"/>
        </w:rPr>
        <w:t>渗透系数K由《哈尔滨市幅L-52-（19）1：20万区域水文地质调查报告》水文地质勘探孔抽水试验确定，取值为23.9m/d，水力梯度I由等水位线图上量取，为0.0025；有效孔隙度ne根据《哈尔滨市工程地质分区与评价报告》取0.34；a取2</w:t>
      </w:r>
      <w:r>
        <w:rPr>
          <w:rFonts w:hint="eastAsia"/>
          <w:highlight w:val="none"/>
          <w:lang w:val="en-GB" w:eastAsia="zh-CN"/>
        </w:rPr>
        <w:t>，则L=2×</w:t>
      </w:r>
      <w:r>
        <w:rPr>
          <w:rFonts w:hint="eastAsia"/>
          <w:highlight w:val="none"/>
          <w:lang w:val="en-US" w:eastAsia="zh-CN"/>
        </w:rPr>
        <w:t>23.9</w:t>
      </w:r>
      <w:r>
        <w:rPr>
          <w:rFonts w:hint="eastAsia"/>
          <w:highlight w:val="none"/>
          <w:lang w:val="en-GB" w:eastAsia="zh-CN"/>
        </w:rPr>
        <w:t>×0.00</w:t>
      </w:r>
      <w:r>
        <w:rPr>
          <w:rFonts w:hint="eastAsia"/>
          <w:highlight w:val="none"/>
          <w:lang w:val="en-US" w:eastAsia="zh-CN"/>
        </w:rPr>
        <w:t>25</w:t>
      </w:r>
      <w:r>
        <w:rPr>
          <w:rFonts w:hint="eastAsia"/>
          <w:highlight w:val="none"/>
          <w:lang w:val="en-GB" w:eastAsia="zh-CN"/>
        </w:rPr>
        <w:t>×</w:t>
      </w:r>
      <w:r>
        <w:rPr>
          <w:rFonts w:hint="eastAsia"/>
          <w:highlight w:val="none"/>
          <w:lang w:val="en-US" w:eastAsia="zh-CN"/>
        </w:rPr>
        <w:t>3</w:t>
      </w:r>
      <w:r>
        <w:rPr>
          <w:rFonts w:hint="eastAsia"/>
          <w:highlight w:val="none"/>
          <w:lang w:val="en-GB" w:eastAsia="zh-CN"/>
        </w:rPr>
        <w:t>000/0.3</w:t>
      </w:r>
      <w:r>
        <w:rPr>
          <w:rFonts w:hint="eastAsia"/>
          <w:highlight w:val="none"/>
          <w:lang w:val="en-US" w:eastAsia="zh-CN"/>
        </w:rPr>
        <w:t>4</w:t>
      </w:r>
      <w:r>
        <w:rPr>
          <w:rFonts w:hint="eastAsia"/>
          <w:highlight w:val="none"/>
          <w:lang w:val="en-GB" w:eastAsia="zh-CN"/>
        </w:rPr>
        <w:t>=</w:t>
      </w:r>
      <w:r>
        <w:rPr>
          <w:rFonts w:hint="eastAsia"/>
          <w:highlight w:val="none"/>
          <w:lang w:val="en-US" w:eastAsia="zh-CN"/>
        </w:rPr>
        <w:t>1054</w:t>
      </w:r>
      <w:r>
        <w:rPr>
          <w:rFonts w:hint="eastAsia"/>
          <w:highlight w:val="none"/>
          <w:lang w:val="en-GB" w:eastAsia="zh-CN"/>
        </w:rPr>
        <w:t>m。</w:t>
      </w:r>
    </w:p>
    <w:p w14:paraId="271181CF">
      <w:pPr>
        <w:bidi w:val="0"/>
        <w:rPr>
          <w:rFonts w:hint="default" w:ascii="Times New Roman" w:hAnsi="Times New Roman"/>
          <w:color w:val="000000" w:themeColor="text1"/>
          <w:kern w:val="0"/>
          <w:highlight w:val="none"/>
          <w:lang w:val="en-US" w:eastAsia="zh-CN"/>
          <w14:textFill>
            <w14:solidFill>
              <w14:schemeClr w14:val="tx1"/>
            </w14:solidFill>
          </w14:textFill>
        </w:rPr>
      </w:pPr>
      <w:r>
        <w:rPr>
          <w:rFonts w:hint="eastAsia" w:ascii="Times New Roman" w:hAnsi="Times New Roman"/>
          <w:color w:val="000000" w:themeColor="text1"/>
          <w:kern w:val="0"/>
          <w:highlight w:val="none"/>
          <w14:textFill>
            <w14:solidFill>
              <w14:schemeClr w14:val="tx1"/>
            </w14:solidFill>
          </w14:textFill>
        </w:rPr>
        <w:t>计算，较敏感区为</w:t>
      </w:r>
      <w:r>
        <w:rPr>
          <w:rFonts w:hint="eastAsia"/>
          <w:color w:val="000000" w:themeColor="text1"/>
          <w:kern w:val="0"/>
          <w:highlight w:val="none"/>
          <w:lang w:val="en-US" w:eastAsia="zh-CN"/>
          <w14:textFill>
            <w14:solidFill>
              <w14:schemeClr w14:val="tx1"/>
            </w14:solidFill>
          </w14:textFill>
        </w:rPr>
        <w:t>1054</w:t>
      </w:r>
      <w:r>
        <w:rPr>
          <w:rFonts w:hint="eastAsia" w:ascii="Times New Roman" w:hAnsi="Times New Roman"/>
          <w:color w:val="000000" w:themeColor="text1"/>
          <w:kern w:val="0"/>
          <w:highlight w:val="none"/>
          <w14:textFill>
            <w14:solidFill>
              <w14:schemeClr w14:val="tx1"/>
            </w14:solidFill>
          </w14:textFill>
        </w:rPr>
        <w:t>m范围。本项目距</w:t>
      </w:r>
      <w:r>
        <w:rPr>
          <w:rFonts w:hint="eastAsia"/>
          <w:color w:val="000000" w:themeColor="text1"/>
          <w:kern w:val="0"/>
          <w:highlight w:val="none"/>
          <w:lang w:eastAsia="zh-CN"/>
          <w14:textFill>
            <w14:solidFill>
              <w14:schemeClr w14:val="tx1"/>
            </w14:solidFill>
          </w14:textFill>
        </w:rPr>
        <w:t>饮用水</w:t>
      </w:r>
      <w:r>
        <w:rPr>
          <w:rFonts w:hint="eastAsia" w:ascii="Times New Roman" w:hAnsi="Times New Roman"/>
          <w:color w:val="000000" w:themeColor="text1"/>
          <w:kern w:val="0"/>
          <w:highlight w:val="none"/>
          <w14:textFill>
            <w14:solidFill>
              <w14:schemeClr w14:val="tx1"/>
            </w14:solidFill>
          </w14:textFill>
        </w:rPr>
        <w:t>源</w:t>
      </w:r>
      <w:r>
        <w:rPr>
          <w:rFonts w:hint="eastAsia"/>
          <w:color w:val="000000" w:themeColor="text1"/>
          <w:kern w:val="0"/>
          <w:highlight w:val="none"/>
          <w:lang w:val="en-US" w:eastAsia="zh-CN"/>
          <w14:textFill>
            <w14:solidFill>
              <w14:schemeClr w14:val="tx1"/>
            </w14:solidFill>
          </w14:textFill>
        </w:rPr>
        <w:t>320</w:t>
      </w:r>
      <w:r>
        <w:rPr>
          <w:rFonts w:hint="eastAsia" w:ascii="Times New Roman" w:hAnsi="Times New Roman"/>
          <w:color w:val="000000" w:themeColor="text1"/>
          <w:kern w:val="0"/>
          <w:highlight w:val="none"/>
          <w14:textFill>
            <w14:solidFill>
              <w14:schemeClr w14:val="tx1"/>
            </w14:solidFill>
          </w14:textFill>
        </w:rPr>
        <w:t>m，位于较敏感区内</w:t>
      </w:r>
      <w:r>
        <w:rPr>
          <w:rFonts w:hint="eastAsia" w:ascii="Times New Roman" w:hAnsi="Times New Roman"/>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调查评价范围L=</w:t>
      </w:r>
      <w:r>
        <w:rPr>
          <w:rFonts w:hint="eastAsia"/>
          <w:highlight w:val="none"/>
          <w:lang w:val="en-GB" w:eastAsia="zh-CN"/>
        </w:rPr>
        <w:t>2×</w:t>
      </w:r>
      <w:r>
        <w:rPr>
          <w:rFonts w:hint="eastAsia"/>
          <w:highlight w:val="none"/>
          <w:lang w:val="en-US" w:eastAsia="zh-CN"/>
        </w:rPr>
        <w:t>23.9</w:t>
      </w:r>
      <w:r>
        <w:rPr>
          <w:rFonts w:hint="eastAsia"/>
          <w:highlight w:val="none"/>
          <w:lang w:val="en-GB" w:eastAsia="zh-CN"/>
        </w:rPr>
        <w:t>×0.00</w:t>
      </w:r>
      <w:r>
        <w:rPr>
          <w:rFonts w:hint="eastAsia"/>
          <w:highlight w:val="none"/>
          <w:lang w:val="en-US" w:eastAsia="zh-CN"/>
        </w:rPr>
        <w:t>25</w:t>
      </w:r>
      <w:r>
        <w:rPr>
          <w:rFonts w:hint="eastAsia"/>
          <w:highlight w:val="none"/>
          <w:lang w:val="en-GB" w:eastAsia="zh-CN"/>
        </w:rPr>
        <w:t>×</w:t>
      </w:r>
      <w:r>
        <w:rPr>
          <w:rFonts w:hint="eastAsia"/>
          <w:highlight w:val="none"/>
          <w:lang w:val="en-US" w:eastAsia="zh-CN"/>
        </w:rPr>
        <w:t>5</w:t>
      </w:r>
      <w:r>
        <w:rPr>
          <w:rFonts w:hint="eastAsia"/>
          <w:highlight w:val="none"/>
          <w:lang w:val="en-GB" w:eastAsia="zh-CN"/>
        </w:rPr>
        <w:t>000/0.3</w:t>
      </w:r>
      <w:r>
        <w:rPr>
          <w:rFonts w:hint="eastAsia"/>
          <w:highlight w:val="none"/>
          <w:lang w:val="en-US" w:eastAsia="zh-CN"/>
        </w:rPr>
        <w:t>4</w:t>
      </w:r>
      <w:r>
        <w:rPr>
          <w:rFonts w:hint="eastAsia" w:ascii="Times New Roman" w:hAnsi="Times New Roman" w:eastAsia="宋体" w:cs="Times New Roman"/>
          <w:b w:val="0"/>
          <w:bCs w:val="0"/>
          <w:color w:val="000000" w:themeColor="text1"/>
          <w:kern w:val="0"/>
          <w:sz w:val="24"/>
          <w:szCs w:val="28"/>
          <w:highlight w:val="none"/>
          <w:lang w:val="en-GB" w:eastAsia="zh-CN" w:bidi="ar-SA"/>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1757.35m。</w:t>
      </w:r>
    </w:p>
    <w:p w14:paraId="285455F0">
      <w:pPr>
        <w:bidi w:val="0"/>
        <w:rPr>
          <w:highlight w:val="none"/>
        </w:rPr>
      </w:pPr>
      <w:r>
        <w:rPr>
          <w:color w:val="000000" w:themeColor="text1"/>
          <w:highlight w:val="none"/>
          <w14:textFill>
            <w14:solidFill>
              <w14:schemeClr w14:val="tx1"/>
            </w14:solidFill>
          </w14:textFill>
        </w:rPr>
        <w:t>根据</w:t>
      </w:r>
      <w:r>
        <w:rPr>
          <w:highlight w:val="none"/>
        </w:rPr>
        <w:t>《环境影响评价技术导则地下水环境》（HJ610-2016），建设项目地下水环境影响评价工作等级划分见</w:t>
      </w:r>
      <w:r>
        <w:rPr>
          <w:rFonts w:hint="eastAsia"/>
          <w:highlight w:val="none"/>
          <w:lang w:val="en-US" w:eastAsia="zh-CN"/>
        </w:rPr>
        <w:t>下表</w:t>
      </w:r>
      <w:r>
        <w:rPr>
          <w:highlight w:val="none"/>
        </w:rPr>
        <w:t>。</w:t>
      </w:r>
    </w:p>
    <w:p w14:paraId="78B261EB">
      <w:pPr>
        <w:pStyle w:val="7"/>
        <w:bidi w:val="0"/>
        <w:rPr>
          <w:highlight w:val="none"/>
        </w:rPr>
      </w:pPr>
      <w:r>
        <w:rPr>
          <w:highlight w:val="none"/>
        </w:rPr>
        <w:t>表2-4-</w:t>
      </w:r>
      <w:r>
        <w:rPr>
          <w:rFonts w:hint="eastAsia"/>
          <w:highlight w:val="none"/>
          <w:lang w:val="en-US" w:eastAsia="zh-CN"/>
        </w:rPr>
        <w:t>9</w:t>
      </w:r>
      <w:r>
        <w:rPr>
          <w:highlight w:val="none"/>
        </w:rPr>
        <w:t>地下水环境影响评价工作等级表</w:t>
      </w:r>
    </w:p>
    <w:tbl>
      <w:tblPr>
        <w:tblStyle w:val="44"/>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854"/>
        <w:gridCol w:w="1327"/>
        <w:gridCol w:w="2075"/>
        <w:gridCol w:w="1803"/>
      </w:tblGrid>
      <w:tr w14:paraId="1F79DC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2854" w:type="dxa"/>
            <w:tcBorders>
              <w:top w:val="single" w:color="000000" w:sz="12" w:space="0"/>
              <w:left w:val="nil"/>
              <w:bottom w:val="single" w:color="000000" w:sz="4" w:space="0"/>
              <w:right w:val="single" w:color="000000" w:sz="4" w:space="0"/>
            </w:tcBorders>
            <w:vAlign w:val="center"/>
          </w:tcPr>
          <w:p w14:paraId="1CC6800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kern w:val="0"/>
                <w:sz w:val="21"/>
                <w:szCs w:val="21"/>
                <w:highlight w:val="none"/>
              </w:rPr>
            </w:pPr>
            <w:r>
              <w:rPr>
                <w:rFonts w:hint="default" w:eastAsiaTheme="minorEastAsia"/>
                <w:kern w:val="0"/>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-55880</wp:posOffset>
                      </wp:positionH>
                      <wp:positionV relativeFrom="paragraph">
                        <wp:posOffset>-1905</wp:posOffset>
                      </wp:positionV>
                      <wp:extent cx="1797050" cy="381000"/>
                      <wp:effectExtent l="1270" t="4445" r="11430" b="14605"/>
                      <wp:wrapNone/>
                      <wp:docPr id="311" name="自选图形 13"/>
                      <wp:cNvGraphicFramePr/>
                      <a:graphic xmlns:a="http://schemas.openxmlformats.org/drawingml/2006/main">
                        <a:graphicData uri="http://schemas.microsoft.com/office/word/2010/wordprocessingShape">
                          <wps:wsp>
                            <wps:cNvCnPr/>
                            <wps:spPr>
                              <a:xfrm>
                                <a:off x="0" y="0"/>
                                <a:ext cx="1797050" cy="3810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 o:spid="_x0000_s1026" o:spt="32" type="#_x0000_t32" style="position:absolute;left:0pt;margin-left:-4.4pt;margin-top:-0.15pt;height:30pt;width:141.5pt;z-index:251665408;mso-width-relative:page;mso-height-relative:page;" filled="f" stroked="t" coordsize="21600,21600" o:gfxdata="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k5tZjXAAAABwEAAA8AAAAAAAAAAQAgAAAAIgAAAGRycy9kb3ducmV2&#10;LnhtbFBLAQIUABQAAAAIAIdO4kAN9vVu/QEAAOsDAAAOAAAAAAAAAAEAIAAAACYBAABkcnMvZTJv&#10;RG9jLnhtbFBLBQYAAAAABgAGAFkBAACVBQAAAAA=&#10;">
                      <v:fill on="f" focussize="0,0"/>
                      <v:stroke color="#000000" joinstyle="round"/>
                      <v:imagedata o:title=""/>
                      <o:lock v:ext="edit" aspectratio="f"/>
                    </v:shape>
                  </w:pict>
                </mc:Fallback>
              </mc:AlternateContent>
            </w:r>
            <w:r>
              <w:rPr>
                <w:rFonts w:hint="default" w:hAnsiTheme="minorEastAsia" w:eastAsiaTheme="minorEastAsia"/>
                <w:kern w:val="0"/>
                <w:sz w:val="21"/>
                <w:szCs w:val="21"/>
                <w:highlight w:val="none"/>
              </w:rPr>
              <w:t>项目类别</w:t>
            </w:r>
          </w:p>
          <w:p w14:paraId="6C35B55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Theme="minorEastAsia"/>
                <w:sz w:val="21"/>
                <w:szCs w:val="21"/>
                <w:highlight w:val="none"/>
              </w:rPr>
            </w:pPr>
            <w:r>
              <w:rPr>
                <w:rFonts w:hint="default" w:hAnsiTheme="minorEastAsia" w:eastAsiaTheme="minorEastAsia"/>
                <w:kern w:val="0"/>
                <w:sz w:val="21"/>
                <w:szCs w:val="21"/>
                <w:highlight w:val="none"/>
              </w:rPr>
              <w:t>环境敏感程度</w:t>
            </w:r>
          </w:p>
        </w:tc>
        <w:tc>
          <w:tcPr>
            <w:tcW w:w="1327" w:type="dxa"/>
            <w:tcBorders>
              <w:top w:val="single" w:color="000000" w:sz="12" w:space="0"/>
              <w:left w:val="single" w:color="000000" w:sz="4" w:space="0"/>
              <w:bottom w:val="single" w:color="000000" w:sz="4" w:space="0"/>
              <w:right w:val="single" w:color="000000" w:sz="4" w:space="0"/>
            </w:tcBorders>
            <w:vAlign w:val="center"/>
          </w:tcPr>
          <w:p w14:paraId="6CA52BC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eastAsiaTheme="minorEastAsia"/>
                <w:kern w:val="0"/>
                <w:sz w:val="21"/>
                <w:szCs w:val="21"/>
                <w:highlight w:val="none"/>
              </w:rPr>
              <w:t>Ⅰ</w:t>
            </w:r>
            <w:r>
              <w:rPr>
                <w:rFonts w:hint="default" w:hAnsiTheme="minorEastAsia" w:eastAsiaTheme="minorEastAsia"/>
                <w:kern w:val="0"/>
                <w:sz w:val="21"/>
                <w:szCs w:val="21"/>
                <w:highlight w:val="none"/>
              </w:rPr>
              <w:t>类项目</w:t>
            </w:r>
          </w:p>
        </w:tc>
        <w:tc>
          <w:tcPr>
            <w:tcW w:w="2075" w:type="dxa"/>
            <w:tcBorders>
              <w:top w:val="single" w:color="000000" w:sz="12" w:space="0"/>
              <w:left w:val="single" w:color="000000" w:sz="4" w:space="0"/>
              <w:bottom w:val="single" w:color="000000" w:sz="4" w:space="0"/>
              <w:right w:val="single" w:color="000000" w:sz="4" w:space="0"/>
            </w:tcBorders>
            <w:vAlign w:val="center"/>
          </w:tcPr>
          <w:p w14:paraId="5A7B7C7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eastAsiaTheme="minorEastAsia"/>
                <w:kern w:val="0"/>
                <w:sz w:val="21"/>
                <w:szCs w:val="21"/>
                <w:highlight w:val="none"/>
              </w:rPr>
              <w:t>Ⅱ</w:t>
            </w:r>
            <w:r>
              <w:rPr>
                <w:rFonts w:hint="default" w:hAnsiTheme="minorEastAsia" w:eastAsiaTheme="minorEastAsia"/>
                <w:kern w:val="0"/>
                <w:sz w:val="21"/>
                <w:szCs w:val="21"/>
                <w:highlight w:val="none"/>
              </w:rPr>
              <w:t>类项目</w:t>
            </w:r>
          </w:p>
        </w:tc>
        <w:tc>
          <w:tcPr>
            <w:tcW w:w="1803" w:type="dxa"/>
            <w:tcBorders>
              <w:top w:val="single" w:color="000000" w:sz="12" w:space="0"/>
              <w:left w:val="single" w:color="000000" w:sz="4" w:space="0"/>
              <w:bottom w:val="single" w:color="000000" w:sz="4" w:space="0"/>
              <w:right w:val="nil"/>
            </w:tcBorders>
            <w:vAlign w:val="center"/>
          </w:tcPr>
          <w:p w14:paraId="1A4E3D5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eastAsiaTheme="minorEastAsia"/>
                <w:kern w:val="0"/>
                <w:sz w:val="21"/>
                <w:szCs w:val="21"/>
                <w:highlight w:val="none"/>
              </w:rPr>
              <w:t>Ⅲ</w:t>
            </w:r>
            <w:r>
              <w:rPr>
                <w:rFonts w:hint="default" w:hAnsiTheme="minorEastAsia" w:eastAsiaTheme="minorEastAsia"/>
                <w:kern w:val="0"/>
                <w:sz w:val="21"/>
                <w:szCs w:val="21"/>
                <w:highlight w:val="none"/>
              </w:rPr>
              <w:t>类项目</w:t>
            </w:r>
          </w:p>
        </w:tc>
      </w:tr>
      <w:tr w14:paraId="0C3965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2854" w:type="dxa"/>
            <w:tcBorders>
              <w:top w:val="single" w:color="000000" w:sz="4" w:space="0"/>
              <w:left w:val="nil"/>
              <w:bottom w:val="single" w:color="000000" w:sz="4" w:space="0"/>
              <w:right w:val="single" w:color="000000" w:sz="4" w:space="0"/>
            </w:tcBorders>
            <w:vAlign w:val="center"/>
          </w:tcPr>
          <w:p w14:paraId="7742D84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敏感</w:t>
            </w:r>
          </w:p>
        </w:tc>
        <w:tc>
          <w:tcPr>
            <w:tcW w:w="1327" w:type="dxa"/>
            <w:tcBorders>
              <w:top w:val="single" w:color="000000" w:sz="4" w:space="0"/>
              <w:left w:val="single" w:color="000000" w:sz="4" w:space="0"/>
              <w:bottom w:val="single" w:color="000000" w:sz="4" w:space="0"/>
              <w:right w:val="single" w:color="000000" w:sz="4" w:space="0"/>
            </w:tcBorders>
            <w:vAlign w:val="center"/>
          </w:tcPr>
          <w:p w14:paraId="32B58D2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一</w:t>
            </w:r>
          </w:p>
        </w:tc>
        <w:tc>
          <w:tcPr>
            <w:tcW w:w="2075" w:type="dxa"/>
            <w:tcBorders>
              <w:top w:val="single" w:color="000000" w:sz="4" w:space="0"/>
              <w:left w:val="single" w:color="000000" w:sz="4" w:space="0"/>
              <w:bottom w:val="single" w:color="000000" w:sz="4" w:space="0"/>
              <w:right w:val="single" w:color="000000" w:sz="4" w:space="0"/>
            </w:tcBorders>
            <w:vAlign w:val="center"/>
          </w:tcPr>
          <w:p w14:paraId="6F65281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一</w:t>
            </w:r>
          </w:p>
        </w:tc>
        <w:tc>
          <w:tcPr>
            <w:tcW w:w="1803" w:type="dxa"/>
            <w:tcBorders>
              <w:top w:val="single" w:color="000000" w:sz="4" w:space="0"/>
              <w:left w:val="single" w:color="000000" w:sz="4" w:space="0"/>
              <w:bottom w:val="single" w:color="000000" w:sz="4" w:space="0"/>
              <w:right w:val="nil"/>
            </w:tcBorders>
            <w:vAlign w:val="center"/>
          </w:tcPr>
          <w:p w14:paraId="7DFBDD9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二</w:t>
            </w:r>
          </w:p>
        </w:tc>
      </w:tr>
      <w:tr w14:paraId="7AFE014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2854" w:type="dxa"/>
            <w:tcBorders>
              <w:top w:val="single" w:color="000000" w:sz="4" w:space="0"/>
              <w:left w:val="nil"/>
              <w:bottom w:val="single" w:color="000000" w:sz="4" w:space="0"/>
              <w:right w:val="single" w:color="000000" w:sz="4" w:space="0"/>
            </w:tcBorders>
            <w:vAlign w:val="center"/>
          </w:tcPr>
          <w:p w14:paraId="5C60972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较敏感</w:t>
            </w:r>
          </w:p>
        </w:tc>
        <w:tc>
          <w:tcPr>
            <w:tcW w:w="1327" w:type="dxa"/>
            <w:tcBorders>
              <w:top w:val="single" w:color="000000" w:sz="4" w:space="0"/>
              <w:left w:val="single" w:color="000000" w:sz="4" w:space="0"/>
              <w:bottom w:val="single" w:color="000000" w:sz="4" w:space="0"/>
              <w:right w:val="single" w:color="000000" w:sz="4" w:space="0"/>
            </w:tcBorders>
            <w:vAlign w:val="center"/>
          </w:tcPr>
          <w:p w14:paraId="226CE7C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一</w:t>
            </w:r>
          </w:p>
        </w:tc>
        <w:tc>
          <w:tcPr>
            <w:tcW w:w="2075" w:type="dxa"/>
            <w:tcBorders>
              <w:top w:val="single" w:color="000000" w:sz="4" w:space="0"/>
              <w:left w:val="single" w:color="000000" w:sz="4" w:space="0"/>
              <w:bottom w:val="single" w:color="000000" w:sz="4" w:space="0"/>
              <w:right w:val="single" w:color="000000" w:sz="4" w:space="0"/>
            </w:tcBorders>
            <w:vAlign w:val="center"/>
          </w:tcPr>
          <w:p w14:paraId="3F733B4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二</w:t>
            </w:r>
          </w:p>
        </w:tc>
        <w:tc>
          <w:tcPr>
            <w:tcW w:w="1803" w:type="dxa"/>
            <w:tcBorders>
              <w:top w:val="single" w:color="000000" w:sz="4" w:space="0"/>
              <w:left w:val="single" w:color="000000" w:sz="4" w:space="0"/>
              <w:bottom w:val="single" w:color="000000" w:sz="4" w:space="0"/>
              <w:right w:val="nil"/>
            </w:tcBorders>
            <w:vAlign w:val="center"/>
          </w:tcPr>
          <w:p w14:paraId="7DD5505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
                <w:bCs/>
                <w:sz w:val="21"/>
                <w:szCs w:val="21"/>
                <w:highlight w:val="none"/>
              </w:rPr>
            </w:pPr>
            <w:r>
              <w:rPr>
                <w:rFonts w:hint="default" w:hAnsiTheme="minorEastAsia" w:eastAsiaTheme="minorEastAsia"/>
                <w:b/>
                <w:bCs/>
                <w:kern w:val="0"/>
                <w:sz w:val="21"/>
                <w:szCs w:val="21"/>
                <w:highlight w:val="none"/>
              </w:rPr>
              <w:t>三</w:t>
            </w:r>
          </w:p>
        </w:tc>
      </w:tr>
      <w:tr w14:paraId="517D37F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2854" w:type="dxa"/>
            <w:tcBorders>
              <w:top w:val="single" w:color="000000" w:sz="4" w:space="0"/>
              <w:left w:val="nil"/>
              <w:bottom w:val="single" w:color="000000" w:sz="12" w:space="0"/>
              <w:right w:val="single" w:color="000000" w:sz="4" w:space="0"/>
            </w:tcBorders>
            <w:vAlign w:val="center"/>
          </w:tcPr>
          <w:p w14:paraId="4ED1501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不敏感</w:t>
            </w:r>
          </w:p>
        </w:tc>
        <w:tc>
          <w:tcPr>
            <w:tcW w:w="1327" w:type="dxa"/>
            <w:tcBorders>
              <w:top w:val="single" w:color="000000" w:sz="4" w:space="0"/>
              <w:left w:val="single" w:color="000000" w:sz="4" w:space="0"/>
              <w:bottom w:val="single" w:color="000000" w:sz="12" w:space="0"/>
              <w:right w:val="single" w:color="000000" w:sz="4" w:space="0"/>
            </w:tcBorders>
            <w:vAlign w:val="center"/>
          </w:tcPr>
          <w:p w14:paraId="6DB636F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b/>
                <w:bCs/>
                <w:kern w:val="0"/>
                <w:sz w:val="21"/>
                <w:szCs w:val="21"/>
                <w:highlight w:val="none"/>
              </w:rPr>
              <w:t>二</w:t>
            </w:r>
          </w:p>
        </w:tc>
        <w:tc>
          <w:tcPr>
            <w:tcW w:w="2075" w:type="dxa"/>
            <w:tcBorders>
              <w:top w:val="single" w:color="000000" w:sz="4" w:space="0"/>
              <w:left w:val="single" w:color="000000" w:sz="4" w:space="0"/>
              <w:bottom w:val="single" w:color="000000" w:sz="12" w:space="0"/>
              <w:right w:val="single" w:color="000000" w:sz="4" w:space="0"/>
            </w:tcBorders>
            <w:vAlign w:val="center"/>
          </w:tcPr>
          <w:p w14:paraId="3E4D9CD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三</w:t>
            </w:r>
          </w:p>
        </w:tc>
        <w:tc>
          <w:tcPr>
            <w:tcW w:w="1803" w:type="dxa"/>
            <w:tcBorders>
              <w:top w:val="single" w:color="000000" w:sz="4" w:space="0"/>
              <w:left w:val="single" w:color="000000" w:sz="4" w:space="0"/>
              <w:bottom w:val="single" w:color="000000" w:sz="12" w:space="0"/>
              <w:right w:val="nil"/>
            </w:tcBorders>
            <w:vAlign w:val="center"/>
          </w:tcPr>
          <w:p w14:paraId="4ABD809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kern w:val="0"/>
                <w:sz w:val="21"/>
                <w:szCs w:val="21"/>
                <w:highlight w:val="none"/>
              </w:rPr>
              <w:t>三</w:t>
            </w:r>
          </w:p>
        </w:tc>
      </w:tr>
    </w:tbl>
    <w:p w14:paraId="6FAFE8BA">
      <w:pPr>
        <w:widowControl/>
        <w:spacing w:line="360" w:lineRule="auto"/>
        <w:ind w:firstLine="480" w:firstLineChars="200"/>
        <w:contextualSpacing/>
        <w:rPr>
          <w:rFonts w:hAnsiTheme="minorEastAsia" w:eastAsiaTheme="minorEastAsia"/>
          <w:kern w:val="0"/>
          <w:sz w:val="24"/>
          <w:highlight w:val="none"/>
        </w:rPr>
      </w:pPr>
      <w:r>
        <w:rPr>
          <w:rFonts w:hAnsiTheme="minorEastAsia" w:eastAsiaTheme="minorEastAsia"/>
          <w:kern w:val="0"/>
          <w:sz w:val="24"/>
          <w:highlight w:val="none"/>
        </w:rPr>
        <w:t>综上分析，本项目属于地下水环境影响评价分类的</w:t>
      </w:r>
      <w:r>
        <w:rPr>
          <w:rFonts w:hint="default"/>
          <w:highlight w:val="none"/>
        </w:rPr>
        <w:fldChar w:fldCharType="begin"/>
      </w:r>
      <w:r>
        <w:rPr>
          <w:rFonts w:hint="default"/>
          <w:highlight w:val="none"/>
        </w:rPr>
        <w:instrText xml:space="preserve"> = 3 \* ROMAN </w:instrText>
      </w:r>
      <w:r>
        <w:rPr>
          <w:rFonts w:hint="default"/>
          <w:highlight w:val="none"/>
        </w:rPr>
        <w:fldChar w:fldCharType="separate"/>
      </w:r>
      <w:r>
        <w:rPr>
          <w:rFonts w:hint="default"/>
          <w:highlight w:val="none"/>
        </w:rPr>
        <w:t>I</w:t>
      </w:r>
      <w:r>
        <w:rPr>
          <w:rFonts w:hint="default"/>
          <w:highlight w:val="none"/>
        </w:rPr>
        <w:fldChar w:fldCharType="end"/>
      </w:r>
      <w:r>
        <w:rPr>
          <w:rFonts w:hAnsiTheme="minorEastAsia" w:eastAsiaTheme="minorEastAsia"/>
          <w:kern w:val="0"/>
          <w:sz w:val="24"/>
          <w:highlight w:val="none"/>
        </w:rPr>
        <w:t>类项目，地下水环境敏感程度为</w:t>
      </w:r>
      <w:r>
        <w:rPr>
          <w:rFonts w:hint="eastAsia" w:hAnsiTheme="minorEastAsia" w:eastAsiaTheme="minorEastAsia"/>
          <w:kern w:val="0"/>
          <w:sz w:val="24"/>
          <w:highlight w:val="none"/>
          <w:lang w:val="en-US" w:eastAsia="zh-CN"/>
        </w:rPr>
        <w:t>较</w:t>
      </w:r>
      <w:r>
        <w:rPr>
          <w:rFonts w:hAnsiTheme="minorEastAsia" w:eastAsiaTheme="minorEastAsia"/>
          <w:kern w:val="0"/>
          <w:sz w:val="24"/>
          <w:highlight w:val="none"/>
        </w:rPr>
        <w:t>敏感，因此评价工作等级确定为</w:t>
      </w:r>
      <w:r>
        <w:rPr>
          <w:rFonts w:hint="eastAsia" w:hAnsiTheme="minorEastAsia" w:eastAsiaTheme="minorEastAsia"/>
          <w:b/>
          <w:kern w:val="0"/>
          <w:sz w:val="24"/>
          <w:highlight w:val="none"/>
          <w:lang w:val="en-US" w:eastAsia="zh-CN"/>
        </w:rPr>
        <w:t>一</w:t>
      </w:r>
      <w:r>
        <w:rPr>
          <w:rFonts w:hAnsiTheme="minorEastAsia" w:eastAsiaTheme="minorEastAsia"/>
          <w:b/>
          <w:kern w:val="0"/>
          <w:sz w:val="24"/>
          <w:highlight w:val="none"/>
        </w:rPr>
        <w:t>级</w:t>
      </w:r>
      <w:r>
        <w:rPr>
          <w:rFonts w:hAnsiTheme="minorEastAsia" w:eastAsiaTheme="minorEastAsia"/>
          <w:kern w:val="0"/>
          <w:sz w:val="24"/>
          <w:highlight w:val="none"/>
        </w:rPr>
        <w:t>。</w:t>
      </w:r>
    </w:p>
    <w:p w14:paraId="4898FE32">
      <w:pPr>
        <w:widowControl/>
        <w:spacing w:line="360" w:lineRule="auto"/>
        <w:ind w:firstLine="480" w:firstLineChars="200"/>
        <w:contextualSpacing/>
        <w:rPr>
          <w:rFonts w:hint="default" w:hAnsiTheme="minorEastAsia" w:eastAsiaTheme="minorEastAsia"/>
          <w:kern w:val="0"/>
          <w:sz w:val="24"/>
          <w:highlight w:val="none"/>
          <w:lang w:val="en-US" w:eastAsia="zh-CN"/>
        </w:rPr>
      </w:pPr>
      <w:r>
        <w:rPr>
          <w:color w:val="auto"/>
          <w:highlight w:val="none"/>
        </w:rPr>
        <w:t>评价区应包含厂区周边地下水敏感点，故评价区下游方向取项目区地下水下游方向延伸1760m为评价区界线；评价区</w:t>
      </w:r>
      <w:r>
        <w:rPr>
          <w:rFonts w:hint="eastAsia"/>
          <w:color w:val="auto"/>
          <w:highlight w:val="none"/>
          <w:lang w:eastAsia="zh-CN"/>
        </w:rPr>
        <w:t>东北</w:t>
      </w:r>
      <w:r>
        <w:rPr>
          <w:color w:val="auto"/>
          <w:highlight w:val="none"/>
        </w:rPr>
        <w:t>侧垂直于地下水流向方向延伸880m为评价区界线；评价区</w:t>
      </w:r>
      <w:r>
        <w:rPr>
          <w:rFonts w:hint="eastAsia"/>
          <w:color w:val="auto"/>
          <w:highlight w:val="none"/>
          <w:lang w:eastAsia="zh-CN"/>
        </w:rPr>
        <w:t>西</w:t>
      </w:r>
      <w:r>
        <w:rPr>
          <w:color w:val="auto"/>
          <w:highlight w:val="none"/>
        </w:rPr>
        <w:t>南侧垂直于地下水流向方向延伸960m为评价区界线；评价区上游方向延伸880m为评价区界线，包含评价区地下水保护目标</w:t>
      </w:r>
      <w:r>
        <w:rPr>
          <w:rFonts w:hint="eastAsia"/>
          <w:color w:val="auto"/>
          <w:highlight w:val="none"/>
          <w:lang w:val="en-US" w:eastAsia="zh-CN"/>
        </w:rPr>
        <w:t>幸福村</w:t>
      </w:r>
      <w:r>
        <w:rPr>
          <w:color w:val="auto"/>
          <w:highlight w:val="none"/>
        </w:rPr>
        <w:t>。则本次地下水环境影响评价工作的调查评价范围参照《环境影响评价技术导则—地下水环境》（HJ610-2016）推荐的公式计算法确定</w:t>
      </w:r>
      <w:r>
        <w:rPr>
          <w:rFonts w:hint="eastAsia"/>
          <w:color w:val="auto"/>
          <w:highlight w:val="none"/>
          <w:lang w:eastAsia="zh-CN"/>
        </w:rPr>
        <w:t>，</w:t>
      </w:r>
      <w:r>
        <w:rPr>
          <w:rFonts w:hint="eastAsia"/>
          <w:color w:val="auto"/>
          <w:highlight w:val="none"/>
        </w:rPr>
        <w:t>沿地下水流向，厂界上游</w:t>
      </w:r>
      <w:r>
        <w:rPr>
          <w:rFonts w:hint="eastAsia"/>
          <w:color w:val="auto"/>
          <w:highlight w:val="none"/>
          <w:lang w:val="en-US" w:eastAsia="zh-CN"/>
        </w:rPr>
        <w:t>88</w:t>
      </w:r>
      <w:r>
        <w:rPr>
          <w:rFonts w:hint="eastAsia"/>
          <w:color w:val="auto"/>
          <w:highlight w:val="none"/>
        </w:rPr>
        <w:t>0m：两侧</w:t>
      </w:r>
      <w:r>
        <w:rPr>
          <w:rFonts w:hint="eastAsia"/>
          <w:color w:val="auto"/>
          <w:highlight w:val="none"/>
          <w:lang w:val="en-US" w:eastAsia="zh-CN"/>
        </w:rPr>
        <w:t>880</w:t>
      </w:r>
      <w:r>
        <w:rPr>
          <w:rFonts w:hint="eastAsia"/>
          <w:color w:val="auto"/>
          <w:highlight w:val="none"/>
        </w:rPr>
        <w:t>m：下游</w:t>
      </w:r>
      <w:r>
        <w:rPr>
          <w:rFonts w:hint="eastAsia"/>
          <w:color w:val="auto"/>
          <w:highlight w:val="none"/>
          <w:lang w:val="en-US" w:eastAsia="zh-CN"/>
        </w:rPr>
        <w:t>1760</w:t>
      </w:r>
      <w:r>
        <w:rPr>
          <w:rFonts w:hint="eastAsia"/>
          <w:color w:val="auto"/>
          <w:highlight w:val="none"/>
        </w:rPr>
        <w:t>m范围内</w:t>
      </w:r>
      <w:r>
        <w:rPr>
          <w:rFonts w:hint="eastAsia" w:hAnsiTheme="minorEastAsia" w:eastAsiaTheme="minorEastAsia"/>
          <w:kern w:val="0"/>
          <w:sz w:val="24"/>
          <w:highlight w:val="none"/>
          <w:lang w:val="en-US" w:eastAsia="zh-CN"/>
        </w:rPr>
        <w:t>。</w:t>
      </w:r>
    </w:p>
    <w:p w14:paraId="360DF455">
      <w:pPr>
        <w:pStyle w:val="5"/>
        <w:bidi w:val="0"/>
        <w:rPr>
          <w:highlight w:val="none"/>
        </w:rPr>
      </w:pPr>
      <w:bookmarkStart w:id="169" w:name="_Toc2688"/>
      <w:bookmarkStart w:id="170" w:name="_Toc14800"/>
      <w:r>
        <w:rPr>
          <w:highlight w:val="none"/>
        </w:rPr>
        <w:t>2.</w:t>
      </w:r>
      <w:bookmarkStart w:id="171" w:name="_Toc88900496"/>
      <w:bookmarkStart w:id="172" w:name="_Toc89231866"/>
      <w:bookmarkStart w:id="173" w:name="_Toc88969056"/>
      <w:bookmarkStart w:id="174" w:name="_Toc88968913"/>
      <w:r>
        <w:rPr>
          <w:highlight w:val="none"/>
        </w:rPr>
        <w:t>4.4声环境</w:t>
      </w:r>
      <w:bookmarkEnd w:id="171"/>
      <w:bookmarkEnd w:id="172"/>
      <w:bookmarkEnd w:id="173"/>
      <w:bookmarkEnd w:id="174"/>
      <w:r>
        <w:rPr>
          <w:highlight w:val="none"/>
        </w:rPr>
        <w:t>评价工作等级</w:t>
      </w:r>
      <w:bookmarkEnd w:id="169"/>
      <w:bookmarkEnd w:id="170"/>
    </w:p>
    <w:p w14:paraId="571E4E55">
      <w:pPr>
        <w:widowControl/>
        <w:spacing w:line="360" w:lineRule="auto"/>
        <w:ind w:firstLine="480" w:firstLineChars="200"/>
        <w:contextualSpacing/>
        <w:rPr>
          <w:rFonts w:eastAsiaTheme="minorEastAsia"/>
          <w:kern w:val="0"/>
          <w:sz w:val="24"/>
          <w:highlight w:val="none"/>
        </w:rPr>
      </w:pPr>
      <w:r>
        <w:rPr>
          <w:rFonts w:hint="eastAsia" w:cs="Times New Roman" w:eastAsiaTheme="minorEastAsia"/>
          <w:kern w:val="0"/>
          <w:sz w:val="24"/>
          <w:highlight w:val="none"/>
          <w:lang w:eastAsia="zh-CN"/>
        </w:rPr>
        <w:t>本项目不位于</w:t>
      </w:r>
      <w:r>
        <w:rPr>
          <w:rFonts w:hAnsiTheme="minorEastAsia" w:eastAsiaTheme="minorEastAsia"/>
          <w:kern w:val="0"/>
          <w:sz w:val="24"/>
          <w:highlight w:val="none"/>
        </w:rPr>
        <w:t>《哈尔滨市城市环境噪声功能区划分调整方案》（哈</w:t>
      </w:r>
      <w:r>
        <w:rPr>
          <w:rFonts w:hint="eastAsia" w:hAnsiTheme="minorEastAsia" w:eastAsiaTheme="minorEastAsia"/>
          <w:kern w:val="0"/>
          <w:sz w:val="24"/>
          <w:highlight w:val="none"/>
          <w:lang w:val="en-US" w:eastAsia="zh-CN"/>
        </w:rPr>
        <w:t>政</w:t>
      </w:r>
      <w:r>
        <w:rPr>
          <w:rFonts w:hAnsiTheme="minorEastAsia" w:eastAsiaTheme="minorEastAsia"/>
          <w:kern w:val="0"/>
          <w:sz w:val="24"/>
          <w:highlight w:val="none"/>
        </w:rPr>
        <w:t>规</w:t>
      </w:r>
      <w:r>
        <w:rPr>
          <w:rFonts w:eastAsiaTheme="minorEastAsia"/>
          <w:kern w:val="0"/>
          <w:sz w:val="24"/>
          <w:highlight w:val="none"/>
        </w:rPr>
        <w:t>[202</w:t>
      </w:r>
      <w:r>
        <w:rPr>
          <w:rFonts w:hint="eastAsia" w:eastAsiaTheme="minorEastAsia"/>
          <w:kern w:val="0"/>
          <w:sz w:val="24"/>
          <w:highlight w:val="none"/>
          <w:lang w:val="en-US" w:eastAsia="zh-CN"/>
        </w:rPr>
        <w:t>1</w:t>
      </w:r>
      <w:r>
        <w:rPr>
          <w:rFonts w:eastAsiaTheme="minorEastAsia"/>
          <w:kern w:val="0"/>
          <w:sz w:val="24"/>
          <w:highlight w:val="none"/>
        </w:rPr>
        <w:t>]</w:t>
      </w:r>
      <w:r>
        <w:rPr>
          <w:rFonts w:hint="eastAsia" w:eastAsiaTheme="minorEastAsia"/>
          <w:kern w:val="0"/>
          <w:sz w:val="24"/>
          <w:highlight w:val="none"/>
          <w:lang w:val="en-US" w:eastAsia="zh-CN"/>
        </w:rPr>
        <w:t>3</w:t>
      </w:r>
      <w:r>
        <w:rPr>
          <w:rFonts w:hAnsiTheme="minorEastAsia" w:eastAsiaTheme="minorEastAsia"/>
          <w:kern w:val="0"/>
          <w:sz w:val="24"/>
          <w:highlight w:val="none"/>
        </w:rPr>
        <w:t>号）</w:t>
      </w:r>
      <w:r>
        <w:rPr>
          <w:rFonts w:hint="eastAsia" w:cs="Times New Roman" w:eastAsiaTheme="minorEastAsia"/>
          <w:kern w:val="0"/>
          <w:sz w:val="24"/>
          <w:highlight w:val="none"/>
          <w:lang w:eastAsia="zh-CN"/>
        </w:rPr>
        <w:t>范围内</w:t>
      </w:r>
      <w:r>
        <w:rPr>
          <w:rFonts w:hint="default" w:ascii="Times New Roman" w:hAnsi="Times New Roman" w:cs="Times New Roman" w:eastAsiaTheme="minorEastAsia"/>
          <w:kern w:val="0"/>
          <w:sz w:val="24"/>
          <w:highlight w:val="none"/>
        </w:rPr>
        <w:t>，</w:t>
      </w:r>
      <w:r>
        <w:rPr>
          <w:rFonts w:hint="default" w:ascii="Times New Roman" w:hAnsi="Times New Roman" w:eastAsia="宋体" w:cs="Times New Roman"/>
          <w:sz w:val="24"/>
          <w:szCs w:val="24"/>
          <w:highlight w:val="none"/>
        </w:rPr>
        <w:t>建设项目所处的声环境功能区为GB3096规定的</w:t>
      </w:r>
      <w:r>
        <w:rPr>
          <w:rFonts w:hint="eastAsia" w:cs="Times New Roman"/>
          <w:sz w:val="24"/>
          <w:szCs w:val="24"/>
          <w:highlight w:val="none"/>
          <w:lang w:val="en-US" w:eastAsia="zh-CN"/>
        </w:rPr>
        <w:t>2</w:t>
      </w:r>
      <w:r>
        <w:rPr>
          <w:rFonts w:hint="default" w:ascii="Times New Roman" w:hAnsi="Times New Roman" w:eastAsia="宋体" w:cs="Times New Roman"/>
          <w:sz w:val="24"/>
          <w:szCs w:val="24"/>
          <w:highlight w:val="none"/>
        </w:rPr>
        <w:t>类地区，</w:t>
      </w:r>
      <w:r>
        <w:rPr>
          <w:rFonts w:hint="default" w:ascii="Times New Roman" w:hAnsi="Times New Roman" w:cs="Times New Roman"/>
          <w:spacing w:val="0"/>
          <w:position w:val="0"/>
          <w:sz w:val="24"/>
          <w:highlight w:val="none"/>
          <w:lang w:bidi="ar"/>
        </w:rPr>
        <w:t>根据《环境影响评价技术导则—声环境》（HJ2.4-2021）中的规定：“建设项目所处的声环境功能区为GB3096规定的3类、4类地区，或建设项目建设前后评价范围内声环境保护目标噪声级增量在3dB(A)以下（不含3dB(A)），且受影响人口数量变化不大时，按三级评价”</w:t>
      </w:r>
      <w:r>
        <w:rPr>
          <w:rFonts w:hint="eastAsia" w:cs="Times New Roman"/>
          <w:spacing w:val="0"/>
          <w:position w:val="0"/>
          <w:sz w:val="24"/>
          <w:highlight w:val="none"/>
          <w:lang w:eastAsia="zh-CN" w:bidi="ar"/>
        </w:rPr>
        <w:t>，</w:t>
      </w:r>
      <w:r>
        <w:rPr>
          <w:rFonts w:hint="eastAsia" w:cs="Times New Roman"/>
          <w:spacing w:val="0"/>
          <w:position w:val="0"/>
          <w:sz w:val="24"/>
          <w:highlight w:val="none"/>
          <w:lang w:val="en-US" w:eastAsia="zh-CN" w:bidi="ar"/>
        </w:rPr>
        <w:t>本项目距离最近敏感保护目标为幸福村，约为410m</w:t>
      </w:r>
      <w:r>
        <w:rPr>
          <w:rFonts w:hint="eastAsia" w:ascii="Times New Roman" w:hAnsi="Times New Roman" w:cs="Times New Roman"/>
          <w:spacing w:val="0"/>
          <w:position w:val="0"/>
          <w:sz w:val="24"/>
          <w:highlight w:val="none"/>
          <w:lang w:eastAsia="zh-CN" w:bidi="ar"/>
        </w:rPr>
        <w:t>，</w:t>
      </w:r>
      <w:r>
        <w:rPr>
          <w:rFonts w:hint="eastAsia" w:cs="Times New Roman"/>
          <w:spacing w:val="0"/>
          <w:position w:val="0"/>
          <w:sz w:val="24"/>
          <w:highlight w:val="none"/>
          <w:lang w:val="en-US" w:eastAsia="zh-CN" w:bidi="ar"/>
        </w:rPr>
        <w:t>经预测，本项目噪声不会对其产生影响</w:t>
      </w:r>
      <w:r>
        <w:rPr>
          <w:rFonts w:hint="eastAsia" w:ascii="Times New Roman" w:hAnsi="Times New Roman" w:cs="Times New Roman"/>
          <w:spacing w:val="0"/>
          <w:position w:val="0"/>
          <w:sz w:val="24"/>
          <w:highlight w:val="none"/>
          <w:lang w:eastAsia="zh-CN" w:bidi="ar"/>
        </w:rPr>
        <w:t>，</w:t>
      </w:r>
      <w:r>
        <w:rPr>
          <w:rFonts w:hint="eastAsia" w:cs="Times New Roman"/>
          <w:spacing w:val="0"/>
          <w:position w:val="0"/>
          <w:sz w:val="24"/>
          <w:highlight w:val="none"/>
          <w:lang w:val="en-US" w:eastAsia="zh-CN" w:bidi="ar"/>
        </w:rPr>
        <w:t>故</w:t>
      </w:r>
      <w:r>
        <w:rPr>
          <w:rFonts w:hint="eastAsia" w:ascii="Times New Roman" w:hAnsi="Times New Roman" w:cs="Times New Roman"/>
          <w:spacing w:val="0"/>
          <w:position w:val="0"/>
          <w:sz w:val="24"/>
          <w:highlight w:val="none"/>
          <w:lang w:val="en-US" w:eastAsia="zh-CN" w:bidi="ar"/>
        </w:rPr>
        <w:t>受影响人口数量变化不大，</w:t>
      </w:r>
      <w:r>
        <w:rPr>
          <w:rFonts w:hint="default" w:ascii="Times New Roman" w:hAnsi="Times New Roman" w:cs="Times New Roman"/>
          <w:spacing w:val="0"/>
          <w:position w:val="0"/>
          <w:sz w:val="24"/>
          <w:highlight w:val="none"/>
          <w:lang w:bidi="ar"/>
        </w:rPr>
        <w:t>确定本项目声环境影响评价等级为</w:t>
      </w:r>
      <w:r>
        <w:rPr>
          <w:rFonts w:hint="eastAsia" w:cs="Times New Roman"/>
          <w:b/>
          <w:bCs/>
          <w:spacing w:val="0"/>
          <w:position w:val="0"/>
          <w:sz w:val="24"/>
          <w:highlight w:val="none"/>
          <w:lang w:val="en-US" w:eastAsia="zh-CN" w:bidi="ar"/>
        </w:rPr>
        <w:t>三</w:t>
      </w:r>
      <w:r>
        <w:rPr>
          <w:rFonts w:hint="default" w:ascii="Times New Roman" w:hAnsi="Times New Roman" w:cs="Times New Roman"/>
          <w:b/>
          <w:bCs/>
          <w:spacing w:val="0"/>
          <w:position w:val="0"/>
          <w:sz w:val="24"/>
          <w:highlight w:val="none"/>
          <w:lang w:bidi="ar"/>
        </w:rPr>
        <w:t>级</w:t>
      </w:r>
      <w:r>
        <w:rPr>
          <w:rFonts w:hint="default" w:ascii="Times New Roman" w:hAnsi="Times New Roman" w:cs="Times New Roman"/>
          <w:spacing w:val="0"/>
          <w:position w:val="0"/>
          <w:sz w:val="24"/>
          <w:highlight w:val="none"/>
          <w:lang w:bidi="ar"/>
        </w:rPr>
        <w:t>。评价范围：厂界外200m范围</w:t>
      </w:r>
      <w:r>
        <w:rPr>
          <w:rFonts w:hAnsiTheme="minorEastAsia" w:eastAsiaTheme="minorEastAsia"/>
          <w:kern w:val="0"/>
          <w:sz w:val="24"/>
          <w:highlight w:val="none"/>
        </w:rPr>
        <w:t>。</w:t>
      </w:r>
    </w:p>
    <w:p w14:paraId="274653AE">
      <w:pPr>
        <w:pStyle w:val="5"/>
        <w:bidi w:val="0"/>
        <w:rPr>
          <w:highlight w:val="none"/>
        </w:rPr>
      </w:pPr>
      <w:bookmarkStart w:id="175" w:name="_Toc31596"/>
      <w:bookmarkStart w:id="176" w:name="_Toc366"/>
      <w:r>
        <w:rPr>
          <w:highlight w:val="none"/>
        </w:rPr>
        <w:t>2.4.5生态环境评价工作等级</w:t>
      </w:r>
      <w:bookmarkEnd w:id="175"/>
      <w:bookmarkEnd w:id="176"/>
    </w:p>
    <w:p w14:paraId="01316F81">
      <w:pPr>
        <w:widowControl/>
        <w:spacing w:line="360" w:lineRule="auto"/>
        <w:ind w:firstLine="480" w:firstLineChars="200"/>
        <w:contextualSpacing/>
        <w:rPr>
          <w:rFonts w:hint="default" w:ascii="Times New Roman" w:hAnsi="Times New Roman" w:cs="Times New Roman"/>
          <w:spacing w:val="0"/>
          <w:position w:val="0"/>
          <w:sz w:val="24"/>
          <w:highlight w:val="none"/>
          <w:lang w:val="en-US" w:eastAsia="zh-CN" w:bidi="ar"/>
        </w:rPr>
      </w:pPr>
      <w:r>
        <w:rPr>
          <w:rFonts w:hint="eastAsia" w:ascii="Times New Roman" w:hAnsi="Times New Roman" w:cs="Times New Roman"/>
          <w:spacing w:val="0"/>
          <w:position w:val="0"/>
          <w:sz w:val="24"/>
          <w:highlight w:val="none"/>
          <w:lang w:val="en-US" w:eastAsia="zh-CN" w:bidi="ar"/>
        </w:rPr>
        <w:t>（1）评价等级</w:t>
      </w:r>
    </w:p>
    <w:p w14:paraId="03043B88">
      <w:pPr>
        <w:widowControl/>
        <w:spacing w:line="360" w:lineRule="auto"/>
        <w:ind w:firstLine="480" w:firstLineChars="200"/>
        <w:contextualSpacing/>
        <w:rPr>
          <w:rFonts w:hint="default" w:ascii="Times New Roman" w:hAnsi="Times New Roman" w:cs="Times New Roman"/>
          <w:spacing w:val="0"/>
          <w:position w:val="0"/>
          <w:sz w:val="24"/>
          <w:highlight w:val="none"/>
          <w:lang w:val="en-US" w:eastAsia="zh-CN" w:bidi="ar"/>
        </w:rPr>
      </w:pPr>
      <w:r>
        <w:rPr>
          <w:rFonts w:hint="default" w:ascii="Times New Roman" w:hAnsi="Times New Roman" w:cs="Times New Roman"/>
          <w:spacing w:val="0"/>
          <w:position w:val="0"/>
          <w:sz w:val="24"/>
          <w:highlight w:val="none"/>
          <w:lang w:val="en-US" w:eastAsia="zh-CN" w:bidi="ar"/>
        </w:rPr>
        <w:t>根据</w:t>
      </w:r>
      <w:r>
        <w:rPr>
          <w:rFonts w:hint="default" w:ascii="Times New Roman" w:hAnsi="Times New Roman" w:cs="Times New Roman"/>
          <w:spacing w:val="0"/>
          <w:position w:val="0"/>
          <w:sz w:val="24"/>
          <w:highlight w:val="none"/>
          <w:lang w:eastAsia="zh-CN" w:bidi="ar"/>
        </w:rPr>
        <w:t xml:space="preserve">《环境影响评价技术导则 </w:t>
      </w:r>
      <w:r>
        <w:rPr>
          <w:rFonts w:hint="default" w:ascii="Times New Roman" w:hAnsi="Times New Roman" w:cs="Times New Roman"/>
          <w:spacing w:val="0"/>
          <w:position w:val="0"/>
          <w:sz w:val="24"/>
          <w:highlight w:val="none"/>
          <w:lang w:val="en-US" w:eastAsia="zh-CN" w:bidi="ar"/>
        </w:rPr>
        <w:t>生态影响</w:t>
      </w:r>
      <w:r>
        <w:rPr>
          <w:rFonts w:hint="default" w:ascii="Times New Roman" w:hAnsi="Times New Roman" w:cs="Times New Roman"/>
          <w:spacing w:val="0"/>
          <w:position w:val="0"/>
          <w:sz w:val="24"/>
          <w:highlight w:val="none"/>
          <w:lang w:eastAsia="zh-CN" w:bidi="ar"/>
        </w:rPr>
        <w:t>》（HJ</w:t>
      </w:r>
      <w:r>
        <w:rPr>
          <w:rFonts w:hint="default" w:ascii="Times New Roman" w:hAnsi="Times New Roman" w:cs="Times New Roman"/>
          <w:spacing w:val="0"/>
          <w:position w:val="0"/>
          <w:sz w:val="24"/>
          <w:highlight w:val="none"/>
          <w:lang w:val="en-US" w:eastAsia="zh-CN" w:bidi="ar"/>
        </w:rPr>
        <w:t>19</w:t>
      </w:r>
      <w:r>
        <w:rPr>
          <w:rFonts w:hint="default" w:ascii="Times New Roman" w:hAnsi="Times New Roman" w:cs="Times New Roman"/>
          <w:spacing w:val="0"/>
          <w:position w:val="0"/>
          <w:sz w:val="24"/>
          <w:highlight w:val="none"/>
          <w:lang w:eastAsia="zh-CN" w:bidi="ar"/>
        </w:rPr>
        <w:t>-</w:t>
      </w:r>
      <w:r>
        <w:rPr>
          <w:rFonts w:hint="default" w:ascii="Times New Roman" w:hAnsi="Times New Roman" w:cs="Times New Roman"/>
          <w:spacing w:val="0"/>
          <w:position w:val="0"/>
          <w:sz w:val="24"/>
          <w:highlight w:val="none"/>
          <w:lang w:val="en-US" w:eastAsia="zh-CN" w:bidi="ar"/>
        </w:rPr>
        <w:t>2022</w:t>
      </w:r>
      <w:r>
        <w:rPr>
          <w:rFonts w:hint="default" w:ascii="Times New Roman" w:hAnsi="Times New Roman" w:cs="Times New Roman"/>
          <w:spacing w:val="0"/>
          <w:position w:val="0"/>
          <w:sz w:val="24"/>
          <w:highlight w:val="none"/>
          <w:lang w:eastAsia="zh-CN" w:bidi="ar"/>
        </w:rPr>
        <w:t>）</w:t>
      </w:r>
      <w:r>
        <w:rPr>
          <w:rFonts w:hint="default" w:ascii="Times New Roman" w:hAnsi="Times New Roman" w:cs="Times New Roman"/>
          <w:spacing w:val="0"/>
          <w:position w:val="0"/>
          <w:sz w:val="24"/>
          <w:highlight w:val="none"/>
          <w:lang w:bidi="ar"/>
        </w:rPr>
        <w:t>中</w:t>
      </w:r>
      <w:r>
        <w:rPr>
          <w:rFonts w:hint="default" w:ascii="Times New Roman" w:hAnsi="Times New Roman" w:cs="Times New Roman"/>
          <w:spacing w:val="0"/>
          <w:position w:val="0"/>
          <w:sz w:val="24"/>
          <w:highlight w:val="none"/>
          <w:lang w:eastAsia="zh-CN" w:bidi="ar"/>
        </w:rPr>
        <w:t>“</w:t>
      </w:r>
      <w:r>
        <w:rPr>
          <w:rFonts w:hint="default" w:ascii="Times New Roman" w:hAnsi="Times New Roman" w:cs="Times New Roman"/>
          <w:spacing w:val="0"/>
          <w:position w:val="0"/>
          <w:sz w:val="24"/>
          <w:highlight w:val="none"/>
          <w:lang w:val="en-US" w:eastAsia="zh-CN" w:bidi="ar"/>
        </w:rPr>
        <w:t>6.1评价等级判定</w:t>
      </w:r>
      <w:r>
        <w:rPr>
          <w:rFonts w:hint="default" w:ascii="Times New Roman" w:hAnsi="Times New Roman" w:cs="Times New Roman"/>
          <w:spacing w:val="0"/>
          <w:position w:val="0"/>
          <w:sz w:val="24"/>
          <w:highlight w:val="none"/>
          <w:lang w:eastAsia="zh-CN" w:bidi="ar"/>
        </w:rPr>
        <w:t>”</w:t>
      </w:r>
      <w:r>
        <w:rPr>
          <w:rFonts w:hint="default" w:ascii="Times New Roman" w:hAnsi="Times New Roman" w:cs="Times New Roman"/>
          <w:spacing w:val="0"/>
          <w:position w:val="0"/>
          <w:sz w:val="24"/>
          <w:highlight w:val="none"/>
          <w:lang w:val="en-US" w:eastAsia="zh-CN" w:bidi="ar"/>
        </w:rPr>
        <w:t>要求：依据建设项目影响区域的生态敏感性和影响程度，评价等级划分为一级、二级和三级</w:t>
      </w:r>
      <w:r>
        <w:rPr>
          <w:rFonts w:hint="default" w:ascii="Times New Roman" w:hAnsi="Times New Roman" w:cs="Times New Roman"/>
          <w:spacing w:val="0"/>
          <w:position w:val="0"/>
          <w:sz w:val="24"/>
          <w:highlight w:val="none"/>
          <w:lang w:eastAsia="zh-CN" w:bidi="ar"/>
        </w:rPr>
        <w:t>，</w:t>
      </w:r>
      <w:r>
        <w:rPr>
          <w:rFonts w:hint="default" w:ascii="Times New Roman" w:hAnsi="Times New Roman" w:cs="Times New Roman"/>
          <w:spacing w:val="0"/>
          <w:position w:val="0"/>
          <w:sz w:val="24"/>
          <w:highlight w:val="none"/>
          <w:lang w:val="en-US" w:eastAsia="zh-CN" w:bidi="ar"/>
        </w:rPr>
        <w:t>按照</w:t>
      </w:r>
      <w:r>
        <w:rPr>
          <w:rFonts w:hint="eastAsia" w:ascii="Times New Roman" w:hAnsi="Times New Roman" w:cs="Times New Roman"/>
          <w:spacing w:val="0"/>
          <w:position w:val="0"/>
          <w:sz w:val="24"/>
          <w:highlight w:val="none"/>
          <w:lang w:val="en-US" w:eastAsia="zh-CN" w:bidi="ar"/>
        </w:rPr>
        <w:t>下</w:t>
      </w:r>
      <w:r>
        <w:rPr>
          <w:rFonts w:hint="default" w:ascii="Times New Roman" w:hAnsi="Times New Roman" w:cs="Times New Roman"/>
          <w:spacing w:val="0"/>
          <w:position w:val="0"/>
          <w:sz w:val="24"/>
          <w:highlight w:val="none"/>
          <w:lang w:val="en-US" w:eastAsia="zh-CN" w:bidi="ar"/>
        </w:rPr>
        <w:t>表要求确定本项目生态环境</w:t>
      </w:r>
      <w:r>
        <w:rPr>
          <w:rFonts w:hint="default" w:ascii="Times New Roman" w:hAnsi="Times New Roman" w:cs="Times New Roman"/>
          <w:spacing w:val="0"/>
          <w:position w:val="0"/>
          <w:sz w:val="24"/>
          <w:highlight w:val="none"/>
          <w:lang w:bidi="ar"/>
        </w:rPr>
        <w:t>评价工作等级，</w:t>
      </w:r>
      <w:r>
        <w:rPr>
          <w:rFonts w:hint="default" w:ascii="Times New Roman" w:hAnsi="Times New Roman" w:cs="Times New Roman"/>
          <w:spacing w:val="0"/>
          <w:position w:val="0"/>
          <w:sz w:val="24"/>
          <w:highlight w:val="none"/>
          <w:lang w:val="en-US" w:eastAsia="zh-CN" w:bidi="ar"/>
        </w:rPr>
        <w:t>结合</w:t>
      </w:r>
      <w:r>
        <w:rPr>
          <w:rFonts w:hint="eastAsia" w:ascii="Times New Roman" w:hAnsi="Times New Roman" w:cs="Times New Roman"/>
          <w:spacing w:val="0"/>
          <w:position w:val="0"/>
          <w:sz w:val="24"/>
          <w:highlight w:val="none"/>
          <w:lang w:val="en-US" w:eastAsia="zh-CN" w:bidi="ar"/>
        </w:rPr>
        <w:t>下表</w:t>
      </w:r>
      <w:r>
        <w:rPr>
          <w:rFonts w:hint="default" w:ascii="Times New Roman" w:hAnsi="Times New Roman" w:cs="Times New Roman"/>
          <w:spacing w:val="0"/>
          <w:position w:val="0"/>
          <w:sz w:val="24"/>
          <w:highlight w:val="none"/>
          <w:lang w:val="en-US" w:eastAsia="zh-CN" w:bidi="ar"/>
        </w:rPr>
        <w:t>，本项目生态环境评价工作等级为三级。</w:t>
      </w:r>
    </w:p>
    <w:p w14:paraId="14391552">
      <w:pPr>
        <w:pStyle w:val="7"/>
        <w:bidi w:val="0"/>
        <w:rPr>
          <w:rFonts w:hint="default"/>
          <w:highlight w:val="none"/>
          <w:lang w:val="en-US" w:eastAsia="zh-CN"/>
        </w:rPr>
      </w:pPr>
      <w:r>
        <w:rPr>
          <w:rFonts w:hint="default"/>
          <w:highlight w:val="none"/>
          <w:lang w:val="en-US" w:eastAsia="zh-CN"/>
        </w:rPr>
        <w:t>表2</w:t>
      </w:r>
      <w:r>
        <w:rPr>
          <w:rFonts w:hint="eastAsia"/>
          <w:highlight w:val="none"/>
          <w:lang w:val="en-US" w:eastAsia="zh-CN"/>
        </w:rPr>
        <w:t>-4-10</w:t>
      </w:r>
      <w:r>
        <w:rPr>
          <w:rFonts w:hint="default"/>
          <w:highlight w:val="none"/>
          <w:lang w:val="en-US" w:eastAsia="zh-CN"/>
        </w:rPr>
        <w:t xml:space="preserve">  生态影响工作等级判定表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8"/>
        <w:gridCol w:w="2921"/>
        <w:gridCol w:w="833"/>
      </w:tblGrid>
      <w:tr w14:paraId="4B91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768" w:type="dxa"/>
            <w:tcBorders>
              <w:top w:val="single" w:color="auto" w:sz="12" w:space="0"/>
              <w:left w:val="nil"/>
            </w:tcBorders>
            <w:noWrap w:val="0"/>
            <w:vAlign w:val="center"/>
          </w:tcPr>
          <w:p w14:paraId="7F5CDFB7">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评价等级判定依据</w:t>
            </w:r>
          </w:p>
        </w:tc>
        <w:tc>
          <w:tcPr>
            <w:tcW w:w="2921" w:type="dxa"/>
            <w:tcBorders>
              <w:top w:val="single" w:color="auto" w:sz="12" w:space="0"/>
            </w:tcBorders>
            <w:noWrap w:val="0"/>
            <w:vAlign w:val="center"/>
          </w:tcPr>
          <w:p w14:paraId="0080DA29">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本项目情况</w:t>
            </w:r>
          </w:p>
        </w:tc>
        <w:tc>
          <w:tcPr>
            <w:tcW w:w="833" w:type="dxa"/>
            <w:tcBorders>
              <w:top w:val="single" w:color="auto" w:sz="12" w:space="0"/>
              <w:right w:val="nil"/>
            </w:tcBorders>
            <w:noWrap w:val="0"/>
            <w:vAlign w:val="center"/>
          </w:tcPr>
          <w:p w14:paraId="0F8E2DBE">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备注</w:t>
            </w:r>
          </w:p>
        </w:tc>
      </w:tr>
      <w:tr w14:paraId="297F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8" w:type="dxa"/>
            <w:tcBorders>
              <w:left w:val="nil"/>
            </w:tcBorders>
            <w:noWrap w:val="0"/>
            <w:vAlign w:val="center"/>
          </w:tcPr>
          <w:p w14:paraId="684BF97C">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a.涉及国家公园、自然保护区、世界自然遗产、重要生境时，评价等级为一级</w:t>
            </w:r>
          </w:p>
        </w:tc>
        <w:tc>
          <w:tcPr>
            <w:tcW w:w="2921" w:type="dxa"/>
            <w:noWrap w:val="0"/>
            <w:vAlign w:val="center"/>
          </w:tcPr>
          <w:p w14:paraId="360B38A3">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本项目厂址所在区域不涉及国家公园、自然保护区、世界自然遗产、重要生境。</w:t>
            </w:r>
          </w:p>
        </w:tc>
        <w:tc>
          <w:tcPr>
            <w:tcW w:w="833" w:type="dxa"/>
            <w:tcBorders>
              <w:right w:val="nil"/>
            </w:tcBorders>
            <w:noWrap w:val="0"/>
            <w:vAlign w:val="center"/>
          </w:tcPr>
          <w:p w14:paraId="08FC72BF">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不符合</w:t>
            </w:r>
          </w:p>
        </w:tc>
      </w:tr>
      <w:tr w14:paraId="57CB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8" w:type="dxa"/>
            <w:tcBorders>
              <w:left w:val="nil"/>
            </w:tcBorders>
            <w:noWrap w:val="0"/>
            <w:vAlign w:val="center"/>
          </w:tcPr>
          <w:p w14:paraId="79AFC031">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b.涉及自然公园时，评价等级为二级。</w:t>
            </w:r>
          </w:p>
        </w:tc>
        <w:tc>
          <w:tcPr>
            <w:tcW w:w="2921" w:type="dxa"/>
            <w:noWrap w:val="0"/>
            <w:vAlign w:val="center"/>
          </w:tcPr>
          <w:p w14:paraId="55556CF1">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本项目厂址所在区域不涉及自然公园。</w:t>
            </w:r>
          </w:p>
        </w:tc>
        <w:tc>
          <w:tcPr>
            <w:tcW w:w="833" w:type="dxa"/>
            <w:tcBorders>
              <w:right w:val="nil"/>
            </w:tcBorders>
            <w:noWrap w:val="0"/>
            <w:vAlign w:val="center"/>
          </w:tcPr>
          <w:p w14:paraId="0C6ACED0">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不符合</w:t>
            </w:r>
          </w:p>
        </w:tc>
      </w:tr>
      <w:tr w14:paraId="73EA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8" w:type="dxa"/>
            <w:tcBorders>
              <w:left w:val="nil"/>
            </w:tcBorders>
            <w:noWrap w:val="0"/>
            <w:vAlign w:val="center"/>
          </w:tcPr>
          <w:p w14:paraId="3198CF39">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c.涉及生态保护红线时，评价等级不低于二级。</w:t>
            </w:r>
          </w:p>
        </w:tc>
        <w:tc>
          <w:tcPr>
            <w:tcW w:w="2921" w:type="dxa"/>
            <w:noWrap w:val="0"/>
            <w:vAlign w:val="center"/>
          </w:tcPr>
          <w:p w14:paraId="748D87D0">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本项目厂址所在区域不涉及生态保护红线</w:t>
            </w:r>
          </w:p>
        </w:tc>
        <w:tc>
          <w:tcPr>
            <w:tcW w:w="833" w:type="dxa"/>
            <w:tcBorders>
              <w:right w:val="nil"/>
            </w:tcBorders>
            <w:noWrap w:val="0"/>
            <w:vAlign w:val="center"/>
          </w:tcPr>
          <w:p w14:paraId="576560B5">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不符合</w:t>
            </w:r>
          </w:p>
        </w:tc>
      </w:tr>
      <w:tr w14:paraId="0F30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8" w:type="dxa"/>
            <w:tcBorders>
              <w:left w:val="nil"/>
            </w:tcBorders>
            <w:noWrap w:val="0"/>
            <w:vAlign w:val="center"/>
          </w:tcPr>
          <w:p w14:paraId="5A934D1C">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d.根据HJ2.3判断属于水文要素影响型且地表水评价等级不低于二级的建设项目，生态影响评价等级不低于二级。</w:t>
            </w:r>
          </w:p>
        </w:tc>
        <w:tc>
          <w:tcPr>
            <w:tcW w:w="2921" w:type="dxa"/>
            <w:noWrap w:val="0"/>
            <w:vAlign w:val="center"/>
          </w:tcPr>
          <w:p w14:paraId="77142B18">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本项目地表水环境影响评价等级为三级B</w:t>
            </w:r>
          </w:p>
        </w:tc>
        <w:tc>
          <w:tcPr>
            <w:tcW w:w="833" w:type="dxa"/>
            <w:tcBorders>
              <w:right w:val="nil"/>
            </w:tcBorders>
            <w:noWrap w:val="0"/>
            <w:vAlign w:val="center"/>
          </w:tcPr>
          <w:p w14:paraId="32FB873A">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不符合</w:t>
            </w:r>
          </w:p>
        </w:tc>
      </w:tr>
      <w:tr w14:paraId="61FF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8" w:type="dxa"/>
            <w:tcBorders>
              <w:left w:val="nil"/>
            </w:tcBorders>
            <w:noWrap w:val="0"/>
            <w:vAlign w:val="center"/>
          </w:tcPr>
          <w:p w14:paraId="3111A329">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e.根据HJ610、HJ964判断地下水水位或土壤影响范围内分布有天然林、公益林、湿地等生态保护目标的建设项目，生态影响评价等级不低于二级。</w:t>
            </w:r>
          </w:p>
        </w:tc>
        <w:tc>
          <w:tcPr>
            <w:tcW w:w="2921" w:type="dxa"/>
            <w:noWrap w:val="0"/>
            <w:vAlign w:val="center"/>
          </w:tcPr>
          <w:p w14:paraId="7AF4A02D">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本项目地下水水位或土壤影响范围内无天然林、公益林、湿地等生态保护目标。</w:t>
            </w:r>
          </w:p>
        </w:tc>
        <w:tc>
          <w:tcPr>
            <w:tcW w:w="833" w:type="dxa"/>
            <w:tcBorders>
              <w:right w:val="nil"/>
            </w:tcBorders>
            <w:noWrap w:val="0"/>
            <w:vAlign w:val="center"/>
          </w:tcPr>
          <w:p w14:paraId="6BDDBDD6">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不符合</w:t>
            </w:r>
          </w:p>
        </w:tc>
      </w:tr>
      <w:tr w14:paraId="3173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8" w:type="dxa"/>
            <w:tcBorders>
              <w:left w:val="nil"/>
            </w:tcBorders>
            <w:noWrap w:val="0"/>
            <w:vAlign w:val="center"/>
          </w:tcPr>
          <w:p w14:paraId="72659861">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f.当工程占地规模大于20</w:t>
            </w:r>
            <w:r>
              <w:rPr>
                <w:rFonts w:hint="default"/>
                <w:sz w:val="21"/>
                <w:szCs w:val="21"/>
                <w:highlight w:val="none"/>
              </w:rPr>
              <w:t>km2</w:t>
            </w:r>
            <w:r>
              <w:rPr>
                <w:rFonts w:hint="default"/>
                <w:sz w:val="21"/>
                <w:szCs w:val="21"/>
                <w:highlight w:val="none"/>
                <w:lang w:val="en-US" w:eastAsia="zh-CN"/>
              </w:rPr>
              <w:t>时（包括永久和临时占用陆域和水域），评价等级不低于二级；改扩建项目的占地范围以新增占地（包括陆域和水域）确定。</w:t>
            </w:r>
          </w:p>
        </w:tc>
        <w:tc>
          <w:tcPr>
            <w:tcW w:w="2921" w:type="dxa"/>
            <w:noWrap w:val="0"/>
            <w:vAlign w:val="center"/>
          </w:tcPr>
          <w:p w14:paraId="2CF9885C">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本项目总占地面积</w:t>
            </w:r>
            <w:r>
              <w:rPr>
                <w:rFonts w:hint="eastAsia"/>
                <w:sz w:val="21"/>
                <w:szCs w:val="21"/>
                <w:highlight w:val="none"/>
                <w:lang w:val="en-US" w:eastAsia="zh-CN"/>
              </w:rPr>
              <w:t>826.57</w:t>
            </w:r>
            <w:r>
              <w:rPr>
                <w:rFonts w:hint="default"/>
                <w:sz w:val="21"/>
                <w:szCs w:val="21"/>
                <w:highlight w:val="none"/>
                <w:lang w:val="en-US" w:eastAsia="zh-CN"/>
              </w:rPr>
              <w:t>m</w:t>
            </w:r>
            <w:r>
              <w:rPr>
                <w:rFonts w:hint="default"/>
                <w:sz w:val="21"/>
                <w:szCs w:val="21"/>
                <w:highlight w:val="none"/>
                <w:vertAlign w:val="superscript"/>
                <w:lang w:val="en-US" w:eastAsia="zh-CN"/>
              </w:rPr>
              <w:t>2</w:t>
            </w:r>
            <w:r>
              <w:rPr>
                <w:rFonts w:hint="default"/>
                <w:sz w:val="21"/>
                <w:szCs w:val="21"/>
                <w:highlight w:val="none"/>
                <w:lang w:eastAsia="zh-CN"/>
              </w:rPr>
              <w:t>。</w:t>
            </w:r>
          </w:p>
        </w:tc>
        <w:tc>
          <w:tcPr>
            <w:tcW w:w="833" w:type="dxa"/>
            <w:tcBorders>
              <w:right w:val="nil"/>
            </w:tcBorders>
            <w:noWrap w:val="0"/>
            <w:vAlign w:val="center"/>
          </w:tcPr>
          <w:p w14:paraId="1F482E00">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不符合</w:t>
            </w:r>
          </w:p>
        </w:tc>
      </w:tr>
      <w:tr w14:paraId="5A00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8" w:type="dxa"/>
            <w:tcBorders>
              <w:left w:val="nil"/>
            </w:tcBorders>
            <w:noWrap w:val="0"/>
            <w:vAlign w:val="center"/>
          </w:tcPr>
          <w:p w14:paraId="5CD71C70">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g.除上述情况以外的情况，评价等级为三级。</w:t>
            </w:r>
          </w:p>
        </w:tc>
        <w:tc>
          <w:tcPr>
            <w:tcW w:w="2921" w:type="dxa"/>
            <w:noWrap w:val="0"/>
            <w:vAlign w:val="center"/>
          </w:tcPr>
          <w:p w14:paraId="3A9EDEA9">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本项目属于除上述情况以外的情况，因此评价等级为三级。</w:t>
            </w:r>
          </w:p>
        </w:tc>
        <w:tc>
          <w:tcPr>
            <w:tcW w:w="833" w:type="dxa"/>
            <w:tcBorders>
              <w:right w:val="nil"/>
            </w:tcBorders>
            <w:noWrap w:val="0"/>
            <w:vAlign w:val="center"/>
          </w:tcPr>
          <w:p w14:paraId="47B56A4F">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符合</w:t>
            </w:r>
          </w:p>
        </w:tc>
      </w:tr>
      <w:tr w14:paraId="747E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8" w:type="dxa"/>
            <w:tcBorders>
              <w:left w:val="nil"/>
              <w:bottom w:val="single" w:color="auto" w:sz="12" w:space="0"/>
            </w:tcBorders>
            <w:noWrap w:val="0"/>
            <w:vAlign w:val="center"/>
          </w:tcPr>
          <w:p w14:paraId="50A5FD3B">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sz w:val="21"/>
                <w:szCs w:val="21"/>
                <w:highlight w:val="none"/>
                <w:lang w:val="en-US" w:eastAsia="zh-CN"/>
              </w:rPr>
            </w:pPr>
            <w:r>
              <w:rPr>
                <w:rFonts w:hint="default"/>
                <w:sz w:val="21"/>
                <w:szCs w:val="21"/>
                <w:highlight w:val="none"/>
                <w:lang w:val="en-US" w:eastAsia="zh-CN"/>
              </w:rPr>
              <w:t>h.当评价等级判定同时符合上述多种情况时，应采用其中最高的评价等级。</w:t>
            </w:r>
          </w:p>
        </w:tc>
        <w:tc>
          <w:tcPr>
            <w:tcW w:w="2921" w:type="dxa"/>
            <w:tcBorders>
              <w:bottom w:val="single" w:color="auto" w:sz="12" w:space="0"/>
            </w:tcBorders>
            <w:noWrap w:val="0"/>
            <w:vAlign w:val="center"/>
          </w:tcPr>
          <w:p w14:paraId="58D8CD9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833" w:type="dxa"/>
            <w:tcBorders>
              <w:bottom w:val="single" w:color="auto" w:sz="12" w:space="0"/>
              <w:right w:val="nil"/>
            </w:tcBorders>
            <w:noWrap w:val="0"/>
            <w:vAlign w:val="center"/>
          </w:tcPr>
          <w:p w14:paraId="4FFD81B6">
            <w:pPr>
              <w:pStyle w:val="8"/>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w:t>
            </w:r>
          </w:p>
        </w:tc>
      </w:tr>
    </w:tbl>
    <w:p w14:paraId="094E7400">
      <w:pPr>
        <w:bidi w:val="0"/>
        <w:rPr>
          <w:rFonts w:hint="default"/>
          <w:highlight w:val="none"/>
          <w:lang w:val="en-US" w:eastAsia="zh-CN"/>
        </w:rPr>
      </w:pPr>
      <w:r>
        <w:rPr>
          <w:rFonts w:hint="eastAsia"/>
          <w:highlight w:val="none"/>
          <w:lang w:val="en-US" w:eastAsia="zh-CN"/>
        </w:rPr>
        <w:t>（2）评价范围</w:t>
      </w:r>
    </w:p>
    <w:p w14:paraId="50752596">
      <w:pPr>
        <w:ind w:firstLine="480" w:firstLineChars="200"/>
        <w:rPr>
          <w:rFonts w:ascii="Times New Roman" w:hAnsi="Times New Roman"/>
          <w:kern w:val="0"/>
          <w:highlight w:val="none"/>
        </w:rPr>
      </w:pPr>
      <w:r>
        <w:rPr>
          <w:rFonts w:hint="default"/>
          <w:highlight w:val="none"/>
          <w:lang w:val="en-US" w:eastAsia="zh-CN"/>
        </w:rPr>
        <w:t>依据</w:t>
      </w:r>
      <w:r>
        <w:rPr>
          <w:rFonts w:hint="default"/>
          <w:highlight w:val="none"/>
          <w:lang w:eastAsia="zh-CN"/>
        </w:rPr>
        <w:t xml:space="preserve">《环境影响评价技术导则 </w:t>
      </w:r>
      <w:r>
        <w:rPr>
          <w:rFonts w:hint="default"/>
          <w:highlight w:val="none"/>
          <w:lang w:val="en-US" w:eastAsia="zh-CN"/>
        </w:rPr>
        <w:t>生态影响</w:t>
      </w:r>
      <w:r>
        <w:rPr>
          <w:rFonts w:hint="default"/>
          <w:highlight w:val="none"/>
          <w:lang w:eastAsia="zh-CN"/>
        </w:rPr>
        <w:t>》（HJ</w:t>
      </w:r>
      <w:r>
        <w:rPr>
          <w:rFonts w:hint="default"/>
          <w:highlight w:val="none"/>
          <w:lang w:val="en-US" w:eastAsia="zh-CN"/>
        </w:rPr>
        <w:t>19</w:t>
      </w:r>
      <w:r>
        <w:rPr>
          <w:rFonts w:hint="default"/>
          <w:highlight w:val="none"/>
          <w:lang w:eastAsia="zh-CN"/>
        </w:rPr>
        <w:t>-</w:t>
      </w:r>
      <w:r>
        <w:rPr>
          <w:rFonts w:hint="default"/>
          <w:highlight w:val="none"/>
          <w:lang w:val="en-US" w:eastAsia="zh-CN"/>
        </w:rPr>
        <w:t>2022</w:t>
      </w:r>
      <w:r>
        <w:rPr>
          <w:rFonts w:hint="default"/>
          <w:highlight w:val="none"/>
          <w:lang w:eastAsia="zh-CN"/>
        </w:rPr>
        <w:t>）</w:t>
      </w:r>
      <w:r>
        <w:rPr>
          <w:rFonts w:hint="default"/>
          <w:highlight w:val="none"/>
        </w:rPr>
        <w:t>中</w:t>
      </w:r>
      <w:r>
        <w:rPr>
          <w:rFonts w:hint="default"/>
          <w:highlight w:val="none"/>
          <w:lang w:eastAsia="zh-CN"/>
        </w:rPr>
        <w:t>“</w:t>
      </w:r>
      <w:r>
        <w:rPr>
          <w:rFonts w:hint="default"/>
          <w:highlight w:val="none"/>
          <w:lang w:val="en-US" w:eastAsia="zh-CN"/>
        </w:rPr>
        <w:t>6.2评价范围确定</w:t>
      </w:r>
      <w:r>
        <w:rPr>
          <w:rFonts w:hint="default"/>
          <w:highlight w:val="none"/>
          <w:lang w:eastAsia="zh-CN"/>
        </w:rPr>
        <w:t>”</w:t>
      </w:r>
      <w:r>
        <w:rPr>
          <w:rFonts w:hint="default"/>
          <w:highlight w:val="none"/>
          <w:lang w:val="en-US" w:eastAsia="zh-CN"/>
        </w:rPr>
        <w:t>要求：本项目生态环境</w:t>
      </w:r>
      <w:r>
        <w:rPr>
          <w:rFonts w:hint="default"/>
          <w:highlight w:val="none"/>
          <w:lang w:eastAsia="zh-CN"/>
        </w:rPr>
        <w:t>评价范围为厂</w:t>
      </w:r>
      <w:r>
        <w:rPr>
          <w:rFonts w:hint="default"/>
          <w:highlight w:val="none"/>
          <w:lang w:val="en-US" w:eastAsia="zh-CN"/>
        </w:rPr>
        <w:t>界</w:t>
      </w:r>
      <w:r>
        <w:rPr>
          <w:rFonts w:hint="default"/>
          <w:highlight w:val="none"/>
          <w:lang w:eastAsia="zh-CN"/>
        </w:rPr>
        <w:t>外</w:t>
      </w:r>
      <w:r>
        <w:rPr>
          <w:rFonts w:hint="default"/>
          <w:highlight w:val="none"/>
          <w:lang w:val="en-US" w:eastAsia="zh-CN"/>
        </w:rPr>
        <w:t>300m范围</w:t>
      </w:r>
      <w:r>
        <w:rPr>
          <w:rFonts w:hint="eastAsia" w:ascii="Times New Roman" w:hAnsi="Times New Roman"/>
          <w:kern w:val="0"/>
          <w:highlight w:val="none"/>
        </w:rPr>
        <w:t>。</w:t>
      </w:r>
    </w:p>
    <w:p w14:paraId="3FE7DCF9">
      <w:pPr>
        <w:pStyle w:val="5"/>
        <w:bidi w:val="0"/>
        <w:rPr>
          <w:highlight w:val="none"/>
        </w:rPr>
      </w:pPr>
      <w:bookmarkStart w:id="177" w:name="_Toc818"/>
      <w:bookmarkStart w:id="178" w:name="_Toc31755"/>
      <w:r>
        <w:rPr>
          <w:highlight w:val="none"/>
        </w:rPr>
        <w:t>2.4.6风险评价工作等级</w:t>
      </w:r>
      <w:bookmarkEnd w:id="177"/>
      <w:bookmarkEnd w:id="178"/>
    </w:p>
    <w:p w14:paraId="046CC3E6">
      <w:pPr>
        <w:pageBreakBefore w:val="0"/>
        <w:kinsoku/>
        <w:wordWrap w:val="0"/>
        <w:overflowPunct/>
        <w:topLinePunct w:val="0"/>
        <w:autoSpaceDE/>
        <w:autoSpaceDN/>
        <w:bidi w:val="0"/>
        <w:adjustRightInd w:val="0"/>
        <w:snapToGrid w:val="0"/>
        <w:outlineLvl w:val="9"/>
        <w:rPr>
          <w:highlight w:val="none"/>
        </w:rPr>
      </w:pPr>
      <w:r>
        <w:rPr>
          <w:highlight w:val="none"/>
        </w:rPr>
        <w:t>根据《建设项目环境风险评价技术导则》（HJ169-2018）的有关规定，确定本项目环境风险评价工作的等级。</w:t>
      </w:r>
    </w:p>
    <w:p w14:paraId="60D33A37">
      <w:pPr>
        <w:pageBreakBefore w:val="0"/>
        <w:kinsoku/>
        <w:wordWrap w:val="0"/>
        <w:overflowPunct/>
        <w:topLinePunct w:val="0"/>
        <w:autoSpaceDE/>
        <w:autoSpaceDN/>
        <w:bidi w:val="0"/>
        <w:adjustRightInd w:val="0"/>
        <w:snapToGrid w:val="0"/>
        <w:outlineLvl w:val="9"/>
        <w:rPr>
          <w:highlight w:val="none"/>
        </w:rPr>
      </w:pPr>
      <w:bookmarkStart w:id="179" w:name="_Toc8604"/>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环境风险评价等级划分依据</w:t>
      </w:r>
      <w:bookmarkEnd w:id="179"/>
    </w:p>
    <w:p w14:paraId="0F3F6E21">
      <w:pPr>
        <w:pageBreakBefore w:val="0"/>
        <w:kinsoku/>
        <w:wordWrap w:val="0"/>
        <w:overflowPunct/>
        <w:topLinePunct w:val="0"/>
        <w:autoSpaceDE/>
        <w:autoSpaceDN/>
        <w:bidi w:val="0"/>
        <w:adjustRightInd w:val="0"/>
        <w:snapToGrid w:val="0"/>
        <w:outlineLvl w:val="9"/>
        <w:rPr>
          <w:rFonts w:eastAsiaTheme="minorEastAsia"/>
          <w:kern w:val="0"/>
          <w:highlight w:val="none"/>
        </w:rPr>
      </w:pPr>
      <w:r>
        <w:rPr>
          <w:highlight w:val="none"/>
        </w:rPr>
        <w:t>风险评价等级根据评价项目的物质危险性和功能单元重大危险源判定结果，以及环境敏感程度进行判定。环境风险评价工作</w:t>
      </w:r>
      <w:r>
        <w:rPr>
          <w:rFonts w:hAnsiTheme="minorEastAsia" w:eastAsiaTheme="minorEastAsia"/>
          <w:kern w:val="0"/>
          <w:highlight w:val="none"/>
        </w:rPr>
        <w:t>等级划分依据详见</w:t>
      </w:r>
      <w:r>
        <w:rPr>
          <w:rFonts w:hint="eastAsia" w:hAnsiTheme="minorEastAsia" w:eastAsiaTheme="minorEastAsia"/>
          <w:kern w:val="0"/>
          <w:highlight w:val="none"/>
          <w:lang w:val="en-US" w:eastAsia="zh-CN"/>
        </w:rPr>
        <w:t>下表</w:t>
      </w:r>
      <w:r>
        <w:rPr>
          <w:rFonts w:hAnsiTheme="minorEastAsia" w:eastAsiaTheme="minorEastAsia"/>
          <w:kern w:val="0"/>
          <w:highlight w:val="none"/>
        </w:rPr>
        <w:t>。</w:t>
      </w:r>
    </w:p>
    <w:p w14:paraId="3AADFE08">
      <w:pPr>
        <w:pStyle w:val="7"/>
        <w:bidi w:val="0"/>
        <w:rPr>
          <w:highlight w:val="none"/>
        </w:rPr>
      </w:pPr>
      <w:r>
        <w:rPr>
          <w:highlight w:val="none"/>
        </w:rPr>
        <w:t>表2-4-</w:t>
      </w:r>
      <w:r>
        <w:rPr>
          <w:rFonts w:hint="eastAsia"/>
          <w:highlight w:val="none"/>
          <w:lang w:val="en-US" w:eastAsia="zh-CN"/>
        </w:rPr>
        <w:t>10</w:t>
      </w:r>
      <w:r>
        <w:rPr>
          <w:highlight w:val="none"/>
        </w:rPr>
        <w:t>评价工作级别划分依据一览表。</w:t>
      </w:r>
    </w:p>
    <w:tbl>
      <w:tblPr>
        <w:tblStyle w:val="741"/>
        <w:tblW w:w="841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738"/>
        <w:gridCol w:w="1814"/>
        <w:gridCol w:w="1393"/>
        <w:gridCol w:w="1564"/>
        <w:gridCol w:w="1910"/>
      </w:tblGrid>
      <w:tr w14:paraId="7F5011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8" w:type="dxa"/>
            <w:vAlign w:val="center"/>
          </w:tcPr>
          <w:p w14:paraId="1E95C17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hAnsiTheme="minorEastAsia" w:eastAsiaTheme="minorEastAsia"/>
                <w:snapToGrid w:val="0"/>
                <w:color w:val="auto"/>
                <w:spacing w:val="-2"/>
                <w:kern w:val="0"/>
                <w:sz w:val="21"/>
                <w:szCs w:val="21"/>
                <w:highlight w:val="none"/>
              </w:rPr>
              <w:t>环境风险潜势</w:t>
            </w:r>
          </w:p>
        </w:tc>
        <w:tc>
          <w:tcPr>
            <w:tcW w:w="1814" w:type="dxa"/>
            <w:vAlign w:val="center"/>
          </w:tcPr>
          <w:p w14:paraId="0BB13EC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eastAsiaTheme="minorEastAsia"/>
                <w:snapToGrid w:val="0"/>
                <w:color w:val="auto"/>
                <w:spacing w:val="-8"/>
                <w:kern w:val="0"/>
                <w:sz w:val="21"/>
                <w:szCs w:val="21"/>
                <w:highlight w:val="none"/>
              </w:rPr>
              <w:t>Ⅳ</w:t>
            </w:r>
            <w:r>
              <w:rPr>
                <w:rFonts w:hint="default" w:hAnsiTheme="minorEastAsia" w:eastAsiaTheme="minorEastAsia"/>
                <w:snapToGrid w:val="0"/>
                <w:color w:val="auto"/>
                <w:spacing w:val="-8"/>
                <w:kern w:val="0"/>
                <w:sz w:val="21"/>
                <w:szCs w:val="21"/>
                <w:highlight w:val="none"/>
              </w:rPr>
              <w:t>、</w:t>
            </w:r>
            <w:r>
              <w:rPr>
                <w:rFonts w:hint="default" w:eastAsiaTheme="minorEastAsia"/>
                <w:snapToGrid w:val="0"/>
                <w:color w:val="auto"/>
                <w:spacing w:val="-8"/>
                <w:kern w:val="0"/>
                <w:sz w:val="21"/>
                <w:szCs w:val="21"/>
                <w:highlight w:val="none"/>
              </w:rPr>
              <w:t>Ⅳ+</w:t>
            </w:r>
          </w:p>
        </w:tc>
        <w:tc>
          <w:tcPr>
            <w:tcW w:w="1393" w:type="dxa"/>
            <w:vAlign w:val="center"/>
          </w:tcPr>
          <w:p w14:paraId="1E0B0E9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eastAsiaTheme="minorEastAsia"/>
                <w:snapToGrid w:val="0"/>
                <w:color w:val="auto"/>
                <w:kern w:val="0"/>
                <w:sz w:val="21"/>
                <w:szCs w:val="21"/>
                <w:highlight w:val="none"/>
              </w:rPr>
              <w:t>Ⅲ</w:t>
            </w:r>
          </w:p>
        </w:tc>
        <w:tc>
          <w:tcPr>
            <w:tcW w:w="1564" w:type="dxa"/>
            <w:vAlign w:val="center"/>
          </w:tcPr>
          <w:p w14:paraId="04AD4ED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eastAsiaTheme="minorEastAsia"/>
                <w:snapToGrid w:val="0"/>
                <w:color w:val="auto"/>
                <w:kern w:val="0"/>
                <w:sz w:val="21"/>
                <w:szCs w:val="21"/>
                <w:highlight w:val="none"/>
              </w:rPr>
              <w:t>Ⅱ</w:t>
            </w:r>
          </w:p>
        </w:tc>
        <w:tc>
          <w:tcPr>
            <w:tcW w:w="1910" w:type="dxa"/>
            <w:vAlign w:val="center"/>
          </w:tcPr>
          <w:p w14:paraId="28AFB46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eastAsiaTheme="minorEastAsia"/>
                <w:snapToGrid w:val="0"/>
                <w:color w:val="auto"/>
                <w:kern w:val="0"/>
                <w:sz w:val="21"/>
                <w:szCs w:val="21"/>
                <w:highlight w:val="none"/>
              </w:rPr>
              <w:t>Ⅰ</w:t>
            </w:r>
          </w:p>
        </w:tc>
      </w:tr>
      <w:tr w14:paraId="4C647E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8" w:hRule="atLeast"/>
          <w:jc w:val="center"/>
        </w:trPr>
        <w:tc>
          <w:tcPr>
            <w:tcW w:w="1738" w:type="dxa"/>
            <w:vAlign w:val="center"/>
          </w:tcPr>
          <w:p w14:paraId="4167591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hAnsiTheme="minorEastAsia" w:eastAsiaTheme="minorEastAsia"/>
                <w:snapToGrid w:val="0"/>
                <w:color w:val="auto"/>
                <w:spacing w:val="-2"/>
                <w:kern w:val="0"/>
                <w:sz w:val="21"/>
                <w:szCs w:val="21"/>
                <w:highlight w:val="none"/>
              </w:rPr>
              <w:t>评价工作等级</w:t>
            </w:r>
          </w:p>
        </w:tc>
        <w:tc>
          <w:tcPr>
            <w:tcW w:w="1814" w:type="dxa"/>
            <w:vAlign w:val="center"/>
          </w:tcPr>
          <w:p w14:paraId="3FBA116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hAnsiTheme="minorEastAsia" w:eastAsiaTheme="minorEastAsia"/>
                <w:snapToGrid w:val="0"/>
                <w:color w:val="auto"/>
                <w:spacing w:val="30"/>
                <w:w w:val="167"/>
                <w:kern w:val="0"/>
                <w:sz w:val="21"/>
                <w:szCs w:val="21"/>
                <w:highlight w:val="none"/>
              </w:rPr>
              <w:t>一</w:t>
            </w:r>
          </w:p>
        </w:tc>
        <w:tc>
          <w:tcPr>
            <w:tcW w:w="1393" w:type="dxa"/>
            <w:vAlign w:val="center"/>
          </w:tcPr>
          <w:p w14:paraId="12269A9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hAnsiTheme="minorEastAsia" w:eastAsiaTheme="minorEastAsia"/>
                <w:snapToGrid w:val="0"/>
                <w:color w:val="auto"/>
                <w:kern w:val="0"/>
                <w:sz w:val="21"/>
                <w:szCs w:val="21"/>
                <w:highlight w:val="none"/>
              </w:rPr>
              <w:t>二</w:t>
            </w:r>
          </w:p>
        </w:tc>
        <w:tc>
          <w:tcPr>
            <w:tcW w:w="1564" w:type="dxa"/>
            <w:vAlign w:val="center"/>
          </w:tcPr>
          <w:p w14:paraId="525DAB9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hAnsiTheme="minorEastAsia" w:eastAsiaTheme="minorEastAsia"/>
                <w:snapToGrid w:val="0"/>
                <w:color w:val="auto"/>
                <w:kern w:val="0"/>
                <w:sz w:val="21"/>
                <w:szCs w:val="21"/>
                <w:highlight w:val="none"/>
              </w:rPr>
              <w:t>三</w:t>
            </w:r>
          </w:p>
        </w:tc>
        <w:tc>
          <w:tcPr>
            <w:tcW w:w="1910" w:type="dxa"/>
            <w:vAlign w:val="center"/>
          </w:tcPr>
          <w:p w14:paraId="7A3399A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hAnsiTheme="minorEastAsia" w:eastAsiaTheme="minorEastAsia"/>
                <w:snapToGrid w:val="0"/>
                <w:color w:val="auto"/>
                <w:spacing w:val="-3"/>
                <w:kern w:val="0"/>
                <w:sz w:val="21"/>
                <w:szCs w:val="21"/>
                <w:highlight w:val="none"/>
              </w:rPr>
              <w:t>简单分析</w:t>
            </w:r>
            <w:r>
              <w:rPr>
                <w:rFonts w:hint="default" w:eastAsiaTheme="minorEastAsia"/>
                <w:snapToGrid w:val="0"/>
                <w:color w:val="auto"/>
                <w:spacing w:val="-3"/>
                <w:kern w:val="0"/>
                <w:sz w:val="21"/>
                <w:szCs w:val="21"/>
                <w:highlight w:val="none"/>
              </w:rPr>
              <w:t>a</w:t>
            </w:r>
          </w:p>
        </w:tc>
      </w:tr>
      <w:tr w14:paraId="527301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1" w:hRule="atLeast"/>
          <w:jc w:val="center"/>
        </w:trPr>
        <w:tc>
          <w:tcPr>
            <w:tcW w:w="8419" w:type="dxa"/>
            <w:gridSpan w:val="5"/>
            <w:vAlign w:val="center"/>
          </w:tcPr>
          <w:p w14:paraId="5D6229D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eastAsiaTheme="minorEastAsia"/>
                <w:snapToGrid w:val="0"/>
                <w:color w:val="auto"/>
                <w:kern w:val="0"/>
                <w:sz w:val="21"/>
                <w:szCs w:val="21"/>
                <w:highlight w:val="none"/>
              </w:rPr>
            </w:pPr>
            <w:r>
              <w:rPr>
                <w:rFonts w:hint="default" w:eastAsiaTheme="minorEastAsia"/>
                <w:snapToGrid w:val="0"/>
                <w:color w:val="auto"/>
                <w:spacing w:val="-3"/>
                <w:kern w:val="0"/>
                <w:sz w:val="21"/>
                <w:szCs w:val="21"/>
                <w:highlight w:val="none"/>
              </w:rPr>
              <w:t>a</w:t>
            </w:r>
            <w:r>
              <w:rPr>
                <w:rFonts w:hint="default" w:hAnsiTheme="minorEastAsia" w:eastAsiaTheme="minorEastAsia"/>
                <w:snapToGrid w:val="0"/>
                <w:color w:val="auto"/>
                <w:spacing w:val="-3"/>
                <w:kern w:val="0"/>
                <w:sz w:val="21"/>
                <w:szCs w:val="21"/>
                <w:highlight w:val="none"/>
              </w:rPr>
              <w:t>是相对于详细评价工作内容而言，在描述危险物质、环境影响途径、环境危害后果、风险</w:t>
            </w:r>
            <w:r>
              <w:rPr>
                <w:rFonts w:hint="default" w:hAnsiTheme="minorEastAsia" w:eastAsiaTheme="minorEastAsia"/>
                <w:snapToGrid w:val="0"/>
                <w:color w:val="auto"/>
                <w:spacing w:val="-2"/>
                <w:kern w:val="0"/>
                <w:sz w:val="21"/>
                <w:szCs w:val="21"/>
                <w:highlight w:val="none"/>
              </w:rPr>
              <w:t>防范措施等方面给出定性的说明。</w:t>
            </w:r>
          </w:p>
        </w:tc>
      </w:tr>
    </w:tbl>
    <w:p w14:paraId="169A68C2">
      <w:pPr>
        <w:pageBreakBefore w:val="0"/>
        <w:kinsoku/>
        <w:wordWrap w:val="0"/>
        <w:overflowPunct/>
        <w:topLinePunct w:val="0"/>
        <w:autoSpaceDE/>
        <w:autoSpaceDN/>
        <w:bidi w:val="0"/>
        <w:adjustRightInd w:val="0"/>
        <w:snapToGrid w:val="0"/>
        <w:outlineLvl w:val="9"/>
        <w:rPr>
          <w:highlight w:val="none"/>
        </w:rPr>
      </w:pPr>
      <w:bookmarkStart w:id="180" w:name="_Toc23871"/>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环境风险物质数量与临界量比值（Q）</w:t>
      </w:r>
      <w:bookmarkEnd w:id="180"/>
    </w:p>
    <w:p w14:paraId="29E672C9">
      <w:pPr>
        <w:pageBreakBefore w:val="0"/>
        <w:kinsoku/>
        <w:wordWrap w:val="0"/>
        <w:overflowPunct/>
        <w:topLinePunct w:val="0"/>
        <w:autoSpaceDE/>
        <w:autoSpaceDN/>
        <w:bidi w:val="0"/>
        <w:adjustRightInd w:val="0"/>
        <w:snapToGrid w:val="0"/>
        <w:outlineLvl w:val="9"/>
        <w:rPr>
          <w:rFonts w:eastAsiaTheme="minorEastAsia"/>
          <w:kern w:val="0"/>
          <w:highlight w:val="none"/>
        </w:rPr>
      </w:pPr>
      <w:r>
        <w:rPr>
          <w:highlight w:val="none"/>
        </w:rPr>
        <w:t>按《建设项目环境风险影响评价技术导则》（HJ169-2018）的规定，当存在多种危险物质时，则按下式计算物质总量</w:t>
      </w:r>
      <w:r>
        <w:rPr>
          <w:rFonts w:hAnsiTheme="minorEastAsia" w:eastAsiaTheme="minorEastAsia"/>
          <w:kern w:val="0"/>
          <w:highlight w:val="none"/>
        </w:rPr>
        <w:t>与其临界量比值：</w:t>
      </w:r>
    </w:p>
    <w:p w14:paraId="4342BAFE">
      <w:pPr>
        <w:pageBreakBefore w:val="0"/>
        <w:widowControl/>
        <w:kinsoku/>
        <w:wordWrap w:val="0"/>
        <w:overflowPunct/>
        <w:topLinePunct w:val="0"/>
        <w:autoSpaceDE/>
        <w:autoSpaceDN/>
        <w:bidi w:val="0"/>
        <w:adjustRightInd w:val="0"/>
        <w:snapToGrid w:val="0"/>
        <w:spacing w:line="360" w:lineRule="auto"/>
        <w:ind w:firstLine="482" w:firstLineChars="200"/>
        <w:contextualSpacing/>
        <w:jc w:val="center"/>
        <w:outlineLvl w:val="9"/>
        <w:rPr>
          <w:rFonts w:eastAsiaTheme="minorEastAsia"/>
          <w:b/>
          <w:kern w:val="0"/>
          <w:sz w:val="24"/>
          <w:highlight w:val="none"/>
        </w:rPr>
      </w:pPr>
      <w:r>
        <w:rPr>
          <w:rFonts w:eastAsiaTheme="minorEastAsia"/>
          <w:b/>
          <w:kern w:val="0"/>
          <w:sz w:val="24"/>
          <w:highlight w:val="none"/>
        </w:rPr>
        <w:drawing>
          <wp:inline distT="0" distB="0" distL="0" distR="0">
            <wp:extent cx="1814830" cy="45974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cstate="print"/>
                    <a:srcRect t="16867" r="5413" b="8434"/>
                    <a:stretch>
                      <a:fillRect/>
                    </a:stretch>
                  </pic:blipFill>
                  <pic:spPr>
                    <a:xfrm>
                      <a:off x="0" y="0"/>
                      <a:ext cx="1814838" cy="460006"/>
                    </a:xfrm>
                    <a:prstGeom prst="rect">
                      <a:avLst/>
                    </a:prstGeom>
                    <a:noFill/>
                    <a:ln w="9525">
                      <a:noFill/>
                      <a:miter lim="800000"/>
                      <a:headEnd/>
                      <a:tailEnd/>
                    </a:ln>
                  </pic:spPr>
                </pic:pic>
              </a:graphicData>
            </a:graphic>
          </wp:inline>
        </w:drawing>
      </w:r>
    </w:p>
    <w:p w14:paraId="5FBCB648">
      <w:pPr>
        <w:pageBreakBefore w:val="0"/>
        <w:kinsoku/>
        <w:wordWrap w:val="0"/>
        <w:overflowPunct/>
        <w:topLinePunct w:val="0"/>
        <w:autoSpaceDE/>
        <w:autoSpaceDN/>
        <w:bidi w:val="0"/>
        <w:adjustRightInd w:val="0"/>
        <w:snapToGrid w:val="0"/>
        <w:spacing w:line="360" w:lineRule="auto"/>
        <w:ind w:firstLine="480" w:firstLineChars="200"/>
        <w:outlineLvl w:val="9"/>
        <w:rPr>
          <w:rFonts w:eastAsiaTheme="minorEastAsia"/>
          <w:sz w:val="24"/>
          <w:highlight w:val="none"/>
        </w:rPr>
      </w:pPr>
      <w:r>
        <w:rPr>
          <w:rFonts w:hAnsiTheme="minorEastAsia" w:eastAsiaTheme="minorEastAsia"/>
          <w:sz w:val="24"/>
          <w:highlight w:val="none"/>
        </w:rPr>
        <w:t>式中：</w:t>
      </w:r>
      <w:r>
        <w:rPr>
          <w:rFonts w:eastAsiaTheme="minorEastAsia"/>
          <w:sz w:val="24"/>
          <w:highlight w:val="none"/>
        </w:rPr>
        <w:t>q1</w:t>
      </w:r>
      <w:r>
        <w:rPr>
          <w:rFonts w:hAnsiTheme="minorEastAsia" w:eastAsiaTheme="minorEastAsia"/>
          <w:sz w:val="24"/>
          <w:highlight w:val="none"/>
        </w:rPr>
        <w:t>，</w:t>
      </w:r>
      <w:r>
        <w:rPr>
          <w:rFonts w:eastAsiaTheme="minorEastAsia"/>
          <w:sz w:val="24"/>
          <w:highlight w:val="none"/>
        </w:rPr>
        <w:t>q2</w:t>
      </w:r>
      <w:r>
        <w:rPr>
          <w:rFonts w:hAnsiTheme="minorEastAsia" w:eastAsiaTheme="minorEastAsia"/>
          <w:sz w:val="24"/>
          <w:highlight w:val="none"/>
        </w:rPr>
        <w:t>，</w:t>
      </w:r>
      <w:r>
        <w:rPr>
          <w:rFonts w:eastAsiaTheme="minorEastAsia"/>
          <w:sz w:val="24"/>
          <w:highlight w:val="none"/>
        </w:rPr>
        <w:t>…</w:t>
      </w:r>
      <w:r>
        <w:rPr>
          <w:rFonts w:hAnsiTheme="minorEastAsia" w:eastAsiaTheme="minorEastAsia"/>
          <w:sz w:val="24"/>
          <w:highlight w:val="none"/>
        </w:rPr>
        <w:t>，</w:t>
      </w:r>
      <w:r>
        <w:rPr>
          <w:rFonts w:eastAsiaTheme="minorEastAsia"/>
          <w:sz w:val="24"/>
          <w:highlight w:val="none"/>
        </w:rPr>
        <w:t>qn——</w:t>
      </w:r>
      <w:r>
        <w:rPr>
          <w:rFonts w:hAnsiTheme="minorEastAsia" w:eastAsiaTheme="minorEastAsia"/>
          <w:sz w:val="24"/>
          <w:highlight w:val="none"/>
        </w:rPr>
        <w:t>每种危险物质的最大存在总量，</w:t>
      </w:r>
      <w:r>
        <w:rPr>
          <w:rFonts w:eastAsiaTheme="minorEastAsia"/>
          <w:sz w:val="24"/>
          <w:highlight w:val="none"/>
        </w:rPr>
        <w:t>t</w:t>
      </w:r>
      <w:r>
        <w:rPr>
          <w:rFonts w:hAnsiTheme="minorEastAsia" w:eastAsiaTheme="minorEastAsia"/>
          <w:sz w:val="24"/>
          <w:highlight w:val="none"/>
        </w:rPr>
        <w:t>；</w:t>
      </w:r>
    </w:p>
    <w:p w14:paraId="0FD5B445">
      <w:pPr>
        <w:pageBreakBefore w:val="0"/>
        <w:kinsoku/>
        <w:wordWrap w:val="0"/>
        <w:overflowPunct/>
        <w:topLinePunct w:val="0"/>
        <w:autoSpaceDE/>
        <w:autoSpaceDN/>
        <w:bidi w:val="0"/>
        <w:adjustRightInd w:val="0"/>
        <w:snapToGrid w:val="0"/>
        <w:spacing w:line="360" w:lineRule="auto"/>
        <w:ind w:firstLine="480" w:firstLineChars="200"/>
        <w:outlineLvl w:val="9"/>
        <w:rPr>
          <w:rFonts w:eastAsiaTheme="minorEastAsia"/>
          <w:sz w:val="24"/>
          <w:highlight w:val="none"/>
        </w:rPr>
      </w:pPr>
      <w:r>
        <w:rPr>
          <w:rFonts w:eastAsiaTheme="minorEastAsia"/>
          <w:sz w:val="24"/>
          <w:highlight w:val="none"/>
        </w:rPr>
        <w:t>Q1</w:t>
      </w:r>
      <w:r>
        <w:rPr>
          <w:rFonts w:hAnsiTheme="minorEastAsia" w:eastAsiaTheme="minorEastAsia"/>
          <w:sz w:val="24"/>
          <w:highlight w:val="none"/>
        </w:rPr>
        <w:t>，</w:t>
      </w:r>
      <w:r>
        <w:rPr>
          <w:rFonts w:eastAsiaTheme="minorEastAsia"/>
          <w:sz w:val="24"/>
          <w:highlight w:val="none"/>
        </w:rPr>
        <w:t>Q2</w:t>
      </w:r>
      <w:r>
        <w:rPr>
          <w:rFonts w:hAnsiTheme="minorEastAsia" w:eastAsiaTheme="minorEastAsia"/>
          <w:sz w:val="24"/>
          <w:highlight w:val="none"/>
        </w:rPr>
        <w:t>，</w:t>
      </w:r>
      <w:r>
        <w:rPr>
          <w:rFonts w:eastAsiaTheme="minorEastAsia"/>
          <w:sz w:val="24"/>
          <w:highlight w:val="none"/>
        </w:rPr>
        <w:t>…</w:t>
      </w:r>
      <w:r>
        <w:rPr>
          <w:rFonts w:hAnsiTheme="minorEastAsia" w:eastAsiaTheme="minorEastAsia"/>
          <w:sz w:val="24"/>
          <w:highlight w:val="none"/>
        </w:rPr>
        <w:t>，</w:t>
      </w:r>
      <w:r>
        <w:rPr>
          <w:rFonts w:eastAsiaTheme="minorEastAsia"/>
          <w:sz w:val="24"/>
          <w:highlight w:val="none"/>
        </w:rPr>
        <w:t>Qn——</w:t>
      </w:r>
      <w:r>
        <w:rPr>
          <w:rFonts w:hAnsiTheme="minorEastAsia" w:eastAsiaTheme="minorEastAsia"/>
          <w:sz w:val="24"/>
          <w:highlight w:val="none"/>
        </w:rPr>
        <w:t>每种危险物质的临界量，</w:t>
      </w:r>
      <w:r>
        <w:rPr>
          <w:rFonts w:eastAsiaTheme="minorEastAsia"/>
          <w:sz w:val="24"/>
          <w:highlight w:val="none"/>
        </w:rPr>
        <w:t>t</w:t>
      </w:r>
      <w:r>
        <w:rPr>
          <w:rFonts w:hAnsiTheme="minorEastAsia" w:eastAsiaTheme="minorEastAsia"/>
          <w:sz w:val="24"/>
          <w:highlight w:val="none"/>
        </w:rPr>
        <w:t>；</w:t>
      </w:r>
    </w:p>
    <w:p w14:paraId="34FDA19C">
      <w:pPr>
        <w:pageBreakBefore w:val="0"/>
        <w:kinsoku/>
        <w:wordWrap w:val="0"/>
        <w:overflowPunct/>
        <w:topLinePunct w:val="0"/>
        <w:autoSpaceDE/>
        <w:autoSpaceDN/>
        <w:bidi w:val="0"/>
        <w:adjustRightInd w:val="0"/>
        <w:snapToGrid w:val="0"/>
        <w:spacing w:line="360" w:lineRule="auto"/>
        <w:ind w:firstLine="480" w:firstLineChars="200"/>
        <w:outlineLvl w:val="9"/>
        <w:rPr>
          <w:rFonts w:eastAsiaTheme="minorEastAsia"/>
          <w:sz w:val="24"/>
          <w:highlight w:val="none"/>
        </w:rPr>
      </w:pPr>
      <w:r>
        <w:rPr>
          <w:rFonts w:hAnsiTheme="minorEastAsia" w:eastAsiaTheme="minorEastAsia"/>
          <w:sz w:val="24"/>
          <w:highlight w:val="none"/>
        </w:rPr>
        <w:t>当</w:t>
      </w:r>
      <w:r>
        <w:rPr>
          <w:rFonts w:eastAsiaTheme="minorEastAsia"/>
          <w:sz w:val="24"/>
          <w:highlight w:val="none"/>
        </w:rPr>
        <w:t>Q</w:t>
      </w:r>
      <w:r>
        <w:rPr>
          <w:rFonts w:hAnsiTheme="minorEastAsia" w:eastAsiaTheme="minorEastAsia"/>
          <w:sz w:val="24"/>
          <w:highlight w:val="none"/>
        </w:rPr>
        <w:t>＜</w:t>
      </w:r>
      <w:r>
        <w:rPr>
          <w:rFonts w:eastAsiaTheme="minorEastAsia"/>
          <w:sz w:val="24"/>
          <w:highlight w:val="none"/>
        </w:rPr>
        <w:t>1</w:t>
      </w:r>
      <w:r>
        <w:rPr>
          <w:rFonts w:hAnsiTheme="minorEastAsia" w:eastAsiaTheme="minorEastAsia"/>
          <w:sz w:val="24"/>
          <w:highlight w:val="none"/>
        </w:rPr>
        <w:t>时，本项目环境风险潜势为</w:t>
      </w:r>
      <w:r>
        <w:rPr>
          <w:rFonts w:eastAsiaTheme="minorEastAsia"/>
          <w:sz w:val="24"/>
          <w:highlight w:val="none"/>
        </w:rPr>
        <w:t>Ⅰ</w:t>
      </w:r>
      <w:r>
        <w:rPr>
          <w:rFonts w:hAnsiTheme="minorEastAsia" w:eastAsiaTheme="minorEastAsia"/>
          <w:sz w:val="24"/>
          <w:highlight w:val="none"/>
        </w:rPr>
        <w:t>；</w:t>
      </w:r>
    </w:p>
    <w:p w14:paraId="6A1E004D">
      <w:pPr>
        <w:pageBreakBefore w:val="0"/>
        <w:kinsoku/>
        <w:wordWrap w:val="0"/>
        <w:overflowPunct/>
        <w:topLinePunct w:val="0"/>
        <w:autoSpaceDE/>
        <w:autoSpaceDN/>
        <w:bidi w:val="0"/>
        <w:adjustRightInd w:val="0"/>
        <w:snapToGrid w:val="0"/>
        <w:outlineLvl w:val="9"/>
        <w:rPr>
          <w:rFonts w:eastAsiaTheme="minorEastAsia"/>
          <w:sz w:val="24"/>
          <w:highlight w:val="none"/>
        </w:rPr>
      </w:pPr>
      <w:r>
        <w:rPr>
          <w:rFonts w:hAnsiTheme="minorEastAsia" w:eastAsiaTheme="minorEastAsia"/>
          <w:sz w:val="24"/>
          <w:highlight w:val="none"/>
        </w:rPr>
        <w:t>当</w:t>
      </w:r>
      <w:r>
        <w:rPr>
          <w:rFonts w:eastAsiaTheme="minorEastAsia"/>
          <w:sz w:val="24"/>
          <w:highlight w:val="none"/>
        </w:rPr>
        <w:t>Q≥1</w:t>
      </w:r>
      <w:r>
        <w:rPr>
          <w:rFonts w:hAnsiTheme="minorEastAsia" w:eastAsiaTheme="minorEastAsia"/>
          <w:sz w:val="24"/>
          <w:highlight w:val="none"/>
        </w:rPr>
        <w:t>时，将</w:t>
      </w:r>
      <w:r>
        <w:rPr>
          <w:rFonts w:eastAsiaTheme="minorEastAsia"/>
          <w:sz w:val="24"/>
          <w:highlight w:val="none"/>
        </w:rPr>
        <w:t>Q</w:t>
      </w:r>
      <w:r>
        <w:rPr>
          <w:rFonts w:hAnsiTheme="minorEastAsia" w:eastAsiaTheme="minorEastAsia"/>
          <w:sz w:val="24"/>
          <w:highlight w:val="none"/>
        </w:rPr>
        <w:t>值划分为：</w:t>
      </w:r>
      <w:r>
        <w:rPr>
          <w:rFonts w:eastAsiaTheme="minorEastAsia"/>
          <w:sz w:val="24"/>
          <w:highlight w:val="none"/>
        </w:rPr>
        <w:t>1≤Q</w:t>
      </w:r>
      <w:r>
        <w:rPr>
          <w:rFonts w:hAnsiTheme="minorEastAsia" w:eastAsiaTheme="minorEastAsia"/>
          <w:sz w:val="24"/>
          <w:highlight w:val="none"/>
        </w:rPr>
        <w:t>＜</w:t>
      </w:r>
      <w:r>
        <w:rPr>
          <w:rFonts w:eastAsiaTheme="minorEastAsia"/>
          <w:sz w:val="24"/>
          <w:highlight w:val="none"/>
        </w:rPr>
        <w:t>10</w:t>
      </w:r>
      <w:r>
        <w:rPr>
          <w:rFonts w:hAnsiTheme="minorEastAsia" w:eastAsiaTheme="minorEastAsia"/>
          <w:sz w:val="24"/>
          <w:highlight w:val="none"/>
        </w:rPr>
        <w:t>；</w:t>
      </w:r>
      <w:r>
        <w:rPr>
          <w:rFonts w:eastAsiaTheme="minorEastAsia"/>
          <w:sz w:val="24"/>
          <w:highlight w:val="none"/>
        </w:rPr>
        <w:t>10≤Q</w:t>
      </w:r>
      <w:r>
        <w:rPr>
          <w:rFonts w:hAnsiTheme="minorEastAsia" w:eastAsiaTheme="minorEastAsia"/>
          <w:sz w:val="24"/>
          <w:highlight w:val="none"/>
        </w:rPr>
        <w:t>＜</w:t>
      </w:r>
      <w:r>
        <w:rPr>
          <w:rFonts w:eastAsiaTheme="minorEastAsia"/>
          <w:sz w:val="24"/>
          <w:highlight w:val="none"/>
        </w:rPr>
        <w:t>100</w:t>
      </w:r>
      <w:r>
        <w:rPr>
          <w:rFonts w:hAnsiTheme="minorEastAsia" w:eastAsiaTheme="minorEastAsia"/>
          <w:sz w:val="24"/>
          <w:highlight w:val="none"/>
        </w:rPr>
        <w:t>；</w:t>
      </w:r>
      <w:r>
        <w:rPr>
          <w:rFonts w:eastAsiaTheme="minorEastAsia"/>
          <w:sz w:val="24"/>
          <w:highlight w:val="none"/>
        </w:rPr>
        <w:t>Q≥100</w:t>
      </w:r>
      <w:r>
        <w:rPr>
          <w:rFonts w:hAnsiTheme="minorEastAsia" w:eastAsiaTheme="minorEastAsia"/>
          <w:sz w:val="24"/>
          <w:highlight w:val="none"/>
        </w:rPr>
        <w:t>。</w:t>
      </w:r>
    </w:p>
    <w:p w14:paraId="740FC096">
      <w:pPr>
        <w:pageBreakBefore w:val="0"/>
        <w:kinsoku/>
        <w:wordWrap w:val="0"/>
        <w:overflowPunct/>
        <w:topLinePunct w:val="0"/>
        <w:autoSpaceDE/>
        <w:autoSpaceDN/>
        <w:bidi w:val="0"/>
        <w:adjustRightInd w:val="0"/>
        <w:snapToGrid w:val="0"/>
        <w:spacing w:line="360" w:lineRule="auto"/>
        <w:ind w:firstLine="480" w:firstLineChars="200"/>
        <w:outlineLvl w:val="9"/>
        <w:rPr>
          <w:rFonts w:hint="eastAsia" w:ascii="Times New Roman" w:cs="Times New Roman" w:hAnsiTheme="minorEastAsia" w:eastAsiaTheme="minorEastAsia"/>
          <w:sz w:val="24"/>
          <w:highlight w:val="none"/>
          <w:lang w:val="en-US" w:eastAsia="zh-CN"/>
        </w:rPr>
      </w:pPr>
      <w:r>
        <w:rPr>
          <w:rFonts w:hAnsiTheme="minorEastAsia" w:eastAsiaTheme="minorEastAsia"/>
          <w:snapToGrid w:val="0"/>
          <w:sz w:val="24"/>
          <w:highlight w:val="none"/>
        </w:rPr>
        <w:t>根据项目使用的原辅材料、产品、污染物</w:t>
      </w:r>
      <w:r>
        <w:rPr>
          <w:rFonts w:hint="eastAsia" w:hAnsiTheme="minorEastAsia" w:eastAsiaTheme="minorEastAsia"/>
          <w:snapToGrid w:val="0"/>
          <w:sz w:val="24"/>
          <w:highlight w:val="none"/>
          <w:lang w:eastAsia="zh-CN"/>
        </w:rPr>
        <w:t>、</w:t>
      </w:r>
      <w:r>
        <w:rPr>
          <w:rFonts w:hAnsiTheme="minorEastAsia" w:eastAsiaTheme="minorEastAsia"/>
          <w:snapToGrid w:val="0"/>
          <w:sz w:val="24"/>
          <w:highlight w:val="none"/>
        </w:rPr>
        <w:t>火灾伴生物等，对照《建设项目环境风险评价技术导则》</w:t>
      </w:r>
      <w:r>
        <w:rPr>
          <w:rFonts w:hint="eastAsia" w:eastAsiaTheme="minorEastAsia"/>
          <w:snapToGrid w:val="0"/>
          <w:sz w:val="24"/>
          <w:highlight w:val="none"/>
          <w:lang w:eastAsia="zh-CN"/>
        </w:rPr>
        <w:t>（</w:t>
      </w:r>
      <w:r>
        <w:rPr>
          <w:rFonts w:eastAsiaTheme="minorEastAsia"/>
          <w:snapToGrid w:val="0"/>
          <w:sz w:val="24"/>
          <w:highlight w:val="none"/>
        </w:rPr>
        <w:t>HJ169-2018</w:t>
      </w:r>
      <w:r>
        <w:rPr>
          <w:rFonts w:hAnsiTheme="minorEastAsia" w:eastAsiaTheme="minorEastAsia"/>
          <w:snapToGrid w:val="0"/>
          <w:sz w:val="24"/>
          <w:highlight w:val="none"/>
        </w:rPr>
        <w:t>）附录</w:t>
      </w:r>
      <w:r>
        <w:rPr>
          <w:rFonts w:eastAsiaTheme="minorEastAsia"/>
          <w:snapToGrid w:val="0"/>
          <w:sz w:val="24"/>
          <w:highlight w:val="none"/>
        </w:rPr>
        <w:t>B</w:t>
      </w:r>
      <w:r>
        <w:rPr>
          <w:rFonts w:hAnsiTheme="minorEastAsia" w:eastAsiaTheme="minorEastAsia"/>
          <w:snapToGrid w:val="0"/>
          <w:sz w:val="24"/>
          <w:highlight w:val="none"/>
        </w:rPr>
        <w:t>，本项目</w:t>
      </w:r>
      <w:r>
        <w:rPr>
          <w:rFonts w:hint="eastAsia" w:hAnsiTheme="minorEastAsia" w:eastAsiaTheme="minorEastAsia"/>
          <w:snapToGrid w:val="0"/>
          <w:sz w:val="24"/>
          <w:highlight w:val="none"/>
          <w:lang w:eastAsia="zh-CN"/>
        </w:rPr>
        <w:t>涉及的</w:t>
      </w:r>
      <w:r>
        <w:rPr>
          <w:rFonts w:hAnsiTheme="minorEastAsia" w:eastAsiaTheme="minorEastAsia"/>
          <w:snapToGrid w:val="0"/>
          <w:sz w:val="24"/>
          <w:highlight w:val="none"/>
        </w:rPr>
        <w:t>风险物质是油类</w:t>
      </w:r>
      <w:r>
        <w:rPr>
          <w:rFonts w:hAnsiTheme="minorEastAsia" w:eastAsiaTheme="minorEastAsia"/>
          <w:snapToGrid w:val="0"/>
          <w:color w:val="000000" w:themeColor="text1"/>
          <w:sz w:val="24"/>
          <w:highlight w:val="none"/>
          <w14:textFill>
            <w14:solidFill>
              <w14:schemeClr w14:val="tx1"/>
            </w14:solidFill>
          </w14:textFill>
        </w:rPr>
        <w:t>物质</w:t>
      </w:r>
      <w:r>
        <w:rPr>
          <w:rFonts w:hAnsiTheme="minorEastAsia" w:eastAsiaTheme="minorEastAsia"/>
          <w:sz w:val="24"/>
          <w:highlight w:val="none"/>
        </w:rPr>
        <w:t>（矿物油类，如石油、汽油、柴油等；生物柴油等），根据原辅材料消耗表，</w:t>
      </w:r>
      <w:r>
        <w:rPr>
          <w:rFonts w:hint="eastAsia" w:hAnsiTheme="minorEastAsia" w:eastAsiaTheme="minorEastAsia"/>
          <w:sz w:val="24"/>
          <w:highlight w:val="none"/>
          <w:lang w:val="en-US" w:eastAsia="zh-CN"/>
        </w:rPr>
        <w:t>废液</w:t>
      </w:r>
      <w:r>
        <w:rPr>
          <w:rFonts w:hint="eastAsia" w:ascii="Times New Roman" w:cs="Times New Roman" w:hAnsiTheme="minorEastAsia" w:eastAsiaTheme="minorEastAsia"/>
          <w:sz w:val="24"/>
          <w:highlight w:val="none"/>
          <w:lang w:val="en-US" w:eastAsia="zh-CN"/>
        </w:rPr>
        <w:t>全年产生量503.2t，每月转运一次，最大储存量约50.32t，含油金属屑中的油最大储存量</w:t>
      </w:r>
      <w:r>
        <w:rPr>
          <w:rFonts w:hint="eastAsia" w:cs="Times New Roman" w:hAnsiTheme="minorEastAsia" w:eastAsiaTheme="minorEastAsia"/>
          <w:sz w:val="24"/>
          <w:highlight w:val="none"/>
          <w:lang w:val="en-US" w:eastAsia="zh-CN"/>
        </w:rPr>
        <w:t>121.6</w:t>
      </w:r>
      <w:r>
        <w:rPr>
          <w:rFonts w:hint="eastAsia" w:ascii="Times New Roman" w:cs="Times New Roman" w:hAnsiTheme="minorEastAsia" w:eastAsiaTheme="minorEastAsia"/>
          <w:sz w:val="24"/>
          <w:highlight w:val="none"/>
          <w:lang w:val="en-US" w:eastAsia="zh-CN"/>
        </w:rPr>
        <w:t>t，故本项目油类物质最大储存量为</w:t>
      </w:r>
      <w:r>
        <w:rPr>
          <w:rFonts w:hint="eastAsia" w:cs="Times New Roman" w:hAnsiTheme="minorEastAsia" w:eastAsiaTheme="minorEastAsia"/>
          <w:sz w:val="24"/>
          <w:highlight w:val="none"/>
          <w:lang w:val="en-US" w:eastAsia="zh-CN"/>
        </w:rPr>
        <w:t>171.92</w:t>
      </w:r>
      <w:r>
        <w:rPr>
          <w:rFonts w:hint="eastAsia" w:ascii="Times New Roman" w:cs="Times New Roman" w:hAnsiTheme="minorEastAsia" w:eastAsiaTheme="minorEastAsia"/>
          <w:sz w:val="24"/>
          <w:highlight w:val="none"/>
          <w:lang w:val="en-US" w:eastAsia="zh-CN"/>
        </w:rPr>
        <w:t>t。</w:t>
      </w:r>
    </w:p>
    <w:p w14:paraId="04C11CDA">
      <w:pPr>
        <w:pageBreakBefore w:val="0"/>
        <w:kinsoku/>
        <w:wordWrap w:val="0"/>
        <w:overflowPunct/>
        <w:topLinePunct w:val="0"/>
        <w:autoSpaceDE/>
        <w:autoSpaceDN/>
        <w:bidi w:val="0"/>
        <w:adjustRightInd w:val="0"/>
        <w:snapToGrid w:val="0"/>
        <w:spacing w:line="360" w:lineRule="auto"/>
        <w:ind w:firstLine="480" w:firstLineChars="200"/>
        <w:outlineLvl w:val="9"/>
        <w:rPr>
          <w:rFonts w:hint="eastAsia" w:ascii="Times New Roman" w:cs="Times New Roman" w:hAnsiTheme="minorEastAsia" w:eastAsiaTheme="minorEastAsia"/>
          <w:sz w:val="24"/>
          <w:highlight w:val="none"/>
          <w:lang w:val="en-US" w:eastAsia="zh-CN"/>
        </w:rPr>
      </w:pPr>
      <w:r>
        <w:rPr>
          <w:rFonts w:hint="eastAsia" w:ascii="Times New Roman" w:cs="Times New Roman" w:hAnsiTheme="minorEastAsia" w:eastAsiaTheme="minorEastAsia"/>
          <w:sz w:val="24"/>
          <w:highlight w:val="none"/>
          <w:lang w:val="en-US" w:eastAsia="zh-CN"/>
        </w:rPr>
        <w:t>本项目仅收集贮存完好的锂电池，不收集破损的锂电池，锂电池放于塑料托盘内。运输或贮存过程中出现破损则会泄漏出电解液，新能源汽车锂电池电解液的主要成分为碳酸乙烯酯、六氟磷酸锂。常见的锂电池重量为</w:t>
      </w:r>
      <w:r>
        <w:rPr>
          <w:rFonts w:hint="default" w:ascii="Times New Roman" w:cs="Times New Roman" w:hAnsiTheme="minorEastAsia" w:eastAsiaTheme="minorEastAsia"/>
          <w:sz w:val="24"/>
          <w:highlight w:val="none"/>
          <w:lang w:val="en-US" w:eastAsia="zh-CN"/>
        </w:rPr>
        <w:t>300kg</w:t>
      </w:r>
      <w:r>
        <w:rPr>
          <w:rFonts w:hint="eastAsia" w:ascii="Times New Roman" w:cs="Times New Roman" w:hAnsiTheme="minorEastAsia" w:eastAsiaTheme="minorEastAsia"/>
          <w:sz w:val="24"/>
          <w:highlight w:val="none"/>
          <w:lang w:val="en-US" w:eastAsia="zh-CN"/>
        </w:rPr>
        <w:t>，其中电解液含量约为</w:t>
      </w:r>
      <w:r>
        <w:rPr>
          <w:rFonts w:hint="default" w:ascii="Times New Roman" w:cs="Times New Roman" w:hAnsiTheme="minorEastAsia" w:eastAsiaTheme="minorEastAsia"/>
          <w:sz w:val="24"/>
          <w:highlight w:val="none"/>
          <w:lang w:val="en-US" w:eastAsia="zh-CN"/>
        </w:rPr>
        <w:t>10%</w:t>
      </w:r>
      <w:r>
        <w:rPr>
          <w:rFonts w:hint="eastAsia" w:ascii="Times New Roman" w:cs="Times New Roman" w:hAnsiTheme="minorEastAsia" w:eastAsiaTheme="minorEastAsia"/>
          <w:sz w:val="24"/>
          <w:highlight w:val="none"/>
          <w:lang w:val="en-US" w:eastAsia="zh-CN"/>
        </w:rPr>
        <w:t>，本次评价假设</w:t>
      </w:r>
      <w:r>
        <w:rPr>
          <w:rFonts w:hint="default" w:ascii="Times New Roman" w:cs="Times New Roman" w:hAnsiTheme="minorEastAsia" w:eastAsiaTheme="minorEastAsia"/>
          <w:sz w:val="24"/>
          <w:highlight w:val="none"/>
          <w:lang w:val="en-US" w:eastAsia="zh-CN"/>
        </w:rPr>
        <w:t>10</w:t>
      </w:r>
      <w:r>
        <w:rPr>
          <w:rFonts w:hint="eastAsia" w:ascii="Times New Roman" w:cs="Times New Roman" w:hAnsiTheme="minorEastAsia" w:eastAsiaTheme="minorEastAsia"/>
          <w:sz w:val="24"/>
          <w:highlight w:val="none"/>
          <w:lang w:val="en-US" w:eastAsia="zh-CN"/>
        </w:rPr>
        <w:t>个锂电池在</w:t>
      </w:r>
      <w:r>
        <w:rPr>
          <w:rFonts w:hint="eastAsia" w:cs="Times New Roman" w:hAnsiTheme="minorEastAsia" w:eastAsiaTheme="minorEastAsia"/>
          <w:sz w:val="24"/>
          <w:highlight w:val="none"/>
          <w:lang w:val="en-US" w:eastAsia="zh-CN"/>
        </w:rPr>
        <w:t>收集</w:t>
      </w:r>
      <w:r>
        <w:rPr>
          <w:rFonts w:hint="eastAsia" w:ascii="Times New Roman" w:cs="Times New Roman" w:hAnsiTheme="minorEastAsia" w:eastAsiaTheme="minorEastAsia"/>
          <w:sz w:val="24"/>
          <w:highlight w:val="none"/>
          <w:lang w:val="en-US" w:eastAsia="zh-CN"/>
        </w:rPr>
        <w:t>储存的过程中发生泄漏，则电解液泄漏量为</w:t>
      </w:r>
      <w:r>
        <w:rPr>
          <w:rFonts w:hint="default" w:ascii="Times New Roman" w:cs="Times New Roman" w:hAnsiTheme="minorEastAsia" w:eastAsiaTheme="minorEastAsia"/>
          <w:sz w:val="24"/>
          <w:highlight w:val="none"/>
          <w:lang w:val="en-US" w:eastAsia="zh-CN"/>
        </w:rPr>
        <w:t>0.3t</w:t>
      </w:r>
      <w:r>
        <w:rPr>
          <w:rFonts w:hint="eastAsia" w:cs="Times New Roman" w:hAnsiTheme="minorEastAsia" w:eastAsiaTheme="minorEastAsia"/>
          <w:sz w:val="24"/>
          <w:highlight w:val="none"/>
          <w:lang w:val="en-US" w:eastAsia="zh-CN"/>
        </w:rPr>
        <w:t>。</w:t>
      </w:r>
    </w:p>
    <w:p w14:paraId="41D28DE9">
      <w:pPr>
        <w:pStyle w:val="7"/>
        <w:bidi w:val="0"/>
        <w:rPr>
          <w:highlight w:val="none"/>
        </w:rPr>
      </w:pPr>
      <w:r>
        <w:rPr>
          <w:highlight w:val="none"/>
        </w:rPr>
        <w:t>表2-4-1</w:t>
      </w:r>
      <w:r>
        <w:rPr>
          <w:rFonts w:hint="eastAsia"/>
          <w:highlight w:val="none"/>
          <w:lang w:val="en-US" w:eastAsia="zh-CN"/>
        </w:rPr>
        <w:t>1</w:t>
      </w:r>
      <w:r>
        <w:rPr>
          <w:highlight w:val="none"/>
        </w:rPr>
        <w:t>最大储存量与临界量辨识表</w:t>
      </w:r>
    </w:p>
    <w:p w14:paraId="4375FFF5">
      <w:pPr>
        <w:pageBreakBefore w:val="0"/>
        <w:kinsoku/>
        <w:wordWrap w:val="0"/>
        <w:overflowPunct/>
        <w:topLinePunct w:val="0"/>
        <w:autoSpaceDE/>
        <w:autoSpaceDN/>
        <w:bidi w:val="0"/>
        <w:adjustRightInd w:val="0"/>
        <w:snapToGrid w:val="0"/>
        <w:spacing w:line="53" w:lineRule="exact"/>
        <w:outlineLvl w:val="9"/>
        <w:rPr>
          <w:rFonts w:eastAsiaTheme="minorEastAsia"/>
          <w:highlight w:val="none"/>
        </w:rPr>
      </w:pPr>
    </w:p>
    <w:tbl>
      <w:tblPr>
        <w:tblStyle w:val="741"/>
        <w:tblW w:w="794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85"/>
        <w:gridCol w:w="1822"/>
        <w:gridCol w:w="1990"/>
        <w:gridCol w:w="1646"/>
      </w:tblGrid>
      <w:tr w14:paraId="4F4D1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85" w:type="dxa"/>
            <w:tcBorders>
              <w:top w:val="single" w:color="000000" w:sz="12" w:space="0"/>
              <w:left w:val="nil"/>
            </w:tcBorders>
            <w:shd w:val="clear" w:color="auto" w:fill="FFFFFF"/>
            <w:vAlign w:val="center"/>
          </w:tcPr>
          <w:p w14:paraId="0108434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eastAsiaTheme="minorEastAsia"/>
                <w:snapToGrid w:val="0"/>
                <w:color w:val="auto"/>
                <w:kern w:val="0"/>
                <w:sz w:val="21"/>
                <w:szCs w:val="21"/>
                <w:highlight w:val="none"/>
              </w:rPr>
            </w:pPr>
            <w:r>
              <w:rPr>
                <w:rFonts w:hint="default" w:hAnsiTheme="minorEastAsia" w:eastAsiaTheme="minorEastAsia"/>
                <w:snapToGrid w:val="0"/>
                <w:color w:val="auto"/>
                <w:spacing w:val="-3"/>
                <w:kern w:val="0"/>
                <w:sz w:val="21"/>
                <w:szCs w:val="21"/>
                <w:highlight w:val="none"/>
              </w:rPr>
              <w:t>化学品名称</w:t>
            </w:r>
          </w:p>
        </w:tc>
        <w:tc>
          <w:tcPr>
            <w:tcW w:w="1822" w:type="dxa"/>
            <w:tcBorders>
              <w:top w:val="single" w:color="000000" w:sz="12" w:space="0"/>
            </w:tcBorders>
            <w:shd w:val="clear" w:color="auto" w:fill="FFFFFF"/>
            <w:vAlign w:val="center"/>
          </w:tcPr>
          <w:p w14:paraId="1D867F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eastAsiaTheme="minorEastAsia"/>
                <w:snapToGrid w:val="0"/>
                <w:color w:val="auto"/>
                <w:kern w:val="0"/>
                <w:sz w:val="21"/>
                <w:szCs w:val="21"/>
                <w:highlight w:val="none"/>
              </w:rPr>
            </w:pPr>
            <w:r>
              <w:rPr>
                <w:rFonts w:hint="default" w:hAnsiTheme="minorEastAsia" w:eastAsiaTheme="minorEastAsia"/>
                <w:snapToGrid w:val="0"/>
                <w:color w:val="auto"/>
                <w:spacing w:val="-1"/>
                <w:kern w:val="0"/>
                <w:sz w:val="21"/>
                <w:szCs w:val="21"/>
                <w:highlight w:val="none"/>
              </w:rPr>
              <w:t>全厂最大存在量（</w:t>
            </w:r>
            <w:r>
              <w:rPr>
                <w:rFonts w:hint="default" w:eastAsiaTheme="minorEastAsia"/>
                <w:snapToGrid w:val="0"/>
                <w:color w:val="auto"/>
                <w:spacing w:val="-1"/>
                <w:kern w:val="0"/>
                <w:sz w:val="21"/>
                <w:szCs w:val="21"/>
                <w:highlight w:val="none"/>
              </w:rPr>
              <w:t>t</w:t>
            </w:r>
            <w:r>
              <w:rPr>
                <w:rFonts w:hint="default" w:hAnsiTheme="minorEastAsia" w:eastAsiaTheme="minorEastAsia"/>
                <w:snapToGrid w:val="0"/>
                <w:color w:val="auto"/>
                <w:spacing w:val="-1"/>
                <w:kern w:val="0"/>
                <w:sz w:val="21"/>
                <w:szCs w:val="21"/>
                <w:highlight w:val="none"/>
              </w:rPr>
              <w:t>）</w:t>
            </w:r>
          </w:p>
        </w:tc>
        <w:tc>
          <w:tcPr>
            <w:tcW w:w="1990" w:type="dxa"/>
            <w:tcBorders>
              <w:top w:val="single" w:color="000000" w:sz="12" w:space="0"/>
            </w:tcBorders>
            <w:shd w:val="clear" w:color="auto" w:fill="FFFFFF"/>
            <w:vAlign w:val="center"/>
          </w:tcPr>
          <w:p w14:paraId="750F27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eastAsiaTheme="minorEastAsia"/>
                <w:snapToGrid w:val="0"/>
                <w:color w:val="auto"/>
                <w:kern w:val="0"/>
                <w:sz w:val="21"/>
                <w:szCs w:val="21"/>
                <w:highlight w:val="none"/>
              </w:rPr>
            </w:pPr>
            <w:r>
              <w:rPr>
                <w:rFonts w:hint="default" w:hAnsiTheme="minorEastAsia" w:eastAsiaTheme="minorEastAsia"/>
                <w:snapToGrid w:val="0"/>
                <w:color w:val="auto"/>
                <w:spacing w:val="-4"/>
                <w:kern w:val="0"/>
                <w:sz w:val="21"/>
                <w:szCs w:val="21"/>
                <w:highlight w:val="none"/>
              </w:rPr>
              <w:t>临界量（</w:t>
            </w:r>
            <w:r>
              <w:rPr>
                <w:rFonts w:hint="default" w:eastAsiaTheme="minorEastAsia"/>
                <w:snapToGrid w:val="0"/>
                <w:color w:val="auto"/>
                <w:spacing w:val="-4"/>
                <w:kern w:val="0"/>
                <w:sz w:val="21"/>
                <w:szCs w:val="21"/>
                <w:highlight w:val="none"/>
              </w:rPr>
              <w:t>t</w:t>
            </w:r>
            <w:r>
              <w:rPr>
                <w:rFonts w:hint="default" w:hAnsiTheme="minorEastAsia" w:eastAsiaTheme="minorEastAsia"/>
                <w:snapToGrid w:val="0"/>
                <w:color w:val="auto"/>
                <w:spacing w:val="-4"/>
                <w:kern w:val="0"/>
                <w:sz w:val="21"/>
                <w:szCs w:val="21"/>
                <w:highlight w:val="none"/>
              </w:rPr>
              <w:t>）</w:t>
            </w:r>
          </w:p>
        </w:tc>
        <w:tc>
          <w:tcPr>
            <w:tcW w:w="1646" w:type="dxa"/>
            <w:tcBorders>
              <w:top w:val="single" w:color="000000" w:sz="12" w:space="0"/>
              <w:right w:val="nil"/>
            </w:tcBorders>
            <w:shd w:val="clear" w:color="auto" w:fill="FFFFFF"/>
            <w:vAlign w:val="center"/>
          </w:tcPr>
          <w:p w14:paraId="09B43D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eastAsiaTheme="minorEastAsia"/>
                <w:snapToGrid w:val="0"/>
                <w:color w:val="auto"/>
                <w:kern w:val="0"/>
                <w:sz w:val="21"/>
                <w:szCs w:val="21"/>
                <w:highlight w:val="none"/>
              </w:rPr>
            </w:pPr>
            <w:r>
              <w:rPr>
                <w:rFonts w:hint="default" w:eastAsiaTheme="minorEastAsia"/>
                <w:snapToGrid w:val="0"/>
                <w:color w:val="auto"/>
                <w:spacing w:val="-2"/>
                <w:kern w:val="0"/>
                <w:sz w:val="21"/>
                <w:szCs w:val="21"/>
                <w:highlight w:val="none"/>
              </w:rPr>
              <w:t>q/Q</w:t>
            </w:r>
            <w:r>
              <w:rPr>
                <w:rFonts w:hint="default" w:hAnsiTheme="minorEastAsia" w:eastAsiaTheme="minorEastAsia"/>
                <w:snapToGrid w:val="0"/>
                <w:color w:val="auto"/>
                <w:spacing w:val="-2"/>
                <w:kern w:val="0"/>
                <w:sz w:val="21"/>
                <w:szCs w:val="21"/>
                <w:highlight w:val="none"/>
              </w:rPr>
              <w:t>值</w:t>
            </w:r>
          </w:p>
        </w:tc>
      </w:tr>
      <w:tr w14:paraId="7C9DD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485" w:type="dxa"/>
            <w:tcBorders>
              <w:left w:val="nil"/>
            </w:tcBorders>
            <w:vAlign w:val="center"/>
          </w:tcPr>
          <w:p w14:paraId="1D3892A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eastAsiaTheme="minorEastAsia"/>
                <w:snapToGrid w:val="0"/>
                <w:color w:val="auto"/>
                <w:kern w:val="0"/>
                <w:sz w:val="21"/>
                <w:szCs w:val="21"/>
                <w:highlight w:val="none"/>
              </w:rPr>
            </w:pPr>
            <w:r>
              <w:rPr>
                <w:rFonts w:hint="eastAsia" w:ascii="Calibri" w:hAnsi="Calibri" w:cs="Times New Roman"/>
                <w:snapToGrid w:val="0"/>
                <w:color w:val="000000"/>
                <w:kern w:val="2"/>
                <w:sz w:val="21"/>
                <w:szCs w:val="21"/>
                <w:highlight w:val="none"/>
                <w:lang w:val="en-US" w:eastAsia="zh-CN" w:bidi="ar"/>
              </w:rPr>
              <w:t>废油</w:t>
            </w:r>
          </w:p>
        </w:tc>
        <w:tc>
          <w:tcPr>
            <w:tcW w:w="1822" w:type="dxa"/>
            <w:vAlign w:val="center"/>
          </w:tcPr>
          <w:p w14:paraId="0C50D4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eastAsiaTheme="minorEastAsia"/>
                <w:snapToGrid w:val="0"/>
                <w:color w:val="auto"/>
                <w:kern w:val="0"/>
                <w:sz w:val="21"/>
                <w:szCs w:val="21"/>
                <w:highlight w:val="none"/>
                <w:lang w:val="en-US" w:eastAsia="zh-CN"/>
              </w:rPr>
            </w:pPr>
            <w:r>
              <w:rPr>
                <w:rFonts w:hint="eastAsia" w:cs="Times New Roman" w:eastAsiaTheme="minorEastAsia"/>
                <w:snapToGrid w:val="0"/>
                <w:color w:val="auto"/>
                <w:kern w:val="0"/>
                <w:sz w:val="21"/>
                <w:szCs w:val="21"/>
                <w:highlight w:val="none"/>
                <w:lang w:val="en-US" w:eastAsia="zh-CN"/>
              </w:rPr>
              <w:t>50.32</w:t>
            </w:r>
          </w:p>
        </w:tc>
        <w:tc>
          <w:tcPr>
            <w:tcW w:w="1990" w:type="dxa"/>
            <w:vAlign w:val="center"/>
          </w:tcPr>
          <w:p w14:paraId="1E045E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eastAsiaTheme="minorEastAsia"/>
                <w:snapToGrid w:val="0"/>
                <w:color w:val="auto"/>
                <w:kern w:val="0"/>
                <w:sz w:val="21"/>
                <w:szCs w:val="21"/>
                <w:highlight w:val="none"/>
              </w:rPr>
            </w:pPr>
            <w:r>
              <w:rPr>
                <w:rFonts w:hint="default" w:ascii="Times New Roman" w:hAnsi="Times New Roman" w:cs="Times New Roman" w:eastAsiaTheme="minorEastAsia"/>
                <w:snapToGrid w:val="0"/>
                <w:color w:val="auto"/>
                <w:spacing w:val="-1"/>
                <w:kern w:val="0"/>
                <w:sz w:val="21"/>
                <w:szCs w:val="21"/>
                <w:highlight w:val="none"/>
              </w:rPr>
              <w:t>2500</w:t>
            </w:r>
          </w:p>
        </w:tc>
        <w:tc>
          <w:tcPr>
            <w:tcW w:w="1646" w:type="dxa"/>
            <w:tcBorders>
              <w:right w:val="nil"/>
            </w:tcBorders>
            <w:vAlign w:val="center"/>
          </w:tcPr>
          <w:p w14:paraId="263639D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eastAsiaTheme="minorEastAsia"/>
                <w:snapToGrid w:val="0"/>
                <w:color w:val="auto"/>
                <w:spacing w:val="-1"/>
                <w:kern w:val="0"/>
                <w:sz w:val="21"/>
                <w:szCs w:val="21"/>
                <w:highlight w:val="none"/>
                <w:lang w:val="en-US" w:eastAsia="zh-CN"/>
              </w:rPr>
            </w:pPr>
            <w:r>
              <w:rPr>
                <w:rFonts w:hint="eastAsia" w:cs="Times New Roman" w:eastAsiaTheme="minorEastAsia"/>
                <w:snapToGrid w:val="0"/>
                <w:color w:val="auto"/>
                <w:spacing w:val="-1"/>
                <w:kern w:val="0"/>
                <w:sz w:val="21"/>
                <w:szCs w:val="21"/>
                <w:highlight w:val="none"/>
                <w:lang w:val="en-US" w:eastAsia="zh-CN"/>
              </w:rPr>
              <w:t>0.0201</w:t>
            </w:r>
          </w:p>
        </w:tc>
      </w:tr>
      <w:tr w14:paraId="15330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2485" w:type="dxa"/>
            <w:tcBorders>
              <w:left w:val="nil"/>
            </w:tcBorders>
            <w:vAlign w:val="center"/>
          </w:tcPr>
          <w:p w14:paraId="06A2B1CE">
            <w:pPr>
              <w:pStyle w:val="760"/>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firstLine="0" w:firstLineChars="0"/>
              <w:outlineLvl w:val="9"/>
              <w:rPr>
                <w:rFonts w:hint="default" w:eastAsiaTheme="minorEastAsia"/>
                <w:snapToGrid w:val="0"/>
                <w:color w:val="auto"/>
                <w:spacing w:val="-5"/>
                <w:kern w:val="0"/>
                <w:sz w:val="21"/>
                <w:szCs w:val="21"/>
                <w:highlight w:val="none"/>
                <w:lang w:val="en-US" w:eastAsia="zh-CN"/>
              </w:rPr>
            </w:pPr>
            <w:r>
              <w:rPr>
                <w:rFonts w:hint="eastAsia" w:cs="宋体"/>
                <w:snapToGrid w:val="0"/>
                <w:color w:val="000000"/>
                <w:sz w:val="21"/>
                <w:szCs w:val="21"/>
                <w:highlight w:val="none"/>
                <w:lang w:val="en-US" w:eastAsia="zh-CN"/>
              </w:rPr>
              <w:t>含油金属屑中的油</w:t>
            </w:r>
          </w:p>
        </w:tc>
        <w:tc>
          <w:tcPr>
            <w:tcW w:w="1822" w:type="dxa"/>
            <w:vAlign w:val="center"/>
          </w:tcPr>
          <w:p w14:paraId="38BBD00E">
            <w:pPr>
              <w:pStyle w:val="760"/>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firstLine="0" w:firstLineChars="0"/>
              <w:outlineLvl w:val="9"/>
              <w:rPr>
                <w:rFonts w:hint="default" w:ascii="Times New Roman" w:hAnsi="Times New Roman" w:cs="Times New Roman" w:eastAsiaTheme="minorEastAsia"/>
                <w:snapToGrid w:val="0"/>
                <w:color w:val="auto"/>
                <w:spacing w:val="-8"/>
                <w:kern w:val="0"/>
                <w:sz w:val="21"/>
                <w:szCs w:val="21"/>
                <w:highlight w:val="none"/>
                <w:lang w:val="en-US" w:eastAsia="zh-CN"/>
              </w:rPr>
            </w:pPr>
            <w:r>
              <w:rPr>
                <w:rFonts w:hint="eastAsia" w:cs="Times New Roman" w:eastAsiaTheme="minorEastAsia"/>
                <w:snapToGrid w:val="0"/>
                <w:color w:val="auto"/>
                <w:spacing w:val="-8"/>
                <w:kern w:val="0"/>
                <w:sz w:val="21"/>
                <w:szCs w:val="21"/>
                <w:highlight w:val="none"/>
                <w:lang w:val="en-US" w:eastAsia="zh-CN"/>
              </w:rPr>
              <w:t>121.6</w:t>
            </w:r>
          </w:p>
        </w:tc>
        <w:tc>
          <w:tcPr>
            <w:tcW w:w="1990" w:type="dxa"/>
            <w:vAlign w:val="center"/>
          </w:tcPr>
          <w:p w14:paraId="1EBE4BB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eastAsiaTheme="minorEastAsia"/>
                <w:snapToGrid w:val="0"/>
                <w:color w:val="auto"/>
                <w:spacing w:val="-1"/>
                <w:kern w:val="0"/>
                <w:sz w:val="21"/>
                <w:szCs w:val="21"/>
                <w:highlight w:val="none"/>
              </w:rPr>
            </w:pPr>
            <w:r>
              <w:rPr>
                <w:rFonts w:hint="default" w:ascii="Times New Roman" w:hAnsi="Times New Roman" w:cs="Times New Roman" w:eastAsiaTheme="minorEastAsia"/>
                <w:snapToGrid w:val="0"/>
                <w:color w:val="auto"/>
                <w:spacing w:val="-1"/>
                <w:kern w:val="0"/>
                <w:sz w:val="21"/>
                <w:szCs w:val="21"/>
                <w:highlight w:val="none"/>
              </w:rPr>
              <w:t>2500</w:t>
            </w:r>
          </w:p>
        </w:tc>
        <w:tc>
          <w:tcPr>
            <w:tcW w:w="1646" w:type="dxa"/>
            <w:tcBorders>
              <w:right w:val="nil"/>
            </w:tcBorders>
            <w:vAlign w:val="center"/>
          </w:tcPr>
          <w:p w14:paraId="1750AA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eastAsiaTheme="minorEastAsia"/>
                <w:snapToGrid w:val="0"/>
                <w:color w:val="auto"/>
                <w:spacing w:val="-1"/>
                <w:kern w:val="0"/>
                <w:sz w:val="21"/>
                <w:szCs w:val="21"/>
                <w:highlight w:val="none"/>
                <w:lang w:val="en-US" w:eastAsia="zh-CN"/>
              </w:rPr>
            </w:pPr>
            <w:r>
              <w:rPr>
                <w:rFonts w:hint="eastAsia" w:cs="Times New Roman" w:eastAsiaTheme="minorEastAsia"/>
                <w:snapToGrid w:val="0"/>
                <w:color w:val="auto"/>
                <w:spacing w:val="-1"/>
                <w:kern w:val="0"/>
                <w:sz w:val="21"/>
                <w:szCs w:val="21"/>
                <w:highlight w:val="none"/>
                <w:lang w:val="en-US" w:eastAsia="zh-CN"/>
              </w:rPr>
              <w:t>0.0486</w:t>
            </w:r>
          </w:p>
        </w:tc>
      </w:tr>
      <w:tr w14:paraId="79516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2485" w:type="dxa"/>
            <w:tcBorders>
              <w:left w:val="nil"/>
            </w:tcBorders>
            <w:vAlign w:val="center"/>
          </w:tcPr>
          <w:p w14:paraId="5F5B75B0">
            <w:pPr>
              <w:pStyle w:val="760"/>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firstLine="0" w:firstLineChars="0"/>
              <w:outlineLvl w:val="9"/>
              <w:rPr>
                <w:rFonts w:hint="eastAsia" w:ascii="Times New Roman" w:hAnsi="Times New Roman" w:eastAsia="宋体" w:cs="宋体"/>
                <w:snapToGrid w:val="0"/>
                <w:color w:val="000000"/>
                <w:sz w:val="21"/>
                <w:szCs w:val="21"/>
                <w:highlight w:val="none"/>
                <w:lang w:val="en-US" w:eastAsia="zh-CN"/>
              </w:rPr>
            </w:pPr>
            <w:r>
              <w:rPr>
                <w:rFonts w:hint="eastAsia" w:ascii="Times New Roman" w:hAnsi="Times New Roman" w:eastAsia="宋体" w:cs="宋体"/>
                <w:snapToGrid w:val="0"/>
                <w:color w:val="000000"/>
                <w:sz w:val="21"/>
                <w:szCs w:val="21"/>
                <w:highlight w:val="none"/>
                <w:lang w:val="en-US" w:eastAsia="zh-CN"/>
              </w:rPr>
              <w:t>废锂电池漏液（主要成分碳酸乙烯酯、六氟磷酸锂）</w:t>
            </w:r>
          </w:p>
        </w:tc>
        <w:tc>
          <w:tcPr>
            <w:tcW w:w="1822" w:type="dxa"/>
            <w:vAlign w:val="center"/>
          </w:tcPr>
          <w:p w14:paraId="0BC74D95">
            <w:pPr>
              <w:pStyle w:val="760"/>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firstLine="0" w:firstLineChars="0"/>
              <w:outlineLvl w:val="9"/>
              <w:rPr>
                <w:rFonts w:hint="default" w:ascii="Times New Roman" w:hAnsi="Times New Roman" w:eastAsia="宋体" w:cs="宋体"/>
                <w:snapToGrid w:val="0"/>
                <w:color w:val="000000"/>
                <w:sz w:val="21"/>
                <w:szCs w:val="21"/>
                <w:highlight w:val="none"/>
                <w:lang w:val="en-US" w:eastAsia="zh-CN"/>
              </w:rPr>
            </w:pPr>
            <w:r>
              <w:rPr>
                <w:rFonts w:hint="eastAsia" w:ascii="Times New Roman" w:hAnsi="Times New Roman" w:eastAsia="宋体" w:cs="宋体"/>
                <w:snapToGrid w:val="0"/>
                <w:color w:val="000000"/>
                <w:sz w:val="21"/>
                <w:szCs w:val="21"/>
                <w:highlight w:val="none"/>
                <w:lang w:val="en-US" w:eastAsia="zh-CN"/>
              </w:rPr>
              <w:t>50</w:t>
            </w:r>
          </w:p>
        </w:tc>
        <w:tc>
          <w:tcPr>
            <w:tcW w:w="1990" w:type="dxa"/>
            <w:vAlign w:val="center"/>
          </w:tcPr>
          <w:p w14:paraId="72780F4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eastAsiaTheme="minorEastAsia"/>
                <w:snapToGrid w:val="0"/>
                <w:color w:val="auto"/>
                <w:spacing w:val="-1"/>
                <w:kern w:val="0"/>
                <w:sz w:val="21"/>
                <w:szCs w:val="21"/>
                <w:highlight w:val="none"/>
                <w:lang w:val="en-US" w:eastAsia="zh-CN"/>
              </w:rPr>
            </w:pPr>
            <w:r>
              <w:rPr>
                <w:rFonts w:hint="eastAsia" w:cs="Times New Roman" w:eastAsiaTheme="minorEastAsia"/>
                <w:snapToGrid w:val="0"/>
                <w:color w:val="auto"/>
                <w:spacing w:val="-1"/>
                <w:kern w:val="0"/>
                <w:sz w:val="21"/>
                <w:szCs w:val="21"/>
                <w:highlight w:val="none"/>
                <w:lang w:val="en-US" w:eastAsia="zh-CN"/>
              </w:rPr>
              <w:t>0.3</w:t>
            </w:r>
          </w:p>
        </w:tc>
        <w:tc>
          <w:tcPr>
            <w:tcW w:w="1646" w:type="dxa"/>
            <w:tcBorders>
              <w:right w:val="nil"/>
            </w:tcBorders>
            <w:vAlign w:val="center"/>
          </w:tcPr>
          <w:p w14:paraId="1DD5DE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cs="Times New Roman" w:eastAsiaTheme="minorEastAsia"/>
                <w:snapToGrid w:val="0"/>
                <w:color w:val="auto"/>
                <w:spacing w:val="-1"/>
                <w:kern w:val="0"/>
                <w:sz w:val="21"/>
                <w:szCs w:val="21"/>
                <w:highlight w:val="none"/>
                <w:lang w:val="en-US" w:eastAsia="zh-CN"/>
              </w:rPr>
            </w:pPr>
            <w:r>
              <w:rPr>
                <w:rFonts w:hint="eastAsia" w:cs="Times New Roman" w:eastAsiaTheme="minorEastAsia"/>
                <w:snapToGrid w:val="0"/>
                <w:color w:val="auto"/>
                <w:spacing w:val="-1"/>
                <w:kern w:val="0"/>
                <w:sz w:val="21"/>
                <w:szCs w:val="21"/>
                <w:highlight w:val="none"/>
                <w:lang w:val="en-US" w:eastAsia="zh-CN"/>
              </w:rPr>
              <w:t>0.006</w:t>
            </w:r>
          </w:p>
        </w:tc>
      </w:tr>
      <w:tr w14:paraId="24EFE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6297" w:type="dxa"/>
            <w:gridSpan w:val="3"/>
            <w:tcBorders>
              <w:left w:val="nil"/>
              <w:bottom w:val="single" w:color="000000" w:sz="12" w:space="0"/>
            </w:tcBorders>
            <w:vAlign w:val="center"/>
          </w:tcPr>
          <w:p w14:paraId="41D3FD74">
            <w:pPr>
              <w:pStyle w:val="760"/>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firstLine="0" w:firstLineChars="0"/>
              <w:outlineLvl w:val="9"/>
              <w:rPr>
                <w:rFonts w:hint="default" w:cs="宋体"/>
                <w:snapToGrid w:val="0"/>
                <w:color w:val="000000"/>
                <w:sz w:val="21"/>
                <w:szCs w:val="21"/>
                <w:highlight w:val="none"/>
                <w:lang w:val="en-US" w:eastAsia="zh-CN"/>
              </w:rPr>
            </w:pPr>
            <w:r>
              <w:rPr>
                <w:rFonts w:hint="eastAsia" w:cs="宋体"/>
                <w:snapToGrid w:val="0"/>
                <w:color w:val="000000"/>
                <w:sz w:val="21"/>
                <w:szCs w:val="21"/>
                <w:highlight w:val="none"/>
                <w:lang w:val="en-US" w:eastAsia="zh-CN"/>
              </w:rPr>
              <w:t>合计</w:t>
            </w:r>
          </w:p>
        </w:tc>
        <w:tc>
          <w:tcPr>
            <w:tcW w:w="1646" w:type="dxa"/>
            <w:tcBorders>
              <w:bottom w:val="single" w:color="000000" w:sz="12" w:space="0"/>
              <w:right w:val="nil"/>
            </w:tcBorders>
            <w:vAlign w:val="center"/>
          </w:tcPr>
          <w:p w14:paraId="3D94E0BB">
            <w:pPr>
              <w:pStyle w:val="760"/>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firstLine="0" w:firstLineChars="0"/>
              <w:outlineLvl w:val="9"/>
              <w:rPr>
                <w:rFonts w:hint="default" w:cs="宋体"/>
                <w:snapToGrid w:val="0"/>
                <w:color w:val="000000"/>
                <w:sz w:val="21"/>
                <w:szCs w:val="21"/>
                <w:highlight w:val="none"/>
                <w:lang w:val="en-US" w:eastAsia="zh-CN"/>
              </w:rPr>
            </w:pPr>
            <w:r>
              <w:rPr>
                <w:rFonts w:hint="eastAsia" w:cs="宋体"/>
                <w:snapToGrid w:val="0"/>
                <w:color w:val="000000"/>
                <w:sz w:val="21"/>
                <w:szCs w:val="21"/>
                <w:highlight w:val="none"/>
                <w:lang w:val="en-US" w:eastAsia="zh-CN"/>
              </w:rPr>
              <w:t>0.0747</w:t>
            </w:r>
          </w:p>
        </w:tc>
      </w:tr>
    </w:tbl>
    <w:p w14:paraId="719BF02A">
      <w:pPr>
        <w:pageBreakBefore w:val="0"/>
        <w:kinsoku/>
        <w:wordWrap w:val="0"/>
        <w:overflowPunct/>
        <w:topLinePunct w:val="0"/>
        <w:autoSpaceDE/>
        <w:autoSpaceDN/>
        <w:bidi w:val="0"/>
        <w:adjustRightInd w:val="0"/>
        <w:snapToGrid w:val="0"/>
        <w:outlineLvl w:val="9"/>
        <w:rPr>
          <w:rFonts w:hint="default"/>
          <w:highlight w:val="none"/>
        </w:rPr>
      </w:pPr>
      <w:bookmarkStart w:id="181" w:name="_Toc18944"/>
      <w:bookmarkStart w:id="182" w:name="_Toc10745"/>
      <w:r>
        <w:rPr>
          <w:rFonts w:hint="default"/>
          <w:highlight w:val="none"/>
        </w:rPr>
        <w:t>3、评价等级判定</w:t>
      </w:r>
    </w:p>
    <w:p w14:paraId="755BB808">
      <w:pPr>
        <w:pageBreakBefore w:val="0"/>
        <w:kinsoku/>
        <w:wordWrap w:val="0"/>
        <w:overflowPunct/>
        <w:topLinePunct w:val="0"/>
        <w:autoSpaceDE/>
        <w:autoSpaceDN/>
        <w:bidi w:val="0"/>
        <w:adjustRightInd w:val="0"/>
        <w:snapToGrid w:val="0"/>
        <w:outlineLvl w:val="9"/>
        <w:rPr>
          <w:rFonts w:hint="eastAsia" w:eastAsia="宋体"/>
          <w:highlight w:val="none"/>
          <w:lang w:eastAsia="zh-CN"/>
        </w:rPr>
      </w:pPr>
      <w:r>
        <w:rPr>
          <w:rFonts w:hint="default"/>
          <w:highlight w:val="none"/>
        </w:rPr>
        <w:t>建设项目危险物质数量与临界量比值范围属于Q＜1，所以根据《建设项目环境风险评价技术导则》（HJ169-2018）中的相关要求，本项目环境风险潜势为Ⅰ。根据表2-4-</w:t>
      </w:r>
      <w:r>
        <w:rPr>
          <w:rFonts w:hint="eastAsia"/>
          <w:highlight w:val="none"/>
          <w:lang w:val="en-US" w:eastAsia="zh-CN"/>
        </w:rPr>
        <w:t>10</w:t>
      </w:r>
      <w:r>
        <w:rPr>
          <w:rFonts w:hint="default"/>
          <w:highlight w:val="none"/>
        </w:rPr>
        <w:t>，确定建设项目环境风险评价工作等级为“简单分析”</w:t>
      </w:r>
      <w:r>
        <w:rPr>
          <w:rFonts w:hint="eastAsia"/>
          <w:highlight w:val="none"/>
          <w:lang w:eastAsia="zh-CN"/>
        </w:rPr>
        <w:t>。</w:t>
      </w:r>
    </w:p>
    <w:p w14:paraId="6EDBA784">
      <w:pPr>
        <w:pStyle w:val="5"/>
        <w:bidi w:val="0"/>
        <w:rPr>
          <w:highlight w:val="none"/>
        </w:rPr>
      </w:pPr>
      <w:r>
        <w:rPr>
          <w:highlight w:val="none"/>
        </w:rPr>
        <w:t>2.4.7土壤评价工作等级</w:t>
      </w:r>
      <w:bookmarkEnd w:id="181"/>
      <w:bookmarkEnd w:id="182"/>
    </w:p>
    <w:p w14:paraId="65B5CCAC">
      <w:pPr>
        <w:spacing w:line="360" w:lineRule="auto"/>
        <w:ind w:firstLine="480" w:firstLineChars="200"/>
        <w:contextualSpacing/>
        <w:rPr>
          <w:rFonts w:eastAsiaTheme="minorEastAsia"/>
          <w:snapToGrid w:val="0"/>
          <w:kern w:val="0"/>
          <w:sz w:val="24"/>
          <w:szCs w:val="22"/>
          <w:highlight w:val="none"/>
        </w:rPr>
      </w:pPr>
      <w:r>
        <w:rPr>
          <w:rFonts w:hAnsiTheme="minorEastAsia" w:eastAsiaTheme="minorEastAsia"/>
          <w:snapToGrid w:val="0"/>
          <w:kern w:val="0"/>
          <w:sz w:val="24"/>
          <w:szCs w:val="22"/>
          <w:highlight w:val="none"/>
        </w:rPr>
        <w:t>根据《环境影响评价技术导则</w:t>
      </w:r>
      <w:r>
        <w:rPr>
          <w:rFonts w:hAnsiTheme="minorEastAsia" w:eastAsiaTheme="minorEastAsia"/>
          <w:snapToGrid w:val="0"/>
          <w:sz w:val="24"/>
          <w:szCs w:val="22"/>
          <w:highlight w:val="none"/>
        </w:rPr>
        <w:t>土壤环境（试行）</w:t>
      </w:r>
      <w:r>
        <w:rPr>
          <w:rFonts w:hAnsiTheme="minorEastAsia" w:eastAsiaTheme="minorEastAsia"/>
          <w:snapToGrid w:val="0"/>
          <w:kern w:val="0"/>
          <w:sz w:val="24"/>
          <w:szCs w:val="22"/>
          <w:highlight w:val="none"/>
        </w:rPr>
        <w:t>》（</w:t>
      </w:r>
      <w:r>
        <w:rPr>
          <w:rFonts w:eastAsiaTheme="minorEastAsia"/>
          <w:snapToGrid w:val="0"/>
          <w:kern w:val="0"/>
          <w:sz w:val="24"/>
          <w:szCs w:val="22"/>
          <w:highlight w:val="none"/>
        </w:rPr>
        <w:t>HJ</w:t>
      </w:r>
      <w:r>
        <w:rPr>
          <w:rFonts w:eastAsiaTheme="minorEastAsia"/>
          <w:snapToGrid w:val="0"/>
          <w:sz w:val="24"/>
          <w:szCs w:val="22"/>
          <w:highlight w:val="none"/>
        </w:rPr>
        <w:t>964</w:t>
      </w:r>
      <w:r>
        <w:rPr>
          <w:rFonts w:eastAsiaTheme="minorEastAsia"/>
          <w:snapToGrid w:val="0"/>
          <w:kern w:val="0"/>
          <w:sz w:val="24"/>
          <w:szCs w:val="22"/>
          <w:highlight w:val="none"/>
        </w:rPr>
        <w:t>-201</w:t>
      </w:r>
      <w:r>
        <w:rPr>
          <w:rFonts w:eastAsiaTheme="minorEastAsia"/>
          <w:snapToGrid w:val="0"/>
          <w:sz w:val="24"/>
          <w:szCs w:val="22"/>
          <w:highlight w:val="none"/>
        </w:rPr>
        <w:t>8</w:t>
      </w:r>
      <w:r>
        <w:rPr>
          <w:rFonts w:hAnsiTheme="minorEastAsia" w:eastAsiaTheme="minorEastAsia"/>
          <w:snapToGrid w:val="0"/>
          <w:kern w:val="0"/>
          <w:sz w:val="24"/>
          <w:szCs w:val="22"/>
          <w:highlight w:val="none"/>
        </w:rPr>
        <w:t>），本项目属于污染影响型项目。根据附录</w:t>
      </w:r>
      <w:r>
        <w:rPr>
          <w:rFonts w:eastAsiaTheme="minorEastAsia"/>
          <w:snapToGrid w:val="0"/>
          <w:kern w:val="0"/>
          <w:sz w:val="24"/>
          <w:szCs w:val="22"/>
          <w:highlight w:val="none"/>
        </w:rPr>
        <w:t>A</w:t>
      </w:r>
      <w:r>
        <w:rPr>
          <w:rFonts w:hAnsiTheme="minorEastAsia" w:eastAsiaTheme="minorEastAsia"/>
          <w:snapToGrid w:val="0"/>
          <w:kern w:val="0"/>
          <w:sz w:val="24"/>
          <w:szCs w:val="22"/>
          <w:highlight w:val="none"/>
        </w:rPr>
        <w:t>土壤环境影响评价项目类别判断本项目类别，具体见下表。</w:t>
      </w:r>
    </w:p>
    <w:p w14:paraId="17F37949">
      <w:pPr>
        <w:pStyle w:val="7"/>
        <w:bidi w:val="0"/>
        <w:rPr>
          <w:highlight w:val="none"/>
        </w:rPr>
      </w:pPr>
      <w:r>
        <w:rPr>
          <w:highlight w:val="none"/>
        </w:rPr>
        <w:t>表2-4-</w:t>
      </w:r>
      <w:r>
        <w:rPr>
          <w:rFonts w:hint="eastAsia"/>
          <w:highlight w:val="none"/>
          <w:lang w:val="en-US" w:eastAsia="zh-CN"/>
        </w:rPr>
        <w:t>12</w:t>
      </w:r>
      <w:r>
        <w:rPr>
          <w:highlight w:val="none"/>
        </w:rPr>
        <w:t>土壤环境影响评价项目类别</w:t>
      </w:r>
    </w:p>
    <w:tbl>
      <w:tblPr>
        <w:tblStyle w:val="741"/>
        <w:tblW w:w="5000" w:type="pct"/>
        <w:tblInd w:w="108" w:type="dxa"/>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0" w:type="dxa"/>
          <w:bottom w:w="0" w:type="dxa"/>
          <w:right w:w="0" w:type="dxa"/>
        </w:tblCellMar>
      </w:tblPr>
      <w:tblGrid>
        <w:gridCol w:w="2363"/>
        <w:gridCol w:w="3101"/>
        <w:gridCol w:w="2842"/>
      </w:tblGrid>
      <w:tr w14:paraId="706BE0F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09" w:hRule="atLeast"/>
        </w:trPr>
        <w:tc>
          <w:tcPr>
            <w:tcW w:w="2363" w:type="dxa"/>
            <w:tcBorders>
              <w:tl2br w:val="nil"/>
              <w:tr2bl w:val="nil"/>
            </w:tcBorders>
            <w:shd w:val="clear" w:color="auto" w:fill="auto"/>
            <w:vAlign w:val="center"/>
          </w:tcPr>
          <w:p w14:paraId="3C3BF0C7">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eastAsia="en-US"/>
              </w:rPr>
              <w:t>行业类别</w:t>
            </w:r>
          </w:p>
        </w:tc>
        <w:tc>
          <w:tcPr>
            <w:tcW w:w="3101" w:type="dxa"/>
            <w:tcBorders>
              <w:tl2br w:val="nil"/>
              <w:tr2bl w:val="nil"/>
            </w:tcBorders>
            <w:shd w:val="clear" w:color="auto" w:fill="auto"/>
            <w:vAlign w:val="center"/>
          </w:tcPr>
          <w:p w14:paraId="50EF98DA">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eastAsia="en-US"/>
              </w:rPr>
              <w:t>环评类别</w:t>
            </w:r>
          </w:p>
        </w:tc>
        <w:tc>
          <w:tcPr>
            <w:tcW w:w="2842" w:type="dxa"/>
            <w:tcBorders>
              <w:tl2br w:val="nil"/>
              <w:tr2bl w:val="nil"/>
            </w:tcBorders>
            <w:shd w:val="clear" w:color="auto" w:fill="auto"/>
            <w:vAlign w:val="center"/>
          </w:tcPr>
          <w:p w14:paraId="2A4568E3">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土壤环境影响评价项目类别</w:t>
            </w:r>
          </w:p>
        </w:tc>
      </w:tr>
      <w:tr w14:paraId="4E910D72">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49" w:hRule="atLeast"/>
        </w:trPr>
        <w:tc>
          <w:tcPr>
            <w:tcW w:w="2363" w:type="dxa"/>
            <w:tcBorders>
              <w:tl2br w:val="nil"/>
              <w:tr2bl w:val="nil"/>
            </w:tcBorders>
            <w:shd w:val="clear" w:color="auto" w:fill="auto"/>
            <w:vAlign w:val="center"/>
          </w:tcPr>
          <w:p w14:paraId="6B4A910C">
            <w:pPr>
              <w:pStyle w:val="8"/>
              <w:suppressLineNumbers w:val="0"/>
              <w:bidi w:val="0"/>
              <w:spacing w:before="0" w:beforeAutospacing="0" w:after="0" w:afterAutospacing="0"/>
              <w:ind w:left="0" w:right="0"/>
              <w:rPr>
                <w:rFonts w:hint="default"/>
                <w:snapToGrid w:val="0"/>
                <w:color w:val="000000" w:themeColor="text1"/>
                <w:highlight w:val="none"/>
                <w14:textFill>
                  <w14:solidFill>
                    <w14:schemeClr w14:val="tx1"/>
                  </w14:solidFill>
                </w14:textFill>
              </w:rPr>
            </w:pPr>
            <w:r>
              <w:rPr>
                <w:rFonts w:hint="default"/>
                <w:snapToGrid w:val="0"/>
                <w:color w:val="000000" w:themeColor="text1"/>
                <w:highlight w:val="none"/>
                <w14:textFill>
                  <w14:solidFill>
                    <w14:schemeClr w14:val="tx1"/>
                  </w14:solidFill>
                </w14:textFill>
              </w:rPr>
              <w:t>环境和公共设施管理业</w:t>
            </w:r>
          </w:p>
        </w:tc>
        <w:tc>
          <w:tcPr>
            <w:tcW w:w="3101" w:type="dxa"/>
            <w:tcBorders>
              <w:tl2br w:val="nil"/>
              <w:tr2bl w:val="nil"/>
            </w:tcBorders>
            <w:shd w:val="clear" w:color="auto" w:fill="auto"/>
            <w:vAlign w:val="center"/>
          </w:tcPr>
          <w:p w14:paraId="05162086">
            <w:pPr>
              <w:pStyle w:val="8"/>
              <w:suppressLineNumbers w:val="0"/>
              <w:bidi w:val="0"/>
              <w:spacing w:before="0" w:beforeAutospacing="0" w:after="0" w:afterAutospacing="0"/>
              <w:ind w:left="0" w:right="0"/>
              <w:rPr>
                <w:rFonts w:hint="default"/>
                <w:snapToGrid w:val="0"/>
                <w:color w:val="000000" w:themeColor="text1"/>
                <w:highlight w:val="none"/>
                <w:lang w:eastAsia="en-US"/>
                <w14:textFill>
                  <w14:solidFill>
                    <w14:schemeClr w14:val="tx1"/>
                  </w14:solidFill>
                </w14:textFill>
              </w:rPr>
            </w:pPr>
            <w:r>
              <w:rPr>
                <w:rFonts w:hint="default"/>
                <w:snapToGrid w:val="0"/>
                <w:color w:val="000000" w:themeColor="text1"/>
                <w:highlight w:val="none"/>
                <w:lang w:eastAsia="en-US"/>
                <w14:textFill>
                  <w14:solidFill>
                    <w14:schemeClr w14:val="tx1"/>
                  </w14:solidFill>
                </w14:textFill>
              </w:rPr>
              <w:t>危险废物利用及处置</w:t>
            </w:r>
          </w:p>
        </w:tc>
        <w:tc>
          <w:tcPr>
            <w:tcW w:w="2842" w:type="dxa"/>
            <w:tcBorders>
              <w:tl2br w:val="nil"/>
              <w:tr2bl w:val="nil"/>
            </w:tcBorders>
            <w:shd w:val="clear" w:color="auto" w:fill="auto"/>
            <w:vAlign w:val="center"/>
          </w:tcPr>
          <w:p w14:paraId="30D17C74">
            <w:pPr>
              <w:pStyle w:val="8"/>
              <w:suppressLineNumbers w:val="0"/>
              <w:bidi w:val="0"/>
              <w:spacing w:before="0" w:beforeAutospacing="0" w:after="0" w:afterAutospacing="0"/>
              <w:ind w:left="0" w:right="0"/>
              <w:rPr>
                <w:rFonts w:hint="default"/>
                <w:snapToGrid w:val="0"/>
                <w:color w:val="000000" w:themeColor="text1"/>
                <w:highlight w:val="none"/>
                <w:lang w:eastAsia="en-US"/>
                <w14:textFill>
                  <w14:solidFill>
                    <w14:schemeClr w14:val="tx1"/>
                  </w14:solidFill>
                </w14:textFill>
              </w:rPr>
            </w:pPr>
            <w:r>
              <w:rPr>
                <w:rFonts w:hint="default"/>
                <w:snapToGrid w:val="0"/>
                <w:color w:val="000000" w:themeColor="text1"/>
                <w:highlight w:val="none"/>
                <w:lang w:eastAsia="en-US"/>
                <w14:textFill>
                  <w14:solidFill>
                    <w14:schemeClr w14:val="tx1"/>
                  </w14:solidFill>
                </w14:textFill>
              </w:rPr>
              <w:t>Ⅰ类</w:t>
            </w:r>
          </w:p>
        </w:tc>
      </w:tr>
    </w:tbl>
    <w:p w14:paraId="6D7E4ED1">
      <w:pPr>
        <w:bidi w:val="0"/>
        <w:rPr>
          <w:rFonts w:eastAsiaTheme="minorEastAsia"/>
          <w:highlight w:val="none"/>
        </w:rPr>
      </w:pPr>
      <w:r>
        <w:rPr>
          <w:color w:val="000000" w:themeColor="text1"/>
          <w:highlight w:val="none"/>
          <w14:textFill>
            <w14:solidFill>
              <w14:schemeClr w14:val="tx1"/>
            </w14:solidFill>
          </w14:textFill>
        </w:rPr>
        <w:t>建设项目的占地规模分为大型</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≥50hm</w:t>
      </w:r>
      <w:r>
        <w:rPr>
          <w:color w:val="000000" w:themeColor="text1"/>
          <w:highlight w:val="none"/>
          <w:vertAlign w:val="superscript"/>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、中型（5~50hm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）、小型（≤5hm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），建设项目占地为永久占地。本项目面积约为</w:t>
      </w:r>
      <w:r>
        <w:rPr>
          <w:rFonts w:hint="eastAsia"/>
          <w:color w:val="000000" w:themeColor="text1"/>
          <w:kern w:val="0"/>
          <w:highlight w:val="none"/>
          <w:lang w:val="en-US" w:eastAsia="zh-CN"/>
          <w14:textFill>
            <w14:solidFill>
              <w14:schemeClr w14:val="tx1"/>
            </w14:solidFill>
          </w14:textFill>
        </w:rPr>
        <w:t>0.18</w:t>
      </w:r>
      <w:r>
        <w:rPr>
          <w:rFonts w:hint="eastAsia" w:ascii="Times New Roman" w:hAnsi="Times New Roman"/>
          <w:color w:val="000000" w:themeColor="text1"/>
          <w:kern w:val="0"/>
          <w:highlight w:val="none"/>
          <w14:textFill>
            <w14:solidFill>
              <w14:schemeClr w14:val="tx1"/>
            </w14:solidFill>
          </w14:textFill>
        </w:rPr>
        <w:t>hm</w:t>
      </w:r>
      <w:r>
        <w:rPr>
          <w:rFonts w:hint="eastAsia" w:ascii="Times New Roman" w:hAnsi="Times New Roman"/>
          <w:color w:val="000000" w:themeColor="text1"/>
          <w:kern w:val="0"/>
          <w:highlight w:val="none"/>
          <w:vertAlign w:val="superscript"/>
          <w14:textFill>
            <w14:solidFill>
              <w14:schemeClr w14:val="tx1"/>
            </w14:solidFill>
          </w14:textFill>
        </w:rPr>
        <w:t>2</w:t>
      </w:r>
      <w:r>
        <w:rPr>
          <w:color w:val="000000" w:themeColor="text1"/>
          <w:highlight w:val="none"/>
          <w14:textFill>
            <w14:solidFill>
              <w14:schemeClr w14:val="tx1"/>
            </w14:solidFill>
          </w14:textFill>
        </w:rPr>
        <w:t>，用地性质为</w:t>
      </w:r>
      <w:r>
        <w:rPr>
          <w:rFonts w:hint="eastAsia"/>
          <w:color w:val="000000" w:themeColor="text1"/>
          <w:highlight w:val="none"/>
          <w:lang w:val="en-US" w:eastAsia="zh-CN"/>
          <w14:textFill>
            <w14:solidFill>
              <w14:schemeClr w14:val="tx1"/>
            </w14:solidFill>
          </w14:textFill>
        </w:rPr>
        <w:t>工业</w:t>
      </w:r>
      <w:r>
        <w:rPr>
          <w:color w:val="000000" w:themeColor="text1"/>
          <w:highlight w:val="none"/>
          <w14:textFill>
            <w14:solidFill>
              <w14:schemeClr w14:val="tx1"/>
            </w14:solidFill>
          </w14:textFill>
        </w:rPr>
        <w:t>用地。项目占地规模</w:t>
      </w:r>
      <w:r>
        <w:rPr>
          <w:rFonts w:hAnsiTheme="minorEastAsia" w:eastAsiaTheme="minorEastAsia"/>
          <w:color w:val="000000" w:themeColor="text1"/>
          <w:highlight w:val="none"/>
          <w14:textFill>
            <w14:solidFill>
              <w14:schemeClr w14:val="tx1"/>
            </w14:solidFill>
          </w14:textFill>
        </w:rPr>
        <w:t>为</w:t>
      </w:r>
      <w:r>
        <w:rPr>
          <w:rFonts w:hint="eastAsia" w:hAnsiTheme="minorEastAsia" w:eastAsiaTheme="minorEastAsia"/>
          <w:color w:val="000000" w:themeColor="text1"/>
          <w:highlight w:val="none"/>
          <w:lang w:val="en-US" w:eastAsia="zh-CN"/>
          <w14:textFill>
            <w14:solidFill>
              <w14:schemeClr w14:val="tx1"/>
            </w14:solidFill>
          </w14:textFill>
        </w:rPr>
        <w:t>小</w:t>
      </w:r>
      <w:r>
        <w:rPr>
          <w:rFonts w:hAnsiTheme="minorEastAsia" w:eastAsiaTheme="minorEastAsia"/>
          <w:color w:val="000000" w:themeColor="text1"/>
          <w:highlight w:val="none"/>
          <w14:textFill>
            <w14:solidFill>
              <w14:schemeClr w14:val="tx1"/>
            </w14:solidFill>
          </w14:textFill>
        </w:rPr>
        <w:t>型（</w:t>
      </w:r>
      <w:r>
        <w:rPr>
          <w:color w:val="000000" w:themeColor="text1"/>
          <w:highlight w:val="none"/>
          <w14:textFill>
            <w14:solidFill>
              <w14:schemeClr w14:val="tx1"/>
            </w14:solidFill>
          </w14:textFill>
        </w:rPr>
        <w:t>≤5</w:t>
      </w:r>
      <w:r>
        <w:rPr>
          <w:rFonts w:hint="eastAsia" w:ascii="Times New Roman" w:hAnsi="Times New Roman"/>
          <w:color w:val="000000" w:themeColor="text1"/>
          <w:kern w:val="0"/>
          <w:highlight w:val="none"/>
          <w14:textFill>
            <w14:solidFill>
              <w14:schemeClr w14:val="tx1"/>
            </w14:solidFill>
          </w14:textFill>
        </w:rPr>
        <w:t>hm</w:t>
      </w:r>
      <w:r>
        <w:rPr>
          <w:rFonts w:hint="eastAsia" w:ascii="Times New Roman" w:hAnsi="Times New Roman"/>
          <w:color w:val="000000" w:themeColor="text1"/>
          <w:kern w:val="0"/>
          <w:highlight w:val="none"/>
          <w:vertAlign w:val="superscript"/>
          <w14:textFill>
            <w14:solidFill>
              <w14:schemeClr w14:val="tx1"/>
            </w14:solidFill>
          </w14:textFill>
        </w:rPr>
        <w:t>2</w:t>
      </w:r>
      <w:r>
        <w:rPr>
          <w:rFonts w:hAnsiTheme="minorEastAsia" w:eastAsiaTheme="minorEastAsia"/>
          <w:color w:val="000000" w:themeColor="text1"/>
          <w:highlight w:val="none"/>
          <w14:textFill>
            <w14:solidFill>
              <w14:schemeClr w14:val="tx1"/>
            </w14:solidFill>
          </w14:textFill>
        </w:rPr>
        <w:t>）。</w:t>
      </w:r>
      <w:r>
        <w:rPr>
          <w:rFonts w:hAnsiTheme="minorEastAsia" w:eastAsiaTheme="minorEastAsia"/>
          <w:snapToGrid w:val="0"/>
          <w:color w:val="000000" w:themeColor="text1"/>
          <w:szCs w:val="22"/>
          <w:highlight w:val="none"/>
          <w14:textFill>
            <w14:solidFill>
              <w14:schemeClr w14:val="tx1"/>
            </w14:solidFill>
          </w14:textFill>
        </w:rPr>
        <w:t>建设项目所</w:t>
      </w:r>
      <w:r>
        <w:rPr>
          <w:rFonts w:hAnsiTheme="minorEastAsia" w:eastAsiaTheme="minorEastAsia"/>
          <w:snapToGrid w:val="0"/>
          <w:szCs w:val="22"/>
          <w:highlight w:val="none"/>
        </w:rPr>
        <w:t>在地周边的土壤环境敏感程度分为敏感、较敏感、不敏感，判别依据见下表。</w:t>
      </w:r>
    </w:p>
    <w:p w14:paraId="09628A34">
      <w:pPr>
        <w:pStyle w:val="7"/>
        <w:bidi w:val="0"/>
        <w:rPr>
          <w:highlight w:val="none"/>
        </w:rPr>
      </w:pPr>
      <w:r>
        <w:rPr>
          <w:highlight w:val="none"/>
        </w:rPr>
        <w:t>表2-4-</w:t>
      </w:r>
      <w:r>
        <w:rPr>
          <w:rFonts w:hint="eastAsia"/>
          <w:highlight w:val="none"/>
          <w:lang w:val="en-US" w:eastAsia="zh-CN"/>
        </w:rPr>
        <w:t>13</w:t>
      </w:r>
      <w:r>
        <w:rPr>
          <w:highlight w:val="none"/>
        </w:rPr>
        <w:t>污染影响型敏感程度分级表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42"/>
        <w:gridCol w:w="7280"/>
      </w:tblGrid>
      <w:tr w14:paraId="36E639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2" w:type="dxa"/>
            <w:vAlign w:val="center"/>
          </w:tcPr>
          <w:p w14:paraId="78FEC47D">
            <w:pPr>
              <w:pStyle w:val="8"/>
              <w:suppressLineNumbers w:val="0"/>
              <w:bidi w:val="0"/>
              <w:spacing w:before="0" w:beforeAutospacing="0" w:after="0" w:afterAutospacing="0"/>
              <w:ind w:left="0" w:right="0"/>
              <w:rPr>
                <w:rFonts w:hint="default"/>
                <w:highlight w:val="none"/>
              </w:rPr>
            </w:pPr>
            <w:r>
              <w:rPr>
                <w:rFonts w:hint="default"/>
                <w:highlight w:val="none"/>
              </w:rPr>
              <w:t>敏感程度</w:t>
            </w:r>
          </w:p>
        </w:tc>
        <w:tc>
          <w:tcPr>
            <w:tcW w:w="7280" w:type="dxa"/>
            <w:vAlign w:val="center"/>
          </w:tcPr>
          <w:p w14:paraId="7F840B28">
            <w:pPr>
              <w:pStyle w:val="8"/>
              <w:suppressLineNumbers w:val="0"/>
              <w:bidi w:val="0"/>
              <w:spacing w:before="0" w:beforeAutospacing="0" w:after="0" w:afterAutospacing="0"/>
              <w:ind w:left="0" w:right="0"/>
              <w:rPr>
                <w:rFonts w:hint="default"/>
                <w:highlight w:val="none"/>
              </w:rPr>
            </w:pPr>
            <w:r>
              <w:rPr>
                <w:rFonts w:hint="default"/>
                <w:highlight w:val="none"/>
              </w:rPr>
              <w:t>判别依据</w:t>
            </w:r>
          </w:p>
        </w:tc>
      </w:tr>
      <w:tr w14:paraId="568357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2" w:type="dxa"/>
            <w:vAlign w:val="center"/>
          </w:tcPr>
          <w:p w14:paraId="4289AED0">
            <w:pPr>
              <w:pStyle w:val="8"/>
              <w:suppressLineNumbers w:val="0"/>
              <w:bidi w:val="0"/>
              <w:spacing w:before="0" w:beforeAutospacing="0" w:after="0" w:afterAutospacing="0"/>
              <w:ind w:left="0" w:right="0"/>
              <w:rPr>
                <w:rFonts w:hint="default"/>
                <w:highlight w:val="none"/>
              </w:rPr>
            </w:pPr>
            <w:r>
              <w:rPr>
                <w:rFonts w:hint="default"/>
                <w:highlight w:val="none"/>
              </w:rPr>
              <w:t>敏感</w:t>
            </w:r>
          </w:p>
        </w:tc>
        <w:tc>
          <w:tcPr>
            <w:tcW w:w="7280" w:type="dxa"/>
            <w:vAlign w:val="center"/>
          </w:tcPr>
          <w:p w14:paraId="301747AA">
            <w:pPr>
              <w:pStyle w:val="8"/>
              <w:suppressLineNumbers w:val="0"/>
              <w:bidi w:val="0"/>
              <w:spacing w:before="0" w:beforeAutospacing="0" w:after="0" w:afterAutospacing="0"/>
              <w:ind w:left="0" w:right="0"/>
              <w:rPr>
                <w:rFonts w:hint="default"/>
                <w:highlight w:val="none"/>
              </w:rPr>
            </w:pPr>
            <w:r>
              <w:rPr>
                <w:rFonts w:hint="default"/>
                <w:highlight w:val="none"/>
              </w:rPr>
              <w:t>建设项目周边存在耕地、园地、牧草地、饮用水水源地或居民区、学校、医院、疗养院、养老院等土壤环境敏感目标的</w:t>
            </w:r>
          </w:p>
        </w:tc>
      </w:tr>
      <w:tr w14:paraId="72D6BD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2" w:type="dxa"/>
            <w:vAlign w:val="center"/>
          </w:tcPr>
          <w:p w14:paraId="4DAA43B4">
            <w:pPr>
              <w:pStyle w:val="8"/>
              <w:suppressLineNumbers w:val="0"/>
              <w:bidi w:val="0"/>
              <w:spacing w:before="0" w:beforeAutospacing="0" w:after="0" w:afterAutospacing="0"/>
              <w:ind w:left="0" w:right="0"/>
              <w:rPr>
                <w:rFonts w:hint="default"/>
                <w:highlight w:val="none"/>
              </w:rPr>
            </w:pPr>
            <w:r>
              <w:rPr>
                <w:rFonts w:hint="default"/>
                <w:highlight w:val="none"/>
              </w:rPr>
              <w:t>较敏感</w:t>
            </w:r>
          </w:p>
        </w:tc>
        <w:tc>
          <w:tcPr>
            <w:tcW w:w="7280" w:type="dxa"/>
            <w:vAlign w:val="center"/>
          </w:tcPr>
          <w:p w14:paraId="32B58076">
            <w:pPr>
              <w:pStyle w:val="8"/>
              <w:suppressLineNumbers w:val="0"/>
              <w:bidi w:val="0"/>
              <w:spacing w:before="0" w:beforeAutospacing="0" w:after="0" w:afterAutospacing="0"/>
              <w:ind w:left="0" w:right="0"/>
              <w:rPr>
                <w:rFonts w:hint="default"/>
                <w:highlight w:val="none"/>
              </w:rPr>
            </w:pPr>
            <w:r>
              <w:rPr>
                <w:rFonts w:hint="default"/>
                <w:highlight w:val="none"/>
              </w:rPr>
              <w:t>建设项目周边存在其他土壤环境敏感目标的</w:t>
            </w:r>
          </w:p>
        </w:tc>
      </w:tr>
      <w:tr w14:paraId="5812BE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2" w:type="dxa"/>
            <w:vAlign w:val="center"/>
          </w:tcPr>
          <w:p w14:paraId="1325CAAC">
            <w:pPr>
              <w:pStyle w:val="8"/>
              <w:suppressLineNumbers w:val="0"/>
              <w:bidi w:val="0"/>
              <w:spacing w:before="0" w:beforeAutospacing="0" w:after="0" w:afterAutospacing="0"/>
              <w:ind w:left="0" w:right="0"/>
              <w:rPr>
                <w:rFonts w:hint="default"/>
                <w:highlight w:val="none"/>
              </w:rPr>
            </w:pPr>
            <w:r>
              <w:rPr>
                <w:rFonts w:hint="default"/>
                <w:highlight w:val="none"/>
              </w:rPr>
              <w:t>不敏感</w:t>
            </w:r>
          </w:p>
        </w:tc>
        <w:tc>
          <w:tcPr>
            <w:tcW w:w="7280" w:type="dxa"/>
            <w:vAlign w:val="center"/>
          </w:tcPr>
          <w:p w14:paraId="12CB4E61">
            <w:pPr>
              <w:pStyle w:val="8"/>
              <w:suppressLineNumbers w:val="0"/>
              <w:bidi w:val="0"/>
              <w:spacing w:before="0" w:beforeAutospacing="0" w:after="0" w:afterAutospacing="0"/>
              <w:ind w:left="0" w:right="0"/>
              <w:rPr>
                <w:rFonts w:hint="default"/>
                <w:highlight w:val="none"/>
              </w:rPr>
            </w:pPr>
            <w:r>
              <w:rPr>
                <w:rFonts w:hint="default"/>
                <w:highlight w:val="none"/>
              </w:rPr>
              <w:t>其他情况</w:t>
            </w:r>
          </w:p>
        </w:tc>
      </w:tr>
    </w:tbl>
    <w:p w14:paraId="062EA32B">
      <w:pPr>
        <w:spacing w:line="360" w:lineRule="auto"/>
        <w:ind w:firstLine="480" w:firstLineChars="200"/>
        <w:rPr>
          <w:rFonts w:eastAsiaTheme="minorEastAsia"/>
          <w:snapToGrid w:val="0"/>
          <w:sz w:val="24"/>
          <w:szCs w:val="22"/>
          <w:highlight w:val="none"/>
        </w:rPr>
      </w:pPr>
      <w:r>
        <w:rPr>
          <w:rFonts w:hAnsiTheme="minorEastAsia" w:eastAsiaTheme="minorEastAsia"/>
          <w:snapToGrid w:val="0"/>
          <w:sz w:val="24"/>
          <w:szCs w:val="22"/>
          <w:highlight w:val="none"/>
        </w:rPr>
        <w:t>本项目周</w:t>
      </w:r>
      <w:r>
        <w:rPr>
          <w:rFonts w:hint="eastAsia" w:hAnsiTheme="minorEastAsia" w:eastAsiaTheme="minorEastAsia"/>
          <w:snapToGrid w:val="0"/>
          <w:sz w:val="24"/>
          <w:szCs w:val="22"/>
          <w:highlight w:val="none"/>
          <w:lang w:val="en-US" w:eastAsia="zh-CN"/>
        </w:rPr>
        <w:t>边170m范围内</w:t>
      </w:r>
      <w:r>
        <w:rPr>
          <w:rFonts w:hint="default" w:ascii="Times New Roman" w:hAnsi="Times New Roman" w:cs="Times New Roman" w:eastAsiaTheme="minorEastAsia"/>
          <w:snapToGrid w:val="0"/>
          <w:spacing w:val="0"/>
          <w:position w:val="0"/>
          <w:sz w:val="24"/>
          <w:szCs w:val="22"/>
          <w:highlight w:val="none"/>
        </w:rPr>
        <w:t>存在</w:t>
      </w:r>
      <w:r>
        <w:rPr>
          <w:rFonts w:hint="eastAsia" w:cs="Times New Roman" w:eastAsiaTheme="minorEastAsia"/>
          <w:snapToGrid w:val="0"/>
          <w:spacing w:val="0"/>
          <w:position w:val="0"/>
          <w:sz w:val="24"/>
          <w:szCs w:val="22"/>
          <w:highlight w:val="none"/>
          <w:lang w:eastAsia="zh-CN"/>
        </w:rPr>
        <w:t>耕地</w:t>
      </w:r>
      <w:r>
        <w:rPr>
          <w:rFonts w:hAnsiTheme="minorEastAsia" w:eastAsiaTheme="minorEastAsia"/>
          <w:snapToGrid w:val="0"/>
          <w:sz w:val="24"/>
          <w:szCs w:val="22"/>
          <w:highlight w:val="none"/>
        </w:rPr>
        <w:t>，因此污染影响敏感程度为敏感。</w:t>
      </w:r>
    </w:p>
    <w:p w14:paraId="73352E88">
      <w:pPr>
        <w:spacing w:line="360" w:lineRule="auto"/>
        <w:ind w:firstLine="480" w:firstLineChars="200"/>
        <w:rPr>
          <w:rFonts w:hAnsiTheme="minorEastAsia" w:eastAsiaTheme="minorEastAsia"/>
          <w:snapToGrid w:val="0"/>
          <w:sz w:val="24"/>
          <w:szCs w:val="22"/>
          <w:highlight w:val="none"/>
        </w:rPr>
      </w:pPr>
      <w:r>
        <w:rPr>
          <w:rFonts w:hAnsiTheme="minorEastAsia" w:eastAsiaTheme="minorEastAsia"/>
          <w:snapToGrid w:val="0"/>
          <w:sz w:val="24"/>
          <w:szCs w:val="22"/>
          <w:highlight w:val="none"/>
        </w:rPr>
        <w:t>根据土壤环境影响评价项目类别、占地规模与敏感程度划分评价工作等级，详见下表。</w:t>
      </w:r>
    </w:p>
    <w:p w14:paraId="2DA5B7CB">
      <w:pPr>
        <w:pStyle w:val="7"/>
        <w:bidi w:val="0"/>
        <w:rPr>
          <w:highlight w:val="none"/>
        </w:rPr>
      </w:pPr>
      <w:r>
        <w:rPr>
          <w:rFonts w:hint="default"/>
          <w:highlight w:val="none"/>
        </w:rPr>
        <mc:AlternateContent>
          <mc:Choice Requires="wps">
            <w:drawing>
              <wp:anchor distT="0" distB="0" distL="114300" distR="114300" simplePos="0" relativeHeight="251662336" behindDoc="0" locked="0" layoutInCell="1" allowOverlap="1">
                <wp:simplePos x="0" y="0"/>
                <wp:positionH relativeFrom="column">
                  <wp:posOffset>521335</wp:posOffset>
                </wp:positionH>
                <wp:positionV relativeFrom="paragraph">
                  <wp:posOffset>292735</wp:posOffset>
                </wp:positionV>
                <wp:extent cx="679450" cy="314325"/>
                <wp:effectExtent l="0" t="0" r="0" b="0"/>
                <wp:wrapNone/>
                <wp:docPr id="308" name="文本框 16"/>
                <wp:cNvGraphicFramePr/>
                <a:graphic xmlns:a="http://schemas.openxmlformats.org/drawingml/2006/main">
                  <a:graphicData uri="http://schemas.microsoft.com/office/word/2010/wordprocessingShape">
                    <wps:wsp>
                      <wps:cNvSpPr txBox="1"/>
                      <wps:spPr>
                        <a:xfrm>
                          <a:off x="0" y="0"/>
                          <a:ext cx="679450" cy="314325"/>
                        </a:xfrm>
                        <a:prstGeom prst="rect">
                          <a:avLst/>
                        </a:prstGeom>
                        <a:noFill/>
                        <a:ln>
                          <a:noFill/>
                        </a:ln>
                      </wps:spPr>
                      <wps:txbx>
                        <w:txbxContent>
                          <w:p w14:paraId="4251726D">
                            <w:pPr>
                              <w:ind w:left="0" w:leftChars="0" w:firstLine="0" w:firstLineChars="0"/>
                              <w:rPr>
                                <w:sz w:val="18"/>
                                <w:szCs w:val="18"/>
                              </w:rPr>
                            </w:pPr>
                            <w:r>
                              <w:rPr>
                                <w:rFonts w:hint="eastAsia"/>
                                <w:sz w:val="18"/>
                                <w:szCs w:val="18"/>
                              </w:rPr>
                              <w:t>占地规模</w:t>
                            </w:r>
                          </w:p>
                        </w:txbxContent>
                      </wps:txbx>
                      <wps:bodyPr upright="1"/>
                    </wps:wsp>
                  </a:graphicData>
                </a:graphic>
              </wp:anchor>
            </w:drawing>
          </mc:Choice>
          <mc:Fallback>
            <w:pict>
              <v:shape id="文本框 16" o:spid="_x0000_s1026" o:spt="202" type="#_x0000_t202" style="position:absolute;left:0pt;margin-left:41.05pt;margin-top:23.05pt;height:24.75pt;width:53.5pt;z-index:251662336;mso-width-relative:page;mso-height-relative:page;" filled="f" stroked="f" coordsize="21600,21600" o:gfxdata="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Y7vR1QAA&#10;AAgBAAAPAAAAAAAAAAEAIAAAACIAAABkcnMvZG93bnJldi54bWxQSwECFAAUAAAACACHTuJASFdI&#10;Ma8BAABQAwAADgAAAAAAAAABACAAAAAkAQAAZHJzL2Uyb0RvYy54bWxQSwUGAAAAAAYABgBZAQAA&#10;RQUAAAAA&#10;">
                <v:fill on="f" focussize="0,0"/>
                <v:stroke on="f"/>
                <v:imagedata o:title=""/>
                <o:lock v:ext="edit" aspectratio="f"/>
                <v:textbox>
                  <w:txbxContent>
                    <w:p w14:paraId="4251726D">
                      <w:pPr>
                        <w:ind w:left="0" w:leftChars="0" w:firstLine="0" w:firstLineChars="0"/>
                        <w:rPr>
                          <w:sz w:val="18"/>
                          <w:szCs w:val="18"/>
                        </w:rPr>
                      </w:pPr>
                      <w:r>
                        <w:rPr>
                          <w:rFonts w:hint="eastAsia"/>
                          <w:sz w:val="18"/>
                          <w:szCs w:val="18"/>
                        </w:rPr>
                        <w:t>占地规模</w:t>
                      </w:r>
                    </w:p>
                  </w:txbxContent>
                </v:textbox>
              </v:shape>
            </w:pict>
          </mc:Fallback>
        </mc:AlternateContent>
      </w:r>
      <w:r>
        <w:rPr>
          <w:highlight w:val="none"/>
        </w:rPr>
        <w:t>表2-4-</w:t>
      </w:r>
      <w:r>
        <w:rPr>
          <w:rFonts w:hint="eastAsia"/>
          <w:highlight w:val="none"/>
          <w:lang w:val="en-US" w:eastAsia="zh-CN"/>
        </w:rPr>
        <w:t>14</w:t>
      </w:r>
      <w:r>
        <w:rPr>
          <w:highlight w:val="none"/>
        </w:rPr>
        <w:t>污染影响性评价工作等级划分表</w:t>
      </w:r>
    </w:p>
    <w:tbl>
      <w:tblPr>
        <w:tblStyle w:val="4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709"/>
        <w:gridCol w:w="851"/>
        <w:gridCol w:w="850"/>
        <w:gridCol w:w="709"/>
        <w:gridCol w:w="709"/>
        <w:gridCol w:w="708"/>
        <w:gridCol w:w="709"/>
        <w:gridCol w:w="709"/>
        <w:gridCol w:w="759"/>
      </w:tblGrid>
      <w:tr w14:paraId="5B3F9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Merge w:val="restart"/>
            <w:tcBorders>
              <w:top w:val="single" w:color="auto" w:sz="12" w:space="0"/>
              <w:left w:val="nil"/>
              <w:bottom w:val="single" w:color="auto" w:sz="4" w:space="0"/>
              <w:right w:val="single" w:color="auto" w:sz="4" w:space="0"/>
            </w:tcBorders>
            <w:vAlign w:val="center"/>
          </w:tcPr>
          <w:p w14:paraId="43857E81">
            <w:pPr>
              <w:pStyle w:val="8"/>
              <w:suppressLineNumbers w:val="0"/>
              <w:bidi w:val="0"/>
              <w:spacing w:before="0" w:beforeAutospacing="0" w:after="0" w:afterAutospacing="0"/>
              <w:ind w:left="0" w:right="0"/>
              <w:rPr>
                <w:rFonts w:hint="default"/>
                <w:highlight w:val="none"/>
              </w:rPr>
            </w:pPr>
            <w:r>
              <w:rPr>
                <w:rFonts w:hint="default"/>
                <w:highlight w:val="none"/>
              </w:rPr>
              <mc:AlternateContent>
                <mc:Choice Requires="wps">
                  <w:drawing>
                    <wp:anchor distT="0" distB="0" distL="114300" distR="114300" simplePos="0" relativeHeight="251663360" behindDoc="0" locked="0" layoutInCell="1" allowOverlap="1">
                      <wp:simplePos x="0" y="0"/>
                      <wp:positionH relativeFrom="column">
                        <wp:posOffset>-223520</wp:posOffset>
                      </wp:positionH>
                      <wp:positionV relativeFrom="paragraph">
                        <wp:posOffset>57150</wp:posOffset>
                      </wp:positionV>
                      <wp:extent cx="941070" cy="234950"/>
                      <wp:effectExtent l="0" t="0" r="0" b="0"/>
                      <wp:wrapNone/>
                      <wp:docPr id="309" name="文本框 17"/>
                      <wp:cNvGraphicFramePr/>
                      <a:graphic xmlns:a="http://schemas.openxmlformats.org/drawingml/2006/main">
                        <a:graphicData uri="http://schemas.microsoft.com/office/word/2010/wordprocessingShape">
                          <wps:wsp>
                            <wps:cNvSpPr txBox="1"/>
                            <wps:spPr>
                              <a:xfrm>
                                <a:off x="0" y="0"/>
                                <a:ext cx="941070" cy="234950"/>
                              </a:xfrm>
                              <a:prstGeom prst="rect">
                                <a:avLst/>
                              </a:prstGeom>
                              <a:noFill/>
                              <a:ln>
                                <a:noFill/>
                              </a:ln>
                            </wps:spPr>
                            <wps:txbx>
                              <w:txbxContent>
                                <w:p w14:paraId="791DC7A5">
                                  <w:pPr>
                                    <w:ind w:left="0" w:leftChars="0" w:firstLine="0" w:firstLineChars="0"/>
                                    <w:rPr>
                                      <w:sz w:val="18"/>
                                      <w:szCs w:val="18"/>
                                    </w:rPr>
                                  </w:pPr>
                                  <w:r>
                                    <w:rPr>
                                      <w:rFonts w:hint="eastAsia"/>
                                      <w:sz w:val="18"/>
                                      <w:szCs w:val="18"/>
                                    </w:rPr>
                                    <w:t>评价工作等级</w:t>
                                  </w:r>
                                </w:p>
                              </w:txbxContent>
                            </wps:txbx>
                            <wps:bodyPr upright="1"/>
                          </wps:wsp>
                        </a:graphicData>
                      </a:graphic>
                    </wp:anchor>
                  </w:drawing>
                </mc:Choice>
                <mc:Fallback>
                  <w:pict>
                    <v:shape id="文本框 17" o:spid="_x0000_s1026" o:spt="202" type="#_x0000_t202" style="position:absolute;left:0pt;margin-left:-17.6pt;margin-top:4.5pt;height:18.5pt;width:74.1pt;z-index:251663360;mso-width-relative:page;mso-height-relative:page;" filled="f" stroked="f" coordsize="21600,21600" o:gfxdata="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v72E9UA&#10;AAAIAQAADwAAAAAAAAABACAAAAAiAAAAZHJzL2Rvd25yZXYueG1sUEsBAhQAFAAAAAgAh07iQJ/u&#10;aq2wAQAAUAMAAA4AAAAAAAAAAQAgAAAAJAEAAGRycy9lMm9Eb2MueG1sUEsFBgAAAAAGAAYAWQEA&#10;AEYFAAAAAA==&#10;">
                      <v:fill on="f" focussize="0,0"/>
                      <v:stroke on="f"/>
                      <v:imagedata o:title=""/>
                      <o:lock v:ext="edit" aspectratio="f"/>
                      <v:textbox>
                        <w:txbxContent>
                          <w:p w14:paraId="791DC7A5">
                            <w:pPr>
                              <w:ind w:left="0" w:leftChars="0" w:firstLine="0" w:firstLineChars="0"/>
                              <w:rPr>
                                <w:sz w:val="18"/>
                                <w:szCs w:val="18"/>
                              </w:rPr>
                            </w:pPr>
                            <w:r>
                              <w:rPr>
                                <w:rFonts w:hint="eastAsia"/>
                                <w:sz w:val="18"/>
                                <w:szCs w:val="18"/>
                              </w:rPr>
                              <w:t>评价工作等级</w:t>
                            </w:r>
                          </w:p>
                        </w:txbxContent>
                      </v:textbox>
                    </v:shape>
                  </w:pict>
                </mc:Fallback>
              </mc:AlternateContent>
            </w:r>
            <w:r>
              <w:rPr>
                <w:rFonts w:hint="default"/>
                <w:highlight w:val="none"/>
              </w:rPr>
              <mc:AlternateContent>
                <mc:Choice Requires="wps">
                  <w:drawing>
                    <wp:anchor distT="0" distB="0" distL="114300" distR="114300" simplePos="0" relativeHeight="251664384" behindDoc="0" locked="0" layoutInCell="1" allowOverlap="1">
                      <wp:simplePos x="0" y="0"/>
                      <wp:positionH relativeFrom="column">
                        <wp:posOffset>-144145</wp:posOffset>
                      </wp:positionH>
                      <wp:positionV relativeFrom="paragraph">
                        <wp:posOffset>387350</wp:posOffset>
                      </wp:positionV>
                      <wp:extent cx="941070" cy="262255"/>
                      <wp:effectExtent l="0" t="0" r="0" b="0"/>
                      <wp:wrapNone/>
                      <wp:docPr id="310" name="文本框 20"/>
                      <wp:cNvGraphicFramePr/>
                      <a:graphic xmlns:a="http://schemas.openxmlformats.org/drawingml/2006/main">
                        <a:graphicData uri="http://schemas.microsoft.com/office/word/2010/wordprocessingShape">
                          <wps:wsp>
                            <wps:cNvSpPr txBox="1"/>
                            <wps:spPr>
                              <a:xfrm>
                                <a:off x="0" y="0"/>
                                <a:ext cx="941070" cy="262255"/>
                              </a:xfrm>
                              <a:prstGeom prst="rect">
                                <a:avLst/>
                              </a:prstGeom>
                              <a:noFill/>
                              <a:ln>
                                <a:noFill/>
                              </a:ln>
                            </wps:spPr>
                            <wps:txbx>
                              <w:txbxContent>
                                <w:p w14:paraId="4BE6898F">
                                  <w:pPr>
                                    <w:ind w:left="0" w:leftChars="0" w:firstLine="0" w:firstLineChars="0"/>
                                    <w:rPr>
                                      <w:sz w:val="18"/>
                                      <w:szCs w:val="18"/>
                                    </w:rPr>
                                  </w:pPr>
                                  <w:r>
                                    <w:rPr>
                                      <w:rFonts w:hint="eastAsia"/>
                                      <w:sz w:val="18"/>
                                      <w:szCs w:val="18"/>
                                    </w:rPr>
                                    <w:t>敏感程度</w:t>
                                  </w:r>
                                </w:p>
                              </w:txbxContent>
                            </wps:txbx>
                            <wps:bodyPr upright="1"/>
                          </wps:wsp>
                        </a:graphicData>
                      </a:graphic>
                    </wp:anchor>
                  </w:drawing>
                </mc:Choice>
                <mc:Fallback>
                  <w:pict>
                    <v:shape id="文本框 20" o:spid="_x0000_s1026" o:spt="202" type="#_x0000_t202" style="position:absolute;left:0pt;margin-left:-11.35pt;margin-top:30.5pt;height:20.65pt;width:74.1pt;z-index:251664384;mso-width-relative:page;mso-height-relative:page;" filled="f" stroked="f" coordsize="21600,21600" o:gfxdata="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dRm7dYAAAAK&#10;AQAADwAAAAAAAAABACAAAAAiAAAAZHJzL2Rvd25yZXYueG1sUEsBAhQAFAAAAAgAh07iQD2veaus&#10;AQAAUAMAAA4AAAAAAAAAAQAgAAAAJQEAAGRycy9lMm9Eb2MueG1sUEsFBgAAAAAGAAYAWQEAAEMF&#10;AAAAAA==&#10;">
                      <v:fill on="f" focussize="0,0"/>
                      <v:stroke on="f"/>
                      <v:imagedata o:title=""/>
                      <o:lock v:ext="edit" aspectratio="f"/>
                      <v:textbox>
                        <w:txbxContent>
                          <w:p w14:paraId="4BE6898F">
                            <w:pPr>
                              <w:ind w:left="0" w:leftChars="0" w:firstLine="0" w:firstLineChars="0"/>
                              <w:rPr>
                                <w:sz w:val="18"/>
                                <w:szCs w:val="18"/>
                              </w:rPr>
                            </w:pPr>
                            <w:r>
                              <w:rPr>
                                <w:rFonts w:hint="eastAsia"/>
                                <w:sz w:val="18"/>
                                <w:szCs w:val="18"/>
                              </w:rPr>
                              <w:t>敏感程度</w:t>
                            </w:r>
                          </w:p>
                        </w:txbxContent>
                      </v:textbox>
                    </v:shape>
                  </w:pict>
                </mc:Fallback>
              </mc:AlternateContent>
            </w:r>
            <w:r>
              <w:rPr>
                <w:rFonts w:hint="default"/>
                <w:highlight w:val="none"/>
              </w:rPr>
              <mc:AlternateContent>
                <mc:Choice Requires="wps">
                  <w:drawing>
                    <wp:anchor distT="0" distB="0" distL="114300" distR="114300" simplePos="0" relativeHeight="251661312" behindDoc="0" locked="0" layoutInCell="1" allowOverlap="1">
                      <wp:simplePos x="0" y="0"/>
                      <wp:positionH relativeFrom="column">
                        <wp:posOffset>-131445</wp:posOffset>
                      </wp:positionH>
                      <wp:positionV relativeFrom="paragraph">
                        <wp:posOffset>247650</wp:posOffset>
                      </wp:positionV>
                      <wp:extent cx="1205230" cy="363855"/>
                      <wp:effectExtent l="1270" t="4445" r="12700" b="12700"/>
                      <wp:wrapNone/>
                      <wp:docPr id="307" name="自选图形 18"/>
                      <wp:cNvGraphicFramePr/>
                      <a:graphic xmlns:a="http://schemas.openxmlformats.org/drawingml/2006/main">
                        <a:graphicData uri="http://schemas.microsoft.com/office/word/2010/wordprocessingShape">
                          <wps:wsp>
                            <wps:cNvCnPr/>
                            <wps:spPr>
                              <a:xfrm>
                                <a:off x="0" y="0"/>
                                <a:ext cx="1205230" cy="36385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0.35pt;margin-top:19.5pt;height:28.65pt;width:94.9pt;z-index:251661312;mso-width-relative:page;mso-height-relative:page;" filled="f" stroked="t" coordsize="21600,21600" o:gfxdata="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xSpZ2AAAAAkBAAAPAAAAAAAAAAEAIAAAACIAAABkcnMvZG93bnJldi54&#10;bWxQSwECFAAUAAAACACHTuJAYS1J0foBAADrAwAADgAAAAAAAAABACAAAAAnAQAAZHJzL2Uyb0Rv&#10;Yy54bWxQSwUGAAAAAAYABgBZAQAAkwUAAAAA&#10;">
                      <v:fill on="f" focussize="0,0"/>
                      <v:stroke weight="0.5pt" color="#000000" joinstyle="round"/>
                      <v:imagedata o:title=""/>
                      <o:lock v:ext="edit" aspectratio="f"/>
                    </v:shape>
                  </w:pict>
                </mc:Fallback>
              </mc:AlternateContent>
            </w:r>
            <w:r>
              <w:rPr>
                <w:rFonts w:hint="default"/>
                <w:highlight w:val="none"/>
                <w:lang w:val="zh-CN"/>
              </w:rPr>
              <mc:AlternateContent>
                <mc:Choice Requires="wps">
                  <w:drawing>
                    <wp:anchor distT="0" distB="0" distL="114300" distR="114300" simplePos="0" relativeHeight="251660288" behindDoc="0" locked="0" layoutInCell="1" allowOverlap="1">
                      <wp:simplePos x="0" y="0"/>
                      <wp:positionH relativeFrom="column">
                        <wp:posOffset>417195</wp:posOffset>
                      </wp:positionH>
                      <wp:positionV relativeFrom="paragraph">
                        <wp:posOffset>12700</wp:posOffset>
                      </wp:positionV>
                      <wp:extent cx="659765" cy="596265"/>
                      <wp:effectExtent l="3175" t="3810" r="3810" b="9525"/>
                      <wp:wrapNone/>
                      <wp:docPr id="306" name="自选图形 19"/>
                      <wp:cNvGraphicFramePr/>
                      <a:graphic xmlns:a="http://schemas.openxmlformats.org/drawingml/2006/main">
                        <a:graphicData uri="http://schemas.microsoft.com/office/word/2010/wordprocessingShape">
                          <wps:wsp>
                            <wps:cNvCnPr/>
                            <wps:spPr>
                              <a:xfrm>
                                <a:off x="0" y="0"/>
                                <a:ext cx="659765" cy="59626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32.85pt;margin-top:1pt;height:46.95pt;width:51.95pt;z-index:251660288;mso-width-relative:page;mso-height-relative:page;" filled="f" stroked="t" coordsize="21600,21600" o:gfxdata="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aR3LdYAAAAHAQAADwAAAAAAAAABACAAAAAiAAAAZHJzL2Rvd25yZXYueG1s&#10;UEsBAhQAFAAAAAgAh07iQA0emVL6AQAA6gMAAA4AAAAAAAAAAQAgAAAAJQEAAGRycy9lMm9Eb2Mu&#10;eG1sUEsFBgAAAAAGAAYAWQEAAJEFAAAAAA==&#10;">
                      <v:fill on="f" focussize="0,0"/>
                      <v:stroke weight="0.5pt" color="#000000" joinstyle="round"/>
                      <v:imagedata o:title=""/>
                      <o:lock v:ext="edit" aspectratio="f"/>
                    </v:shape>
                  </w:pict>
                </mc:Fallback>
              </mc:AlternateContent>
            </w:r>
          </w:p>
        </w:tc>
        <w:tc>
          <w:tcPr>
            <w:tcW w:w="2410" w:type="dxa"/>
            <w:gridSpan w:val="3"/>
            <w:tcBorders>
              <w:top w:val="single" w:color="auto" w:sz="12" w:space="0"/>
              <w:left w:val="single" w:color="auto" w:sz="4" w:space="0"/>
              <w:bottom w:val="single" w:color="auto" w:sz="4" w:space="0"/>
              <w:right w:val="single" w:color="auto" w:sz="4" w:space="0"/>
            </w:tcBorders>
            <w:vAlign w:val="center"/>
          </w:tcPr>
          <w:p w14:paraId="2AD9B838">
            <w:pPr>
              <w:pStyle w:val="8"/>
              <w:suppressLineNumbers w:val="0"/>
              <w:bidi w:val="0"/>
              <w:spacing w:before="0" w:beforeAutospacing="0" w:after="0" w:afterAutospacing="0"/>
              <w:ind w:left="0" w:right="0"/>
              <w:rPr>
                <w:rFonts w:hint="default"/>
                <w:highlight w:val="none"/>
              </w:rPr>
            </w:pPr>
            <w:r>
              <w:rPr>
                <w:rFonts w:hint="default"/>
                <w:highlight w:val="none"/>
              </w:rPr>
              <w:t>Ⅰ类</w:t>
            </w:r>
          </w:p>
        </w:tc>
        <w:tc>
          <w:tcPr>
            <w:tcW w:w="2126" w:type="dxa"/>
            <w:gridSpan w:val="3"/>
            <w:tcBorders>
              <w:top w:val="single" w:color="auto" w:sz="12" w:space="0"/>
              <w:left w:val="single" w:color="auto" w:sz="4" w:space="0"/>
              <w:bottom w:val="single" w:color="auto" w:sz="4" w:space="0"/>
              <w:right w:val="single" w:color="auto" w:sz="4" w:space="0"/>
            </w:tcBorders>
            <w:vAlign w:val="center"/>
          </w:tcPr>
          <w:p w14:paraId="2DD35805">
            <w:pPr>
              <w:pStyle w:val="8"/>
              <w:suppressLineNumbers w:val="0"/>
              <w:bidi w:val="0"/>
              <w:spacing w:before="0" w:beforeAutospacing="0" w:after="0" w:afterAutospacing="0"/>
              <w:ind w:left="0" w:right="0"/>
              <w:rPr>
                <w:rFonts w:hint="default"/>
                <w:highlight w:val="none"/>
              </w:rPr>
            </w:pPr>
            <w:r>
              <w:rPr>
                <w:rFonts w:hint="default"/>
                <w:highlight w:val="none"/>
              </w:rPr>
              <w:t>Ⅱ类</w:t>
            </w:r>
          </w:p>
        </w:tc>
        <w:tc>
          <w:tcPr>
            <w:tcW w:w="2177" w:type="dxa"/>
            <w:gridSpan w:val="3"/>
            <w:tcBorders>
              <w:top w:val="single" w:color="auto" w:sz="12" w:space="0"/>
              <w:left w:val="single" w:color="auto" w:sz="4" w:space="0"/>
              <w:bottom w:val="single" w:color="auto" w:sz="4" w:space="0"/>
              <w:right w:val="nil"/>
            </w:tcBorders>
            <w:vAlign w:val="center"/>
          </w:tcPr>
          <w:p w14:paraId="03551E90">
            <w:pPr>
              <w:pStyle w:val="8"/>
              <w:suppressLineNumbers w:val="0"/>
              <w:bidi w:val="0"/>
              <w:spacing w:before="0" w:beforeAutospacing="0" w:after="0" w:afterAutospacing="0"/>
              <w:ind w:left="0" w:right="0"/>
              <w:rPr>
                <w:rFonts w:hint="default"/>
                <w:highlight w:val="none"/>
              </w:rPr>
            </w:pPr>
            <w:r>
              <w:rPr>
                <w:rFonts w:hint="default"/>
                <w:highlight w:val="none"/>
              </w:rPr>
              <w:t>Ⅲ类</w:t>
            </w:r>
          </w:p>
        </w:tc>
      </w:tr>
      <w:tr w14:paraId="41F44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0" w:type="auto"/>
            <w:vMerge w:val="continue"/>
            <w:tcBorders>
              <w:top w:val="single" w:color="auto" w:sz="12" w:space="0"/>
              <w:left w:val="nil"/>
              <w:bottom w:val="single" w:color="auto" w:sz="4" w:space="0"/>
              <w:right w:val="single" w:color="auto" w:sz="4" w:space="0"/>
            </w:tcBorders>
            <w:vAlign w:val="center"/>
          </w:tcPr>
          <w:p w14:paraId="597EA8F9">
            <w:pPr>
              <w:pStyle w:val="8"/>
              <w:suppressLineNumbers w:val="0"/>
              <w:bidi w:val="0"/>
              <w:spacing w:before="0" w:beforeAutospacing="0" w:after="0" w:afterAutospacing="0"/>
              <w:ind w:left="0" w:right="0"/>
              <w:rPr>
                <w:rFonts w:hint="default"/>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399DD74">
            <w:pPr>
              <w:pStyle w:val="8"/>
              <w:suppressLineNumbers w:val="0"/>
              <w:bidi w:val="0"/>
              <w:spacing w:before="0" w:beforeAutospacing="0" w:after="0" w:afterAutospacing="0"/>
              <w:ind w:left="0" w:right="0"/>
              <w:rPr>
                <w:rFonts w:hint="default"/>
                <w:highlight w:val="none"/>
              </w:rPr>
            </w:pPr>
            <w:r>
              <w:rPr>
                <w:rFonts w:hint="default"/>
                <w:highlight w:val="none"/>
              </w:rPr>
              <w:t>大</w:t>
            </w:r>
          </w:p>
        </w:tc>
        <w:tc>
          <w:tcPr>
            <w:tcW w:w="851" w:type="dxa"/>
            <w:tcBorders>
              <w:top w:val="single" w:color="auto" w:sz="4" w:space="0"/>
              <w:left w:val="single" w:color="auto" w:sz="4" w:space="0"/>
              <w:bottom w:val="single" w:color="auto" w:sz="4" w:space="0"/>
              <w:right w:val="single" w:color="auto" w:sz="4" w:space="0"/>
            </w:tcBorders>
            <w:vAlign w:val="center"/>
          </w:tcPr>
          <w:p w14:paraId="2CBD98CA">
            <w:pPr>
              <w:pStyle w:val="8"/>
              <w:suppressLineNumbers w:val="0"/>
              <w:bidi w:val="0"/>
              <w:spacing w:before="0" w:beforeAutospacing="0" w:after="0" w:afterAutospacing="0"/>
              <w:ind w:left="0" w:right="0"/>
              <w:rPr>
                <w:rFonts w:hint="default"/>
                <w:highlight w:val="none"/>
              </w:rPr>
            </w:pPr>
            <w:r>
              <w:rPr>
                <w:rFonts w:hint="default"/>
                <w:highlight w:val="none"/>
              </w:rPr>
              <w:t>中</w:t>
            </w:r>
          </w:p>
        </w:tc>
        <w:tc>
          <w:tcPr>
            <w:tcW w:w="850" w:type="dxa"/>
            <w:tcBorders>
              <w:top w:val="single" w:color="auto" w:sz="4" w:space="0"/>
              <w:left w:val="single" w:color="auto" w:sz="4" w:space="0"/>
              <w:bottom w:val="single" w:color="auto" w:sz="4" w:space="0"/>
              <w:right w:val="single" w:color="auto" w:sz="4" w:space="0"/>
            </w:tcBorders>
            <w:vAlign w:val="center"/>
          </w:tcPr>
          <w:p w14:paraId="70811934">
            <w:pPr>
              <w:pStyle w:val="8"/>
              <w:suppressLineNumbers w:val="0"/>
              <w:bidi w:val="0"/>
              <w:spacing w:before="0" w:beforeAutospacing="0" w:after="0" w:afterAutospacing="0"/>
              <w:ind w:left="0" w:right="0"/>
              <w:rPr>
                <w:rFonts w:hint="default"/>
                <w:highlight w:val="none"/>
              </w:rPr>
            </w:pPr>
            <w:r>
              <w:rPr>
                <w:rFonts w:hint="default"/>
                <w:highlight w:val="none"/>
              </w:rPr>
              <w:t>小</w:t>
            </w:r>
          </w:p>
        </w:tc>
        <w:tc>
          <w:tcPr>
            <w:tcW w:w="709" w:type="dxa"/>
            <w:tcBorders>
              <w:top w:val="single" w:color="auto" w:sz="4" w:space="0"/>
              <w:left w:val="single" w:color="auto" w:sz="4" w:space="0"/>
              <w:bottom w:val="single" w:color="auto" w:sz="4" w:space="0"/>
              <w:right w:val="single" w:color="auto" w:sz="4" w:space="0"/>
            </w:tcBorders>
            <w:vAlign w:val="center"/>
          </w:tcPr>
          <w:p w14:paraId="26D2AEB9">
            <w:pPr>
              <w:pStyle w:val="8"/>
              <w:suppressLineNumbers w:val="0"/>
              <w:bidi w:val="0"/>
              <w:spacing w:before="0" w:beforeAutospacing="0" w:after="0" w:afterAutospacing="0"/>
              <w:ind w:left="0" w:right="0"/>
              <w:rPr>
                <w:rFonts w:hint="default"/>
                <w:highlight w:val="none"/>
              </w:rPr>
            </w:pPr>
            <w:r>
              <w:rPr>
                <w:rFonts w:hint="default"/>
                <w:highlight w:val="none"/>
              </w:rPr>
              <w:t>大</w:t>
            </w:r>
          </w:p>
        </w:tc>
        <w:tc>
          <w:tcPr>
            <w:tcW w:w="709" w:type="dxa"/>
            <w:tcBorders>
              <w:top w:val="single" w:color="auto" w:sz="4" w:space="0"/>
              <w:left w:val="single" w:color="auto" w:sz="4" w:space="0"/>
              <w:bottom w:val="single" w:color="auto" w:sz="4" w:space="0"/>
              <w:right w:val="single" w:color="auto" w:sz="4" w:space="0"/>
            </w:tcBorders>
            <w:vAlign w:val="center"/>
          </w:tcPr>
          <w:p w14:paraId="61A537CB">
            <w:pPr>
              <w:pStyle w:val="8"/>
              <w:suppressLineNumbers w:val="0"/>
              <w:bidi w:val="0"/>
              <w:spacing w:before="0" w:beforeAutospacing="0" w:after="0" w:afterAutospacing="0"/>
              <w:ind w:left="0" w:right="0"/>
              <w:rPr>
                <w:rFonts w:hint="default"/>
                <w:highlight w:val="none"/>
              </w:rPr>
            </w:pPr>
            <w:r>
              <w:rPr>
                <w:rFonts w:hint="default"/>
                <w:highlight w:val="none"/>
              </w:rPr>
              <w:t>中</w:t>
            </w:r>
          </w:p>
        </w:tc>
        <w:tc>
          <w:tcPr>
            <w:tcW w:w="708" w:type="dxa"/>
            <w:tcBorders>
              <w:top w:val="single" w:color="auto" w:sz="4" w:space="0"/>
              <w:left w:val="single" w:color="auto" w:sz="4" w:space="0"/>
              <w:bottom w:val="single" w:color="auto" w:sz="4" w:space="0"/>
              <w:right w:val="single" w:color="auto" w:sz="4" w:space="0"/>
            </w:tcBorders>
            <w:vAlign w:val="center"/>
          </w:tcPr>
          <w:p w14:paraId="3F92CC0C">
            <w:pPr>
              <w:pStyle w:val="8"/>
              <w:suppressLineNumbers w:val="0"/>
              <w:bidi w:val="0"/>
              <w:spacing w:before="0" w:beforeAutospacing="0" w:after="0" w:afterAutospacing="0"/>
              <w:ind w:left="0" w:right="0"/>
              <w:rPr>
                <w:rFonts w:hint="default"/>
                <w:highlight w:val="none"/>
              </w:rPr>
            </w:pPr>
            <w:r>
              <w:rPr>
                <w:rFonts w:hint="default"/>
                <w:highlight w:val="none"/>
              </w:rPr>
              <w:t>小</w:t>
            </w:r>
          </w:p>
        </w:tc>
        <w:tc>
          <w:tcPr>
            <w:tcW w:w="709" w:type="dxa"/>
            <w:tcBorders>
              <w:top w:val="single" w:color="auto" w:sz="4" w:space="0"/>
              <w:left w:val="single" w:color="auto" w:sz="4" w:space="0"/>
              <w:bottom w:val="single" w:color="auto" w:sz="4" w:space="0"/>
              <w:right w:val="single" w:color="auto" w:sz="4" w:space="0"/>
            </w:tcBorders>
            <w:vAlign w:val="center"/>
          </w:tcPr>
          <w:p w14:paraId="1B3D06B3">
            <w:pPr>
              <w:pStyle w:val="8"/>
              <w:suppressLineNumbers w:val="0"/>
              <w:bidi w:val="0"/>
              <w:spacing w:before="0" w:beforeAutospacing="0" w:after="0" w:afterAutospacing="0"/>
              <w:ind w:left="0" w:right="0"/>
              <w:rPr>
                <w:rFonts w:hint="default"/>
                <w:highlight w:val="none"/>
              </w:rPr>
            </w:pPr>
            <w:r>
              <w:rPr>
                <w:rFonts w:hint="default"/>
                <w:highlight w:val="none"/>
              </w:rPr>
              <w:t>大</w:t>
            </w:r>
          </w:p>
        </w:tc>
        <w:tc>
          <w:tcPr>
            <w:tcW w:w="709" w:type="dxa"/>
            <w:tcBorders>
              <w:top w:val="single" w:color="auto" w:sz="4" w:space="0"/>
              <w:left w:val="single" w:color="auto" w:sz="4" w:space="0"/>
              <w:bottom w:val="single" w:color="auto" w:sz="4" w:space="0"/>
              <w:right w:val="single" w:color="auto" w:sz="4" w:space="0"/>
            </w:tcBorders>
            <w:vAlign w:val="center"/>
          </w:tcPr>
          <w:p w14:paraId="15D21D41">
            <w:pPr>
              <w:pStyle w:val="8"/>
              <w:suppressLineNumbers w:val="0"/>
              <w:bidi w:val="0"/>
              <w:spacing w:before="0" w:beforeAutospacing="0" w:after="0" w:afterAutospacing="0"/>
              <w:ind w:left="0" w:right="0"/>
              <w:rPr>
                <w:rFonts w:hint="default"/>
                <w:highlight w:val="none"/>
              </w:rPr>
            </w:pPr>
            <w:r>
              <w:rPr>
                <w:rFonts w:hint="default"/>
                <w:highlight w:val="none"/>
              </w:rPr>
              <w:t>中</w:t>
            </w:r>
          </w:p>
        </w:tc>
        <w:tc>
          <w:tcPr>
            <w:tcW w:w="759" w:type="dxa"/>
            <w:tcBorders>
              <w:top w:val="single" w:color="auto" w:sz="4" w:space="0"/>
              <w:left w:val="single" w:color="auto" w:sz="4" w:space="0"/>
              <w:bottom w:val="single" w:color="auto" w:sz="4" w:space="0"/>
              <w:right w:val="nil"/>
            </w:tcBorders>
            <w:vAlign w:val="center"/>
          </w:tcPr>
          <w:p w14:paraId="23677D42">
            <w:pPr>
              <w:pStyle w:val="8"/>
              <w:suppressLineNumbers w:val="0"/>
              <w:bidi w:val="0"/>
              <w:spacing w:before="0" w:beforeAutospacing="0" w:after="0" w:afterAutospacing="0"/>
              <w:ind w:left="0" w:right="0"/>
              <w:rPr>
                <w:rFonts w:hint="default"/>
                <w:highlight w:val="none"/>
              </w:rPr>
            </w:pPr>
            <w:r>
              <w:rPr>
                <w:rFonts w:hint="default"/>
                <w:highlight w:val="none"/>
              </w:rPr>
              <w:t>小</w:t>
            </w:r>
          </w:p>
        </w:tc>
      </w:tr>
      <w:tr w14:paraId="14CA3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single" w:color="auto" w:sz="4" w:space="0"/>
              <w:left w:val="nil"/>
              <w:bottom w:val="single" w:color="auto" w:sz="4" w:space="0"/>
              <w:right w:val="single" w:color="auto" w:sz="4" w:space="0"/>
            </w:tcBorders>
            <w:vAlign w:val="center"/>
          </w:tcPr>
          <w:p w14:paraId="40C1D4DB">
            <w:pPr>
              <w:pStyle w:val="8"/>
              <w:suppressLineNumbers w:val="0"/>
              <w:bidi w:val="0"/>
              <w:spacing w:before="0" w:beforeAutospacing="0" w:after="0" w:afterAutospacing="0"/>
              <w:ind w:left="0" w:right="0"/>
              <w:rPr>
                <w:rFonts w:hint="default"/>
                <w:highlight w:val="none"/>
              </w:rPr>
            </w:pPr>
            <w:r>
              <w:rPr>
                <w:rFonts w:hint="default"/>
                <w:highlight w:val="none"/>
              </w:rPr>
              <w:t>敏感</w:t>
            </w:r>
          </w:p>
        </w:tc>
        <w:tc>
          <w:tcPr>
            <w:tcW w:w="709" w:type="dxa"/>
            <w:tcBorders>
              <w:top w:val="single" w:color="auto" w:sz="4" w:space="0"/>
              <w:left w:val="single" w:color="auto" w:sz="4" w:space="0"/>
              <w:bottom w:val="single" w:color="auto" w:sz="4" w:space="0"/>
              <w:right w:val="single" w:color="auto" w:sz="4" w:space="0"/>
            </w:tcBorders>
            <w:vAlign w:val="center"/>
          </w:tcPr>
          <w:p w14:paraId="3D8D48D5">
            <w:pPr>
              <w:pStyle w:val="8"/>
              <w:suppressLineNumbers w:val="0"/>
              <w:bidi w:val="0"/>
              <w:spacing w:before="0" w:beforeAutospacing="0" w:after="0" w:afterAutospacing="0"/>
              <w:ind w:left="0" w:right="0"/>
              <w:rPr>
                <w:rFonts w:hint="default"/>
                <w:highlight w:val="none"/>
              </w:rPr>
            </w:pPr>
            <w:r>
              <w:rPr>
                <w:rFonts w:hint="default"/>
                <w:highlight w:val="none"/>
              </w:rPr>
              <w:t>一级</w:t>
            </w:r>
          </w:p>
        </w:tc>
        <w:tc>
          <w:tcPr>
            <w:tcW w:w="851" w:type="dxa"/>
            <w:tcBorders>
              <w:top w:val="single" w:color="auto" w:sz="4" w:space="0"/>
              <w:left w:val="single" w:color="auto" w:sz="4" w:space="0"/>
              <w:bottom w:val="single" w:color="auto" w:sz="4" w:space="0"/>
              <w:right w:val="single" w:color="auto" w:sz="4" w:space="0"/>
            </w:tcBorders>
            <w:vAlign w:val="center"/>
          </w:tcPr>
          <w:p w14:paraId="64F98906">
            <w:pPr>
              <w:pStyle w:val="8"/>
              <w:suppressLineNumbers w:val="0"/>
              <w:bidi w:val="0"/>
              <w:spacing w:before="0" w:beforeAutospacing="0" w:after="0" w:afterAutospacing="0"/>
              <w:ind w:left="0" w:right="0"/>
              <w:rPr>
                <w:rFonts w:hint="default"/>
                <w:highlight w:val="none"/>
              </w:rPr>
            </w:pPr>
            <w:r>
              <w:rPr>
                <w:rFonts w:hint="default"/>
                <w:highlight w:val="none"/>
              </w:rPr>
              <w:t>一级</w:t>
            </w:r>
          </w:p>
        </w:tc>
        <w:tc>
          <w:tcPr>
            <w:tcW w:w="850" w:type="dxa"/>
            <w:tcBorders>
              <w:top w:val="single" w:color="auto" w:sz="4" w:space="0"/>
              <w:left w:val="single" w:color="auto" w:sz="4" w:space="0"/>
              <w:bottom w:val="single" w:color="auto" w:sz="4" w:space="0"/>
              <w:right w:val="single" w:color="auto" w:sz="4" w:space="0"/>
            </w:tcBorders>
            <w:vAlign w:val="center"/>
          </w:tcPr>
          <w:p w14:paraId="6DD10495">
            <w:pPr>
              <w:pStyle w:val="8"/>
              <w:suppressLineNumbers w:val="0"/>
              <w:bidi w:val="0"/>
              <w:spacing w:before="0" w:beforeAutospacing="0" w:after="0" w:afterAutospacing="0"/>
              <w:ind w:left="0" w:right="0"/>
              <w:rPr>
                <w:rFonts w:hint="default"/>
                <w:highlight w:val="none"/>
              </w:rPr>
            </w:pPr>
            <w:r>
              <w:rPr>
                <w:rFonts w:hint="default"/>
                <w:b/>
                <w:bCs/>
                <w:highlight w:val="none"/>
              </w:rPr>
              <w:t>一级</w:t>
            </w:r>
          </w:p>
        </w:tc>
        <w:tc>
          <w:tcPr>
            <w:tcW w:w="709" w:type="dxa"/>
            <w:tcBorders>
              <w:top w:val="single" w:color="auto" w:sz="4" w:space="0"/>
              <w:left w:val="single" w:color="auto" w:sz="4" w:space="0"/>
              <w:bottom w:val="single" w:color="auto" w:sz="4" w:space="0"/>
              <w:right w:val="single" w:color="auto" w:sz="4" w:space="0"/>
            </w:tcBorders>
            <w:vAlign w:val="center"/>
          </w:tcPr>
          <w:p w14:paraId="775623F4">
            <w:pPr>
              <w:pStyle w:val="8"/>
              <w:suppressLineNumbers w:val="0"/>
              <w:bidi w:val="0"/>
              <w:spacing w:before="0" w:beforeAutospacing="0" w:after="0" w:afterAutospacing="0"/>
              <w:ind w:left="0" w:right="0"/>
              <w:rPr>
                <w:rFonts w:hint="default"/>
                <w:highlight w:val="none"/>
              </w:rPr>
            </w:pPr>
            <w:r>
              <w:rPr>
                <w:rFonts w:hint="default"/>
                <w:highlight w:val="none"/>
              </w:rPr>
              <w:t>二级</w:t>
            </w:r>
          </w:p>
        </w:tc>
        <w:tc>
          <w:tcPr>
            <w:tcW w:w="709" w:type="dxa"/>
            <w:tcBorders>
              <w:top w:val="single" w:color="auto" w:sz="4" w:space="0"/>
              <w:left w:val="single" w:color="auto" w:sz="4" w:space="0"/>
              <w:bottom w:val="single" w:color="auto" w:sz="4" w:space="0"/>
              <w:right w:val="single" w:color="auto" w:sz="4" w:space="0"/>
            </w:tcBorders>
            <w:vAlign w:val="center"/>
          </w:tcPr>
          <w:p w14:paraId="25C06AFC">
            <w:pPr>
              <w:pStyle w:val="8"/>
              <w:suppressLineNumbers w:val="0"/>
              <w:bidi w:val="0"/>
              <w:spacing w:before="0" w:beforeAutospacing="0" w:after="0" w:afterAutospacing="0"/>
              <w:ind w:left="0" w:right="0"/>
              <w:rPr>
                <w:rFonts w:hint="default"/>
                <w:highlight w:val="none"/>
              </w:rPr>
            </w:pPr>
            <w:r>
              <w:rPr>
                <w:rFonts w:hint="default"/>
                <w:highlight w:val="none"/>
              </w:rPr>
              <w:t>二级</w:t>
            </w:r>
          </w:p>
        </w:tc>
        <w:tc>
          <w:tcPr>
            <w:tcW w:w="708" w:type="dxa"/>
            <w:tcBorders>
              <w:top w:val="single" w:color="auto" w:sz="4" w:space="0"/>
              <w:left w:val="single" w:color="auto" w:sz="4" w:space="0"/>
              <w:bottom w:val="single" w:color="auto" w:sz="4" w:space="0"/>
              <w:right w:val="single" w:color="auto" w:sz="4" w:space="0"/>
            </w:tcBorders>
            <w:vAlign w:val="center"/>
          </w:tcPr>
          <w:p w14:paraId="4D03DA36">
            <w:pPr>
              <w:pStyle w:val="8"/>
              <w:suppressLineNumbers w:val="0"/>
              <w:bidi w:val="0"/>
              <w:spacing w:before="0" w:beforeAutospacing="0" w:after="0" w:afterAutospacing="0"/>
              <w:ind w:left="0" w:right="0"/>
              <w:rPr>
                <w:rFonts w:hint="default"/>
                <w:highlight w:val="none"/>
              </w:rPr>
            </w:pPr>
            <w:r>
              <w:rPr>
                <w:rFonts w:hint="default"/>
                <w:highlight w:val="none"/>
              </w:rPr>
              <w:t>二级</w:t>
            </w:r>
          </w:p>
        </w:tc>
        <w:tc>
          <w:tcPr>
            <w:tcW w:w="709" w:type="dxa"/>
            <w:tcBorders>
              <w:top w:val="single" w:color="auto" w:sz="4" w:space="0"/>
              <w:left w:val="single" w:color="auto" w:sz="4" w:space="0"/>
              <w:bottom w:val="single" w:color="auto" w:sz="4" w:space="0"/>
              <w:right w:val="single" w:color="auto" w:sz="4" w:space="0"/>
            </w:tcBorders>
            <w:vAlign w:val="center"/>
          </w:tcPr>
          <w:p w14:paraId="7105D9C8">
            <w:pPr>
              <w:pStyle w:val="8"/>
              <w:suppressLineNumbers w:val="0"/>
              <w:bidi w:val="0"/>
              <w:spacing w:before="0" w:beforeAutospacing="0" w:after="0" w:afterAutospacing="0"/>
              <w:ind w:left="0" w:right="0"/>
              <w:rPr>
                <w:rFonts w:hint="default"/>
                <w:highlight w:val="none"/>
              </w:rPr>
            </w:pPr>
            <w:r>
              <w:rPr>
                <w:rFonts w:hint="default"/>
                <w:highlight w:val="none"/>
              </w:rPr>
              <w:t>三级</w:t>
            </w:r>
          </w:p>
        </w:tc>
        <w:tc>
          <w:tcPr>
            <w:tcW w:w="709" w:type="dxa"/>
            <w:tcBorders>
              <w:top w:val="single" w:color="auto" w:sz="4" w:space="0"/>
              <w:left w:val="single" w:color="auto" w:sz="4" w:space="0"/>
              <w:bottom w:val="single" w:color="auto" w:sz="4" w:space="0"/>
              <w:right w:val="single" w:color="auto" w:sz="4" w:space="0"/>
            </w:tcBorders>
            <w:vAlign w:val="center"/>
          </w:tcPr>
          <w:p w14:paraId="2FFF28AB">
            <w:pPr>
              <w:pStyle w:val="8"/>
              <w:suppressLineNumbers w:val="0"/>
              <w:bidi w:val="0"/>
              <w:spacing w:before="0" w:beforeAutospacing="0" w:after="0" w:afterAutospacing="0"/>
              <w:ind w:left="0" w:right="0"/>
              <w:rPr>
                <w:rFonts w:hint="default"/>
                <w:highlight w:val="none"/>
              </w:rPr>
            </w:pPr>
            <w:r>
              <w:rPr>
                <w:rFonts w:hint="default"/>
                <w:highlight w:val="none"/>
              </w:rPr>
              <w:t>三级</w:t>
            </w:r>
          </w:p>
        </w:tc>
        <w:tc>
          <w:tcPr>
            <w:tcW w:w="759" w:type="dxa"/>
            <w:tcBorders>
              <w:top w:val="single" w:color="auto" w:sz="4" w:space="0"/>
              <w:left w:val="single" w:color="auto" w:sz="4" w:space="0"/>
              <w:bottom w:val="single" w:color="auto" w:sz="4" w:space="0"/>
              <w:right w:val="nil"/>
            </w:tcBorders>
            <w:vAlign w:val="center"/>
          </w:tcPr>
          <w:p w14:paraId="57075DE8">
            <w:pPr>
              <w:pStyle w:val="8"/>
              <w:suppressLineNumbers w:val="0"/>
              <w:bidi w:val="0"/>
              <w:spacing w:before="0" w:beforeAutospacing="0" w:after="0" w:afterAutospacing="0"/>
              <w:ind w:left="0" w:right="0"/>
              <w:rPr>
                <w:rFonts w:hint="default"/>
                <w:highlight w:val="none"/>
              </w:rPr>
            </w:pPr>
            <w:r>
              <w:rPr>
                <w:rFonts w:hint="default"/>
                <w:highlight w:val="none"/>
              </w:rPr>
              <w:t>三级</w:t>
            </w:r>
          </w:p>
        </w:tc>
      </w:tr>
      <w:tr w14:paraId="64747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single" w:color="auto" w:sz="4" w:space="0"/>
              <w:left w:val="nil"/>
              <w:bottom w:val="single" w:color="auto" w:sz="4" w:space="0"/>
              <w:right w:val="single" w:color="auto" w:sz="4" w:space="0"/>
            </w:tcBorders>
            <w:vAlign w:val="center"/>
          </w:tcPr>
          <w:p w14:paraId="7DCFA411">
            <w:pPr>
              <w:pStyle w:val="8"/>
              <w:suppressLineNumbers w:val="0"/>
              <w:bidi w:val="0"/>
              <w:spacing w:before="0" w:beforeAutospacing="0" w:after="0" w:afterAutospacing="0"/>
              <w:ind w:left="0" w:right="0"/>
              <w:rPr>
                <w:rFonts w:hint="default"/>
                <w:highlight w:val="none"/>
              </w:rPr>
            </w:pPr>
            <w:r>
              <w:rPr>
                <w:rFonts w:hint="default"/>
                <w:highlight w:val="none"/>
              </w:rPr>
              <w:t>较敏感</w:t>
            </w:r>
          </w:p>
        </w:tc>
        <w:tc>
          <w:tcPr>
            <w:tcW w:w="709" w:type="dxa"/>
            <w:tcBorders>
              <w:top w:val="single" w:color="auto" w:sz="4" w:space="0"/>
              <w:left w:val="single" w:color="auto" w:sz="4" w:space="0"/>
              <w:bottom w:val="single" w:color="auto" w:sz="4" w:space="0"/>
              <w:right w:val="single" w:color="auto" w:sz="4" w:space="0"/>
            </w:tcBorders>
            <w:vAlign w:val="center"/>
          </w:tcPr>
          <w:p w14:paraId="0173815D">
            <w:pPr>
              <w:pStyle w:val="8"/>
              <w:suppressLineNumbers w:val="0"/>
              <w:bidi w:val="0"/>
              <w:spacing w:before="0" w:beforeAutospacing="0" w:after="0" w:afterAutospacing="0"/>
              <w:ind w:left="0" w:right="0"/>
              <w:rPr>
                <w:rFonts w:hint="default"/>
                <w:highlight w:val="none"/>
              </w:rPr>
            </w:pPr>
            <w:r>
              <w:rPr>
                <w:rFonts w:hint="default"/>
                <w:highlight w:val="none"/>
              </w:rPr>
              <w:t>一级</w:t>
            </w:r>
          </w:p>
        </w:tc>
        <w:tc>
          <w:tcPr>
            <w:tcW w:w="851" w:type="dxa"/>
            <w:tcBorders>
              <w:top w:val="single" w:color="auto" w:sz="4" w:space="0"/>
              <w:left w:val="single" w:color="auto" w:sz="4" w:space="0"/>
              <w:bottom w:val="single" w:color="auto" w:sz="4" w:space="0"/>
              <w:right w:val="single" w:color="auto" w:sz="4" w:space="0"/>
            </w:tcBorders>
            <w:vAlign w:val="center"/>
          </w:tcPr>
          <w:p w14:paraId="4A9E15B7">
            <w:pPr>
              <w:pStyle w:val="8"/>
              <w:suppressLineNumbers w:val="0"/>
              <w:bidi w:val="0"/>
              <w:spacing w:before="0" w:beforeAutospacing="0" w:after="0" w:afterAutospacing="0"/>
              <w:ind w:left="0" w:right="0"/>
              <w:rPr>
                <w:rFonts w:hint="default"/>
                <w:highlight w:val="none"/>
              </w:rPr>
            </w:pPr>
            <w:r>
              <w:rPr>
                <w:rFonts w:hint="default"/>
                <w:highlight w:val="none"/>
              </w:rPr>
              <w:t>一级</w:t>
            </w:r>
          </w:p>
        </w:tc>
        <w:tc>
          <w:tcPr>
            <w:tcW w:w="850" w:type="dxa"/>
            <w:tcBorders>
              <w:top w:val="single" w:color="auto" w:sz="4" w:space="0"/>
              <w:left w:val="single" w:color="auto" w:sz="4" w:space="0"/>
              <w:bottom w:val="single" w:color="auto" w:sz="4" w:space="0"/>
              <w:right w:val="single" w:color="auto" w:sz="4" w:space="0"/>
            </w:tcBorders>
            <w:vAlign w:val="center"/>
          </w:tcPr>
          <w:p w14:paraId="4D899462">
            <w:pPr>
              <w:pStyle w:val="8"/>
              <w:suppressLineNumbers w:val="0"/>
              <w:bidi w:val="0"/>
              <w:spacing w:before="0" w:beforeAutospacing="0" w:after="0" w:afterAutospacing="0"/>
              <w:ind w:left="0" w:right="0"/>
              <w:rPr>
                <w:rFonts w:hint="default"/>
                <w:highlight w:val="none"/>
              </w:rPr>
            </w:pPr>
            <w:r>
              <w:rPr>
                <w:rFonts w:hint="default"/>
                <w:highlight w:val="none"/>
              </w:rPr>
              <w:t>二级</w:t>
            </w:r>
          </w:p>
        </w:tc>
        <w:tc>
          <w:tcPr>
            <w:tcW w:w="709" w:type="dxa"/>
            <w:tcBorders>
              <w:top w:val="single" w:color="auto" w:sz="4" w:space="0"/>
              <w:left w:val="single" w:color="auto" w:sz="4" w:space="0"/>
              <w:bottom w:val="single" w:color="auto" w:sz="4" w:space="0"/>
              <w:right w:val="single" w:color="auto" w:sz="4" w:space="0"/>
            </w:tcBorders>
            <w:vAlign w:val="center"/>
          </w:tcPr>
          <w:p w14:paraId="0337E43A">
            <w:pPr>
              <w:pStyle w:val="8"/>
              <w:suppressLineNumbers w:val="0"/>
              <w:bidi w:val="0"/>
              <w:spacing w:before="0" w:beforeAutospacing="0" w:after="0" w:afterAutospacing="0"/>
              <w:ind w:left="0" w:right="0"/>
              <w:rPr>
                <w:rFonts w:hint="default"/>
                <w:highlight w:val="none"/>
              </w:rPr>
            </w:pPr>
            <w:r>
              <w:rPr>
                <w:rFonts w:hint="default"/>
                <w:highlight w:val="none"/>
              </w:rPr>
              <w:t>二级</w:t>
            </w:r>
          </w:p>
        </w:tc>
        <w:tc>
          <w:tcPr>
            <w:tcW w:w="709" w:type="dxa"/>
            <w:tcBorders>
              <w:top w:val="single" w:color="auto" w:sz="4" w:space="0"/>
              <w:left w:val="single" w:color="auto" w:sz="4" w:space="0"/>
              <w:bottom w:val="single" w:color="auto" w:sz="4" w:space="0"/>
              <w:right w:val="single" w:color="auto" w:sz="4" w:space="0"/>
            </w:tcBorders>
            <w:vAlign w:val="center"/>
          </w:tcPr>
          <w:p w14:paraId="7446A297">
            <w:pPr>
              <w:pStyle w:val="8"/>
              <w:suppressLineNumbers w:val="0"/>
              <w:bidi w:val="0"/>
              <w:spacing w:before="0" w:beforeAutospacing="0" w:after="0" w:afterAutospacing="0"/>
              <w:ind w:left="0" w:right="0"/>
              <w:rPr>
                <w:rFonts w:hint="default"/>
                <w:highlight w:val="none"/>
              </w:rPr>
            </w:pPr>
            <w:r>
              <w:rPr>
                <w:rFonts w:hint="default"/>
                <w:highlight w:val="none"/>
              </w:rPr>
              <w:t>二级</w:t>
            </w:r>
          </w:p>
        </w:tc>
        <w:tc>
          <w:tcPr>
            <w:tcW w:w="708" w:type="dxa"/>
            <w:tcBorders>
              <w:top w:val="single" w:color="auto" w:sz="4" w:space="0"/>
              <w:left w:val="single" w:color="auto" w:sz="4" w:space="0"/>
              <w:bottom w:val="single" w:color="auto" w:sz="4" w:space="0"/>
              <w:right w:val="single" w:color="auto" w:sz="4" w:space="0"/>
            </w:tcBorders>
            <w:vAlign w:val="center"/>
          </w:tcPr>
          <w:p w14:paraId="70079E30">
            <w:pPr>
              <w:pStyle w:val="8"/>
              <w:suppressLineNumbers w:val="0"/>
              <w:bidi w:val="0"/>
              <w:spacing w:before="0" w:beforeAutospacing="0" w:after="0" w:afterAutospacing="0"/>
              <w:ind w:left="0" w:right="0"/>
              <w:rPr>
                <w:rFonts w:hint="default"/>
                <w:highlight w:val="none"/>
              </w:rPr>
            </w:pPr>
            <w:r>
              <w:rPr>
                <w:rFonts w:hint="default"/>
                <w:highlight w:val="none"/>
              </w:rPr>
              <w:t>三级</w:t>
            </w:r>
          </w:p>
        </w:tc>
        <w:tc>
          <w:tcPr>
            <w:tcW w:w="709" w:type="dxa"/>
            <w:tcBorders>
              <w:top w:val="single" w:color="auto" w:sz="4" w:space="0"/>
              <w:left w:val="single" w:color="auto" w:sz="4" w:space="0"/>
              <w:bottom w:val="single" w:color="auto" w:sz="4" w:space="0"/>
              <w:right w:val="single" w:color="auto" w:sz="4" w:space="0"/>
            </w:tcBorders>
            <w:vAlign w:val="center"/>
          </w:tcPr>
          <w:p w14:paraId="1BF3DF5C">
            <w:pPr>
              <w:pStyle w:val="8"/>
              <w:suppressLineNumbers w:val="0"/>
              <w:bidi w:val="0"/>
              <w:spacing w:before="0" w:beforeAutospacing="0" w:after="0" w:afterAutospacing="0"/>
              <w:ind w:left="0" w:right="0"/>
              <w:rPr>
                <w:rFonts w:hint="default"/>
                <w:highlight w:val="none"/>
              </w:rPr>
            </w:pPr>
            <w:r>
              <w:rPr>
                <w:rFonts w:hint="default"/>
                <w:highlight w:val="none"/>
              </w:rPr>
              <w:t>三级</w:t>
            </w:r>
          </w:p>
        </w:tc>
        <w:tc>
          <w:tcPr>
            <w:tcW w:w="709" w:type="dxa"/>
            <w:tcBorders>
              <w:top w:val="single" w:color="auto" w:sz="4" w:space="0"/>
              <w:left w:val="single" w:color="auto" w:sz="4" w:space="0"/>
              <w:bottom w:val="single" w:color="auto" w:sz="4" w:space="0"/>
              <w:right w:val="single" w:color="auto" w:sz="4" w:space="0"/>
            </w:tcBorders>
            <w:vAlign w:val="center"/>
          </w:tcPr>
          <w:p w14:paraId="2D4589C6">
            <w:pPr>
              <w:pStyle w:val="8"/>
              <w:suppressLineNumbers w:val="0"/>
              <w:bidi w:val="0"/>
              <w:spacing w:before="0" w:beforeAutospacing="0" w:after="0" w:afterAutospacing="0"/>
              <w:ind w:left="0" w:right="0"/>
              <w:rPr>
                <w:rFonts w:hint="default"/>
                <w:highlight w:val="none"/>
              </w:rPr>
            </w:pPr>
            <w:r>
              <w:rPr>
                <w:rFonts w:hint="default"/>
                <w:highlight w:val="none"/>
              </w:rPr>
              <w:t>三级</w:t>
            </w:r>
          </w:p>
        </w:tc>
        <w:tc>
          <w:tcPr>
            <w:tcW w:w="759" w:type="dxa"/>
            <w:tcBorders>
              <w:top w:val="single" w:color="auto" w:sz="4" w:space="0"/>
              <w:left w:val="single" w:color="auto" w:sz="4" w:space="0"/>
              <w:bottom w:val="single" w:color="auto" w:sz="4" w:space="0"/>
              <w:right w:val="nil"/>
            </w:tcBorders>
            <w:vAlign w:val="center"/>
          </w:tcPr>
          <w:p w14:paraId="214AE202">
            <w:pPr>
              <w:pStyle w:val="8"/>
              <w:suppressLineNumbers w:val="0"/>
              <w:bidi w:val="0"/>
              <w:spacing w:before="0" w:beforeAutospacing="0" w:after="0" w:afterAutospacing="0"/>
              <w:ind w:left="0" w:right="0"/>
              <w:rPr>
                <w:rFonts w:hint="default"/>
                <w:highlight w:val="none"/>
              </w:rPr>
            </w:pPr>
            <w:r>
              <w:rPr>
                <w:rFonts w:hint="default"/>
                <w:highlight w:val="none"/>
              </w:rPr>
              <w:t>-</w:t>
            </w:r>
          </w:p>
        </w:tc>
      </w:tr>
      <w:tr w14:paraId="6DF9E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single" w:color="auto" w:sz="4" w:space="0"/>
              <w:left w:val="nil"/>
              <w:bottom w:val="single" w:color="auto" w:sz="4" w:space="0"/>
              <w:right w:val="single" w:color="auto" w:sz="4" w:space="0"/>
            </w:tcBorders>
            <w:vAlign w:val="center"/>
          </w:tcPr>
          <w:p w14:paraId="1C5B9417">
            <w:pPr>
              <w:pStyle w:val="8"/>
              <w:suppressLineNumbers w:val="0"/>
              <w:bidi w:val="0"/>
              <w:spacing w:before="0" w:beforeAutospacing="0" w:after="0" w:afterAutospacing="0"/>
              <w:ind w:left="0" w:right="0"/>
              <w:rPr>
                <w:rFonts w:hint="default"/>
                <w:highlight w:val="none"/>
              </w:rPr>
            </w:pPr>
            <w:r>
              <w:rPr>
                <w:rFonts w:hint="default"/>
                <w:highlight w:val="none"/>
              </w:rPr>
              <w:t>不敏感</w:t>
            </w:r>
          </w:p>
        </w:tc>
        <w:tc>
          <w:tcPr>
            <w:tcW w:w="709" w:type="dxa"/>
            <w:tcBorders>
              <w:top w:val="single" w:color="auto" w:sz="4" w:space="0"/>
              <w:left w:val="single" w:color="auto" w:sz="4" w:space="0"/>
              <w:bottom w:val="single" w:color="auto" w:sz="4" w:space="0"/>
              <w:right w:val="single" w:color="auto" w:sz="4" w:space="0"/>
            </w:tcBorders>
            <w:vAlign w:val="center"/>
          </w:tcPr>
          <w:p w14:paraId="12A4E65C">
            <w:pPr>
              <w:pStyle w:val="8"/>
              <w:suppressLineNumbers w:val="0"/>
              <w:bidi w:val="0"/>
              <w:spacing w:before="0" w:beforeAutospacing="0" w:after="0" w:afterAutospacing="0"/>
              <w:ind w:left="0" w:right="0"/>
              <w:rPr>
                <w:rFonts w:hint="default"/>
                <w:highlight w:val="none"/>
              </w:rPr>
            </w:pPr>
            <w:r>
              <w:rPr>
                <w:rFonts w:hint="default"/>
                <w:highlight w:val="none"/>
              </w:rPr>
              <w:t>一级</w:t>
            </w:r>
          </w:p>
        </w:tc>
        <w:tc>
          <w:tcPr>
            <w:tcW w:w="851" w:type="dxa"/>
            <w:tcBorders>
              <w:top w:val="single" w:color="auto" w:sz="4" w:space="0"/>
              <w:left w:val="single" w:color="auto" w:sz="4" w:space="0"/>
              <w:bottom w:val="single" w:color="auto" w:sz="4" w:space="0"/>
              <w:right w:val="single" w:color="auto" w:sz="4" w:space="0"/>
            </w:tcBorders>
            <w:vAlign w:val="center"/>
          </w:tcPr>
          <w:p w14:paraId="2B3DA8B0">
            <w:pPr>
              <w:pStyle w:val="8"/>
              <w:suppressLineNumbers w:val="0"/>
              <w:bidi w:val="0"/>
              <w:spacing w:before="0" w:beforeAutospacing="0" w:after="0" w:afterAutospacing="0"/>
              <w:ind w:left="0" w:right="0"/>
              <w:rPr>
                <w:rFonts w:hint="default"/>
                <w:highlight w:val="none"/>
              </w:rPr>
            </w:pPr>
            <w:r>
              <w:rPr>
                <w:rFonts w:hint="default"/>
                <w:highlight w:val="none"/>
              </w:rPr>
              <w:t>二级</w:t>
            </w:r>
          </w:p>
        </w:tc>
        <w:tc>
          <w:tcPr>
            <w:tcW w:w="850" w:type="dxa"/>
            <w:tcBorders>
              <w:top w:val="single" w:color="auto" w:sz="4" w:space="0"/>
              <w:left w:val="single" w:color="auto" w:sz="4" w:space="0"/>
              <w:bottom w:val="single" w:color="auto" w:sz="4" w:space="0"/>
              <w:right w:val="single" w:color="auto" w:sz="4" w:space="0"/>
            </w:tcBorders>
            <w:vAlign w:val="center"/>
          </w:tcPr>
          <w:p w14:paraId="3EB3F652">
            <w:pPr>
              <w:pStyle w:val="8"/>
              <w:suppressLineNumbers w:val="0"/>
              <w:bidi w:val="0"/>
              <w:spacing w:before="0" w:beforeAutospacing="0" w:after="0" w:afterAutospacing="0"/>
              <w:ind w:left="0" w:right="0"/>
              <w:rPr>
                <w:rFonts w:hint="default"/>
                <w:highlight w:val="none"/>
              </w:rPr>
            </w:pPr>
            <w:r>
              <w:rPr>
                <w:rFonts w:hint="default"/>
                <w:highlight w:val="none"/>
              </w:rPr>
              <w:t>二级</w:t>
            </w:r>
          </w:p>
        </w:tc>
        <w:tc>
          <w:tcPr>
            <w:tcW w:w="709" w:type="dxa"/>
            <w:tcBorders>
              <w:top w:val="single" w:color="auto" w:sz="4" w:space="0"/>
              <w:left w:val="single" w:color="auto" w:sz="4" w:space="0"/>
              <w:bottom w:val="single" w:color="auto" w:sz="4" w:space="0"/>
              <w:right w:val="single" w:color="auto" w:sz="4" w:space="0"/>
            </w:tcBorders>
            <w:vAlign w:val="center"/>
          </w:tcPr>
          <w:p w14:paraId="54F75455">
            <w:pPr>
              <w:pStyle w:val="8"/>
              <w:suppressLineNumbers w:val="0"/>
              <w:bidi w:val="0"/>
              <w:spacing w:before="0" w:beforeAutospacing="0" w:after="0" w:afterAutospacing="0"/>
              <w:ind w:left="0" w:right="0"/>
              <w:rPr>
                <w:rFonts w:hint="default"/>
                <w:highlight w:val="none"/>
              </w:rPr>
            </w:pPr>
            <w:r>
              <w:rPr>
                <w:rFonts w:hint="default"/>
                <w:highlight w:val="none"/>
              </w:rPr>
              <w:t>二级</w:t>
            </w:r>
          </w:p>
        </w:tc>
        <w:tc>
          <w:tcPr>
            <w:tcW w:w="709" w:type="dxa"/>
            <w:tcBorders>
              <w:top w:val="single" w:color="auto" w:sz="4" w:space="0"/>
              <w:left w:val="single" w:color="auto" w:sz="4" w:space="0"/>
              <w:bottom w:val="single" w:color="auto" w:sz="4" w:space="0"/>
              <w:right w:val="single" w:color="auto" w:sz="4" w:space="0"/>
            </w:tcBorders>
            <w:vAlign w:val="center"/>
          </w:tcPr>
          <w:p w14:paraId="5BA9FC20">
            <w:pPr>
              <w:pStyle w:val="8"/>
              <w:suppressLineNumbers w:val="0"/>
              <w:bidi w:val="0"/>
              <w:spacing w:before="0" w:beforeAutospacing="0" w:after="0" w:afterAutospacing="0"/>
              <w:ind w:left="0" w:right="0"/>
              <w:rPr>
                <w:rFonts w:hint="default"/>
                <w:highlight w:val="none"/>
              </w:rPr>
            </w:pPr>
            <w:r>
              <w:rPr>
                <w:rFonts w:hint="default"/>
                <w:highlight w:val="none"/>
              </w:rPr>
              <w:t>三级</w:t>
            </w:r>
          </w:p>
        </w:tc>
        <w:tc>
          <w:tcPr>
            <w:tcW w:w="708" w:type="dxa"/>
            <w:tcBorders>
              <w:top w:val="single" w:color="auto" w:sz="4" w:space="0"/>
              <w:left w:val="single" w:color="auto" w:sz="4" w:space="0"/>
              <w:bottom w:val="single" w:color="auto" w:sz="4" w:space="0"/>
              <w:right w:val="single" w:color="auto" w:sz="4" w:space="0"/>
            </w:tcBorders>
            <w:vAlign w:val="center"/>
          </w:tcPr>
          <w:p w14:paraId="238C58DD">
            <w:pPr>
              <w:pStyle w:val="8"/>
              <w:suppressLineNumbers w:val="0"/>
              <w:bidi w:val="0"/>
              <w:spacing w:before="0" w:beforeAutospacing="0" w:after="0" w:afterAutospacing="0"/>
              <w:ind w:left="0" w:right="0"/>
              <w:rPr>
                <w:rFonts w:hint="default"/>
                <w:highlight w:val="none"/>
              </w:rPr>
            </w:pPr>
            <w:r>
              <w:rPr>
                <w:rFonts w:hint="default"/>
                <w:highlight w:val="none"/>
              </w:rPr>
              <w:t>三级</w:t>
            </w:r>
          </w:p>
        </w:tc>
        <w:tc>
          <w:tcPr>
            <w:tcW w:w="709" w:type="dxa"/>
            <w:tcBorders>
              <w:top w:val="single" w:color="auto" w:sz="4" w:space="0"/>
              <w:left w:val="single" w:color="auto" w:sz="4" w:space="0"/>
              <w:bottom w:val="single" w:color="auto" w:sz="4" w:space="0"/>
              <w:right w:val="single" w:color="auto" w:sz="4" w:space="0"/>
            </w:tcBorders>
            <w:vAlign w:val="center"/>
          </w:tcPr>
          <w:p w14:paraId="21A27990">
            <w:pPr>
              <w:pStyle w:val="8"/>
              <w:suppressLineNumbers w:val="0"/>
              <w:bidi w:val="0"/>
              <w:spacing w:before="0" w:beforeAutospacing="0" w:after="0" w:afterAutospacing="0"/>
              <w:ind w:left="0" w:right="0"/>
              <w:rPr>
                <w:rFonts w:hint="default"/>
                <w:highlight w:val="none"/>
              </w:rPr>
            </w:pPr>
            <w:r>
              <w:rPr>
                <w:rFonts w:hint="default"/>
                <w:highlight w:val="none"/>
              </w:rPr>
              <w:t>三级</w:t>
            </w:r>
          </w:p>
        </w:tc>
        <w:tc>
          <w:tcPr>
            <w:tcW w:w="709" w:type="dxa"/>
            <w:tcBorders>
              <w:top w:val="single" w:color="auto" w:sz="4" w:space="0"/>
              <w:left w:val="single" w:color="auto" w:sz="4" w:space="0"/>
              <w:bottom w:val="single" w:color="auto" w:sz="4" w:space="0"/>
              <w:right w:val="single" w:color="auto" w:sz="4" w:space="0"/>
            </w:tcBorders>
            <w:vAlign w:val="center"/>
          </w:tcPr>
          <w:p w14:paraId="3329FB2F">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759" w:type="dxa"/>
            <w:tcBorders>
              <w:top w:val="single" w:color="auto" w:sz="4" w:space="0"/>
              <w:left w:val="single" w:color="auto" w:sz="4" w:space="0"/>
              <w:bottom w:val="single" w:color="auto" w:sz="4" w:space="0"/>
              <w:right w:val="nil"/>
            </w:tcBorders>
            <w:vAlign w:val="center"/>
          </w:tcPr>
          <w:p w14:paraId="7EE7186C">
            <w:pPr>
              <w:pStyle w:val="8"/>
              <w:suppressLineNumbers w:val="0"/>
              <w:bidi w:val="0"/>
              <w:spacing w:before="0" w:beforeAutospacing="0" w:after="0" w:afterAutospacing="0"/>
              <w:ind w:left="0" w:right="0"/>
              <w:rPr>
                <w:rFonts w:hint="default"/>
                <w:highlight w:val="none"/>
              </w:rPr>
            </w:pPr>
            <w:r>
              <w:rPr>
                <w:rFonts w:hint="default"/>
                <w:highlight w:val="none"/>
              </w:rPr>
              <w:t>-</w:t>
            </w:r>
          </w:p>
        </w:tc>
      </w:tr>
      <w:tr w14:paraId="74561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522" w:type="dxa"/>
            <w:gridSpan w:val="10"/>
            <w:tcBorders>
              <w:top w:val="single" w:color="auto" w:sz="4" w:space="0"/>
              <w:left w:val="nil"/>
              <w:bottom w:val="single" w:color="auto" w:sz="12" w:space="0"/>
              <w:right w:val="nil"/>
            </w:tcBorders>
            <w:vAlign w:val="center"/>
          </w:tcPr>
          <w:p w14:paraId="75BB036C">
            <w:pPr>
              <w:pStyle w:val="8"/>
              <w:suppressLineNumbers w:val="0"/>
              <w:bidi w:val="0"/>
              <w:spacing w:before="0" w:beforeAutospacing="0" w:after="0" w:afterAutospacing="0"/>
              <w:ind w:left="0" w:right="0"/>
              <w:rPr>
                <w:rFonts w:hint="default"/>
                <w:highlight w:val="none"/>
              </w:rPr>
            </w:pPr>
            <w:r>
              <w:rPr>
                <w:rFonts w:hint="default"/>
                <w:highlight w:val="none"/>
              </w:rPr>
              <w:t>注：</w:t>
            </w:r>
            <w:r>
              <w:rPr>
                <w:rFonts w:hint="eastAsia"/>
                <w:highlight w:val="none"/>
                <w:lang w:eastAsia="zh-CN"/>
              </w:rPr>
              <w:t>“</w:t>
            </w:r>
            <w:r>
              <w:rPr>
                <w:rFonts w:hint="default"/>
                <w:highlight w:val="none"/>
              </w:rPr>
              <w:t>-</w:t>
            </w:r>
            <w:r>
              <w:rPr>
                <w:rFonts w:hint="eastAsia"/>
                <w:highlight w:val="none"/>
                <w:lang w:eastAsia="zh-CN"/>
              </w:rPr>
              <w:t>”</w:t>
            </w:r>
            <w:r>
              <w:rPr>
                <w:rFonts w:hint="default"/>
                <w:highlight w:val="none"/>
              </w:rPr>
              <w:t>表示可不开展土壤环境影响评价工作。</w:t>
            </w:r>
          </w:p>
        </w:tc>
      </w:tr>
    </w:tbl>
    <w:p w14:paraId="19284571">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eastAsiaTheme="minorEastAsia"/>
          <w:snapToGrid w:val="0"/>
          <w:sz w:val="24"/>
          <w:szCs w:val="22"/>
          <w:highlight w:val="none"/>
        </w:rPr>
      </w:pPr>
      <w:r>
        <w:rPr>
          <w:rFonts w:hAnsiTheme="minorEastAsia" w:eastAsiaTheme="minorEastAsia"/>
          <w:snapToGrid w:val="0"/>
          <w:sz w:val="24"/>
          <w:szCs w:val="22"/>
          <w:highlight w:val="none"/>
        </w:rPr>
        <w:t>本项目属于</w:t>
      </w:r>
      <w:r>
        <w:rPr>
          <w:rFonts w:hint="default" w:ascii="Times New Roman" w:hAnsi="Times New Roman" w:cs="Times New Roman" w:eastAsiaTheme="minorEastAsia"/>
          <w:snapToGrid w:val="0"/>
          <w:sz w:val="24"/>
          <w:szCs w:val="22"/>
          <w:highlight w:val="none"/>
        </w:rPr>
        <w:t>Ⅰ</w:t>
      </w:r>
      <w:r>
        <w:rPr>
          <w:rFonts w:hAnsiTheme="minorEastAsia" w:eastAsiaTheme="minorEastAsia"/>
          <w:snapToGrid w:val="0"/>
          <w:sz w:val="24"/>
          <w:szCs w:val="22"/>
          <w:highlight w:val="none"/>
        </w:rPr>
        <w:t>类项目，占地规模为</w:t>
      </w:r>
      <w:r>
        <w:rPr>
          <w:rFonts w:hint="eastAsia" w:hAnsiTheme="minorEastAsia" w:eastAsiaTheme="minorEastAsia"/>
          <w:snapToGrid w:val="0"/>
          <w:sz w:val="24"/>
          <w:szCs w:val="22"/>
          <w:highlight w:val="none"/>
          <w:lang w:val="en-US" w:eastAsia="zh-CN"/>
        </w:rPr>
        <w:t>小</w:t>
      </w:r>
      <w:r>
        <w:rPr>
          <w:rFonts w:hAnsiTheme="minorEastAsia" w:eastAsiaTheme="minorEastAsia"/>
          <w:snapToGrid w:val="0"/>
          <w:sz w:val="24"/>
          <w:szCs w:val="22"/>
          <w:highlight w:val="none"/>
        </w:rPr>
        <w:t>型，敏感程度为敏感，</w:t>
      </w:r>
      <w:r>
        <w:rPr>
          <w:rFonts w:hint="eastAsia" w:hAnsiTheme="minorEastAsia" w:eastAsiaTheme="minorEastAsia"/>
          <w:snapToGrid w:val="0"/>
          <w:sz w:val="24"/>
          <w:szCs w:val="22"/>
          <w:highlight w:val="none"/>
          <w:lang w:val="zh-CN" w:eastAsia="zh-CN"/>
        </w:rPr>
        <w:t>土壤评价工作等级为</w:t>
      </w:r>
      <w:r>
        <w:rPr>
          <w:rFonts w:hint="eastAsia" w:hAnsiTheme="minorEastAsia" w:eastAsiaTheme="minorEastAsia"/>
          <w:snapToGrid w:val="0"/>
          <w:sz w:val="24"/>
          <w:szCs w:val="22"/>
          <w:highlight w:val="none"/>
          <w:lang w:val="en-US" w:eastAsia="zh-CN"/>
        </w:rPr>
        <w:t>一</w:t>
      </w:r>
      <w:r>
        <w:rPr>
          <w:rFonts w:hint="eastAsia" w:hAnsiTheme="minorEastAsia" w:eastAsiaTheme="minorEastAsia"/>
          <w:snapToGrid w:val="0"/>
          <w:sz w:val="24"/>
          <w:szCs w:val="22"/>
          <w:highlight w:val="none"/>
          <w:lang w:val="zh-CN" w:eastAsia="zh-CN"/>
        </w:rPr>
        <w:t>级</w:t>
      </w:r>
      <w:r>
        <w:rPr>
          <w:rFonts w:hAnsiTheme="minorEastAsia" w:eastAsiaTheme="minorEastAsia"/>
          <w:snapToGrid w:val="0"/>
          <w:sz w:val="24"/>
          <w:szCs w:val="22"/>
          <w:highlight w:val="none"/>
        </w:rPr>
        <w:t>。</w:t>
      </w:r>
    </w:p>
    <w:p w14:paraId="339DBD16">
      <w:pPr>
        <w:pStyle w:val="4"/>
        <w:bidi w:val="0"/>
        <w:rPr>
          <w:highlight w:val="none"/>
        </w:rPr>
      </w:pPr>
      <w:bookmarkStart w:id="183" w:name="_Toc31526"/>
      <w:bookmarkStart w:id="184" w:name="_Toc10421"/>
      <w:bookmarkStart w:id="185" w:name="_Toc11997"/>
      <w:r>
        <w:rPr>
          <w:highlight w:val="none"/>
        </w:rPr>
        <w:t>2.5评价范围及评价时段</w:t>
      </w:r>
      <w:bookmarkEnd w:id="183"/>
      <w:bookmarkEnd w:id="184"/>
      <w:bookmarkEnd w:id="185"/>
    </w:p>
    <w:p w14:paraId="22B2082D">
      <w:pPr>
        <w:pStyle w:val="5"/>
        <w:bidi w:val="0"/>
        <w:rPr>
          <w:highlight w:val="none"/>
        </w:rPr>
      </w:pPr>
      <w:bookmarkStart w:id="186" w:name="_Toc11758479"/>
      <w:bookmarkStart w:id="187" w:name="_Toc14042"/>
      <w:bookmarkStart w:id="188" w:name="_Toc14574"/>
      <w:r>
        <w:rPr>
          <w:highlight w:val="none"/>
        </w:rPr>
        <w:t>2.5.1评价范围</w:t>
      </w:r>
      <w:bookmarkEnd w:id="186"/>
      <w:bookmarkEnd w:id="187"/>
      <w:bookmarkEnd w:id="188"/>
    </w:p>
    <w:p w14:paraId="41F33B5D">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由于施工期对周围环境影响较小，并且为短期影响，因此施工期只作影响分析；营运期对周围环境影响程度因工序污染物排放不同而不同，而且为长期影响，因此本评价以营运期为重点评价时段。根据评价区域环境特点、建设项目工程污染特征及环境影响评价工作等级要求，确定各环境要素评价范围。</w:t>
      </w:r>
    </w:p>
    <w:p w14:paraId="0F9895CB">
      <w:pPr>
        <w:tabs>
          <w:tab w:val="left" w:leader="middleDot" w:pos="0"/>
        </w:tabs>
        <w:spacing w:line="360" w:lineRule="auto"/>
        <w:ind w:firstLine="480" w:firstLineChars="200"/>
        <w:contextualSpacing/>
        <w:rPr>
          <w:rFonts w:eastAsiaTheme="minorEastAsia"/>
          <w:sz w:val="24"/>
          <w:highlight w:val="none"/>
        </w:rPr>
      </w:pPr>
      <w:r>
        <w:rPr>
          <w:rFonts w:hAnsiTheme="minorEastAsia" w:eastAsiaTheme="minorEastAsia"/>
          <w:sz w:val="24"/>
          <w:highlight w:val="none"/>
        </w:rPr>
        <w:t>根据工程特征与环境现状确定该项目评价范围见表</w:t>
      </w:r>
      <w:r>
        <w:rPr>
          <w:rFonts w:eastAsiaTheme="minorEastAsia"/>
          <w:sz w:val="24"/>
          <w:highlight w:val="none"/>
        </w:rPr>
        <w:t>2-5-1</w:t>
      </w:r>
      <w:r>
        <w:rPr>
          <w:rFonts w:hAnsiTheme="minorEastAsia" w:eastAsiaTheme="minorEastAsia"/>
          <w:sz w:val="24"/>
          <w:highlight w:val="none"/>
        </w:rPr>
        <w:t>。</w:t>
      </w:r>
    </w:p>
    <w:p w14:paraId="28CA78A9">
      <w:pPr>
        <w:pStyle w:val="7"/>
        <w:bidi w:val="0"/>
        <w:rPr>
          <w:highlight w:val="none"/>
        </w:rPr>
      </w:pPr>
      <w:r>
        <w:rPr>
          <w:highlight w:val="none"/>
        </w:rPr>
        <w:t>表2-5-1工程评价范围表</w:t>
      </w:r>
    </w:p>
    <w:tbl>
      <w:tblPr>
        <w:tblStyle w:val="44"/>
        <w:tblW w:w="7981"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233"/>
        <w:gridCol w:w="6748"/>
      </w:tblGrid>
      <w:tr w14:paraId="599DF6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3" w:hRule="atLeast"/>
          <w:jc w:val="center"/>
        </w:trPr>
        <w:tc>
          <w:tcPr>
            <w:tcW w:w="1233" w:type="dxa"/>
            <w:vAlign w:val="center"/>
          </w:tcPr>
          <w:p w14:paraId="6C1EF15A">
            <w:pPr>
              <w:pStyle w:val="8"/>
              <w:suppressLineNumbers w:val="0"/>
              <w:bidi w:val="0"/>
              <w:spacing w:before="0" w:beforeAutospacing="0" w:after="0" w:afterAutospacing="0"/>
              <w:ind w:left="0" w:right="0"/>
              <w:rPr>
                <w:rFonts w:hint="default"/>
                <w:highlight w:val="none"/>
              </w:rPr>
            </w:pPr>
            <w:r>
              <w:rPr>
                <w:rFonts w:hint="default"/>
                <w:highlight w:val="none"/>
              </w:rPr>
              <w:t>评价因子</w:t>
            </w:r>
          </w:p>
        </w:tc>
        <w:tc>
          <w:tcPr>
            <w:tcW w:w="6748" w:type="dxa"/>
            <w:vAlign w:val="center"/>
          </w:tcPr>
          <w:p w14:paraId="7C37A683">
            <w:pPr>
              <w:pStyle w:val="8"/>
              <w:suppressLineNumbers w:val="0"/>
              <w:bidi w:val="0"/>
              <w:spacing w:before="0" w:beforeAutospacing="0" w:after="0" w:afterAutospacing="0"/>
              <w:ind w:left="0" w:right="0"/>
              <w:rPr>
                <w:rFonts w:hint="default"/>
                <w:highlight w:val="none"/>
              </w:rPr>
            </w:pPr>
            <w:r>
              <w:rPr>
                <w:rFonts w:hint="default"/>
                <w:highlight w:val="none"/>
              </w:rPr>
              <w:t>评价范围</w:t>
            </w:r>
          </w:p>
        </w:tc>
      </w:tr>
      <w:tr w14:paraId="2B23792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3" w:hRule="atLeast"/>
          <w:jc w:val="center"/>
        </w:trPr>
        <w:tc>
          <w:tcPr>
            <w:tcW w:w="1233" w:type="dxa"/>
            <w:vAlign w:val="center"/>
          </w:tcPr>
          <w:p w14:paraId="59581B04">
            <w:pPr>
              <w:pStyle w:val="8"/>
              <w:suppressLineNumbers w:val="0"/>
              <w:bidi w:val="0"/>
              <w:spacing w:before="0" w:beforeAutospacing="0" w:after="0" w:afterAutospacing="0"/>
              <w:ind w:left="0" w:right="0"/>
              <w:rPr>
                <w:rFonts w:hint="default"/>
                <w:highlight w:val="none"/>
              </w:rPr>
            </w:pPr>
            <w:r>
              <w:rPr>
                <w:rFonts w:hint="default"/>
                <w:highlight w:val="none"/>
              </w:rPr>
              <w:t>地下水</w:t>
            </w:r>
          </w:p>
        </w:tc>
        <w:tc>
          <w:tcPr>
            <w:tcW w:w="6748" w:type="dxa"/>
            <w:vAlign w:val="center"/>
          </w:tcPr>
          <w:p w14:paraId="66690BB9">
            <w:pPr>
              <w:pStyle w:val="8"/>
              <w:suppressLineNumbers w:val="0"/>
              <w:bidi w:val="0"/>
              <w:spacing w:before="0" w:beforeAutospacing="0" w:after="0" w:afterAutospacing="0"/>
              <w:ind w:left="0" w:right="0"/>
              <w:rPr>
                <w:rFonts w:hint="default"/>
                <w:highlight w:val="none"/>
              </w:rPr>
            </w:pPr>
            <w:r>
              <w:rPr>
                <w:rFonts w:hint="eastAsia"/>
                <w:color w:val="auto"/>
                <w:highlight w:val="none"/>
              </w:rPr>
              <w:t>沿地下水流向，厂界上游</w:t>
            </w:r>
            <w:r>
              <w:rPr>
                <w:rFonts w:hint="eastAsia"/>
                <w:color w:val="auto"/>
                <w:highlight w:val="none"/>
                <w:lang w:val="en-US" w:eastAsia="zh-CN"/>
              </w:rPr>
              <w:t>88</w:t>
            </w:r>
            <w:r>
              <w:rPr>
                <w:rFonts w:hint="eastAsia"/>
                <w:color w:val="auto"/>
                <w:highlight w:val="none"/>
              </w:rPr>
              <w:t>0m</w:t>
            </w:r>
            <w:r>
              <w:rPr>
                <w:rFonts w:hint="eastAsia"/>
                <w:color w:val="auto"/>
                <w:highlight w:val="none"/>
                <w:lang w:eastAsia="zh-CN"/>
              </w:rPr>
              <w:t>；</w:t>
            </w:r>
            <w:r>
              <w:rPr>
                <w:rFonts w:hint="eastAsia"/>
                <w:color w:val="auto"/>
                <w:highlight w:val="none"/>
              </w:rPr>
              <w:t>两侧</w:t>
            </w:r>
            <w:r>
              <w:rPr>
                <w:rFonts w:hint="eastAsia"/>
                <w:color w:val="auto"/>
                <w:highlight w:val="none"/>
                <w:lang w:val="en-US" w:eastAsia="zh-CN"/>
              </w:rPr>
              <w:t>880</w:t>
            </w:r>
            <w:r>
              <w:rPr>
                <w:rFonts w:hint="eastAsia"/>
                <w:color w:val="auto"/>
                <w:highlight w:val="none"/>
              </w:rPr>
              <w:t>m</w:t>
            </w:r>
            <w:r>
              <w:rPr>
                <w:rFonts w:hint="eastAsia"/>
                <w:color w:val="auto"/>
                <w:highlight w:val="none"/>
                <w:lang w:eastAsia="zh-CN"/>
              </w:rPr>
              <w:t>；</w:t>
            </w:r>
            <w:r>
              <w:rPr>
                <w:rFonts w:hint="eastAsia"/>
                <w:color w:val="auto"/>
                <w:highlight w:val="none"/>
              </w:rPr>
              <w:t>下游</w:t>
            </w:r>
            <w:r>
              <w:rPr>
                <w:rFonts w:hint="eastAsia"/>
                <w:color w:val="auto"/>
                <w:highlight w:val="none"/>
                <w:lang w:val="en-US" w:eastAsia="zh-CN"/>
              </w:rPr>
              <w:t>1760</w:t>
            </w:r>
            <w:r>
              <w:rPr>
                <w:rFonts w:hint="eastAsia"/>
                <w:color w:val="auto"/>
                <w:highlight w:val="none"/>
              </w:rPr>
              <w:t>m范围内</w:t>
            </w:r>
          </w:p>
        </w:tc>
      </w:tr>
      <w:tr w14:paraId="7865DC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3" w:hRule="atLeast"/>
          <w:jc w:val="center"/>
        </w:trPr>
        <w:tc>
          <w:tcPr>
            <w:tcW w:w="1233" w:type="dxa"/>
            <w:vAlign w:val="center"/>
          </w:tcPr>
          <w:p w14:paraId="01CB1DA1">
            <w:pPr>
              <w:pStyle w:val="8"/>
              <w:suppressLineNumbers w:val="0"/>
              <w:bidi w:val="0"/>
              <w:spacing w:before="0" w:beforeAutospacing="0" w:after="0" w:afterAutospacing="0"/>
              <w:ind w:left="0" w:right="0"/>
              <w:rPr>
                <w:rFonts w:hint="default"/>
                <w:highlight w:val="none"/>
              </w:rPr>
            </w:pPr>
            <w:r>
              <w:rPr>
                <w:rFonts w:hint="default"/>
                <w:highlight w:val="none"/>
              </w:rPr>
              <w:t>噪声</w:t>
            </w:r>
          </w:p>
        </w:tc>
        <w:tc>
          <w:tcPr>
            <w:tcW w:w="6748" w:type="dxa"/>
            <w:vAlign w:val="center"/>
          </w:tcPr>
          <w:p w14:paraId="0C46C2EC">
            <w:pPr>
              <w:pStyle w:val="8"/>
              <w:suppressLineNumbers w:val="0"/>
              <w:bidi w:val="0"/>
              <w:spacing w:before="0" w:beforeAutospacing="0" w:after="0" w:afterAutospacing="0"/>
              <w:ind w:left="0" w:right="0"/>
              <w:rPr>
                <w:rFonts w:hint="default"/>
                <w:highlight w:val="none"/>
              </w:rPr>
            </w:pPr>
            <w:r>
              <w:rPr>
                <w:rFonts w:hint="default"/>
                <w:highlight w:val="none"/>
              </w:rPr>
              <w:t>厂界外200m范围</w:t>
            </w:r>
          </w:p>
        </w:tc>
      </w:tr>
      <w:tr w14:paraId="487E5B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1233" w:type="dxa"/>
            <w:vAlign w:val="center"/>
          </w:tcPr>
          <w:p w14:paraId="6E901506">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土壤</w:t>
            </w:r>
          </w:p>
        </w:tc>
        <w:tc>
          <w:tcPr>
            <w:tcW w:w="6748" w:type="dxa"/>
            <w:vAlign w:val="center"/>
          </w:tcPr>
          <w:p w14:paraId="131B8D6C">
            <w:pPr>
              <w:pStyle w:val="8"/>
              <w:suppressLineNumbers w:val="0"/>
              <w:bidi w:val="0"/>
              <w:spacing w:before="0" w:beforeAutospacing="0" w:after="0" w:afterAutospacing="0"/>
              <w:ind w:left="0" w:right="0"/>
              <w:rPr>
                <w:rFonts w:hint="default"/>
                <w:highlight w:val="none"/>
              </w:rPr>
            </w:pPr>
            <w:r>
              <w:rPr>
                <w:rFonts w:hint="eastAsia"/>
                <w:highlight w:val="none"/>
                <w:lang w:val="zh-CN" w:eastAsia="zh-CN"/>
              </w:rPr>
              <w:t>项目占地范围及占地范围外</w:t>
            </w:r>
            <w:r>
              <w:rPr>
                <w:rFonts w:hint="eastAsia"/>
                <w:highlight w:val="none"/>
                <w:lang w:val="en-US" w:eastAsia="zh-CN"/>
              </w:rPr>
              <w:t>1</w:t>
            </w:r>
            <w:r>
              <w:rPr>
                <w:rFonts w:hint="default"/>
                <w:highlight w:val="none"/>
                <w:lang w:val="zh-CN" w:eastAsia="zh-CN"/>
              </w:rPr>
              <w:t>km</w:t>
            </w:r>
            <w:r>
              <w:rPr>
                <w:rFonts w:hint="eastAsia"/>
                <w:highlight w:val="none"/>
                <w:lang w:val="zh-CN" w:eastAsia="zh-CN"/>
              </w:rPr>
              <w:t>范围内</w:t>
            </w:r>
          </w:p>
        </w:tc>
      </w:tr>
      <w:tr w14:paraId="4EEA83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1233" w:type="dxa"/>
            <w:vAlign w:val="center"/>
          </w:tcPr>
          <w:p w14:paraId="5050EC7E">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bookmarkStart w:id="189" w:name="_Toc524431294"/>
            <w:bookmarkStart w:id="190" w:name="_Toc18697"/>
            <w:bookmarkStart w:id="191" w:name="_Toc15991636"/>
            <w:r>
              <w:rPr>
                <w:rFonts w:hint="default"/>
                <w:highlight w:val="none"/>
              </w:rPr>
              <w:t>环境空气</w:t>
            </w:r>
          </w:p>
        </w:tc>
        <w:tc>
          <w:tcPr>
            <w:tcW w:w="6748" w:type="dxa"/>
            <w:vAlign w:val="center"/>
          </w:tcPr>
          <w:p w14:paraId="5C02DAD7">
            <w:pPr>
              <w:pStyle w:val="8"/>
              <w:suppressLineNumbers w:val="0"/>
              <w:bidi w:val="0"/>
              <w:spacing w:before="0" w:beforeAutospacing="0" w:after="0" w:afterAutospacing="0"/>
              <w:ind w:left="0" w:leftChars="0" w:right="0" w:rightChars="0" w:firstLine="0" w:firstLineChars="0"/>
              <w:rPr>
                <w:rFonts w:hint="eastAsia"/>
                <w:highlight w:val="none"/>
                <w:lang w:val="zh-CN" w:eastAsia="zh-CN"/>
              </w:rPr>
            </w:pPr>
            <w:r>
              <w:rPr>
                <w:rFonts w:hint="default"/>
                <w:highlight w:val="none"/>
              </w:rPr>
              <w:t>以项目厂址为中心，边长5km的矩形区域</w:t>
            </w:r>
          </w:p>
        </w:tc>
      </w:tr>
      <w:tr w14:paraId="490C99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1233" w:type="dxa"/>
            <w:vAlign w:val="center"/>
          </w:tcPr>
          <w:p w14:paraId="68AF91DA">
            <w:pPr>
              <w:pStyle w:val="8"/>
              <w:suppressLineNumbers w:val="0"/>
              <w:bidi w:val="0"/>
              <w:spacing w:before="0" w:beforeAutospacing="0" w:after="0" w:afterAutospacing="0"/>
              <w:ind w:left="0" w:right="0"/>
              <w:rPr>
                <w:rFonts w:hint="default"/>
                <w:highlight w:val="none"/>
                <w:lang w:val="zh-CN" w:eastAsia="zh-CN"/>
              </w:rPr>
            </w:pPr>
            <w:bookmarkStart w:id="192" w:name="_Toc14286"/>
            <w:r>
              <w:rPr>
                <w:rFonts w:hint="eastAsia"/>
                <w:highlight w:val="none"/>
                <w:lang w:val="zh-CN" w:eastAsia="zh-CN"/>
              </w:rPr>
              <w:t>风险</w:t>
            </w:r>
          </w:p>
        </w:tc>
        <w:tc>
          <w:tcPr>
            <w:tcW w:w="6748" w:type="dxa"/>
            <w:vAlign w:val="center"/>
          </w:tcPr>
          <w:p w14:paraId="46304FBB">
            <w:pPr>
              <w:pStyle w:val="8"/>
              <w:suppressLineNumbers w:val="0"/>
              <w:bidi w:val="0"/>
              <w:spacing w:before="0" w:beforeAutospacing="0" w:after="0" w:afterAutospacing="0"/>
              <w:ind w:left="0" w:right="0"/>
              <w:rPr>
                <w:rFonts w:hint="default"/>
                <w:highlight w:val="none"/>
                <w:lang w:val="zh-CN" w:eastAsia="zh-CN"/>
              </w:rPr>
            </w:pPr>
            <w:r>
              <w:rPr>
                <w:rFonts w:hint="eastAsia"/>
                <w:highlight w:val="none"/>
                <w:lang w:val="en-US" w:eastAsia="zh-CN"/>
              </w:rPr>
              <w:t>/</w:t>
            </w:r>
          </w:p>
        </w:tc>
      </w:tr>
      <w:tr w14:paraId="1BE477C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1233" w:type="dxa"/>
            <w:vAlign w:val="center"/>
          </w:tcPr>
          <w:p w14:paraId="0D1AF515">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生态</w:t>
            </w:r>
          </w:p>
        </w:tc>
        <w:tc>
          <w:tcPr>
            <w:tcW w:w="6748" w:type="dxa"/>
            <w:vAlign w:val="center"/>
          </w:tcPr>
          <w:p w14:paraId="3ACAF38C">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zh-CN" w:eastAsia="zh-CN"/>
              </w:rPr>
              <w:t>项目占地范围</w:t>
            </w:r>
            <w:r>
              <w:rPr>
                <w:rFonts w:hint="eastAsia"/>
                <w:highlight w:val="none"/>
                <w:lang w:val="en-US" w:eastAsia="zh-CN"/>
              </w:rPr>
              <w:t>外扩300m</w:t>
            </w:r>
          </w:p>
        </w:tc>
      </w:tr>
    </w:tbl>
    <w:p w14:paraId="657E6160">
      <w:pPr>
        <w:pStyle w:val="5"/>
        <w:bidi w:val="0"/>
        <w:rPr>
          <w:highlight w:val="none"/>
        </w:rPr>
      </w:pPr>
      <w:r>
        <w:rPr>
          <w:highlight w:val="none"/>
        </w:rPr>
        <w:t>2.5.2评价时段</w:t>
      </w:r>
      <w:bookmarkEnd w:id="189"/>
      <w:bookmarkEnd w:id="190"/>
      <w:bookmarkEnd w:id="191"/>
      <w:bookmarkEnd w:id="192"/>
    </w:p>
    <w:p w14:paraId="0504928D">
      <w:pPr>
        <w:spacing w:line="360" w:lineRule="auto"/>
        <w:ind w:firstLine="480" w:firstLineChars="200"/>
        <w:rPr>
          <w:rFonts w:eastAsiaTheme="minorEastAsia"/>
          <w:snapToGrid w:val="0"/>
          <w:kern w:val="0"/>
          <w:sz w:val="24"/>
          <w:highlight w:val="none"/>
        </w:rPr>
      </w:pPr>
      <w:r>
        <w:rPr>
          <w:rFonts w:hAnsiTheme="minorEastAsia" w:eastAsiaTheme="minorEastAsia"/>
          <w:snapToGrid w:val="0"/>
          <w:kern w:val="0"/>
          <w:sz w:val="24"/>
          <w:highlight w:val="none"/>
        </w:rPr>
        <w:t>评价时段为施工期、营运期。由于施工期对周围环境影响较小，并且为短期影响，因此施工期只作影响分析；营运期对周围环境影响程度因工序污染物排放不同而不同，而且为长期影响，因此本评价以营运期为重点评价时段。</w:t>
      </w:r>
    </w:p>
    <w:p w14:paraId="075CFE90">
      <w:pPr>
        <w:pStyle w:val="4"/>
        <w:bidi w:val="0"/>
        <w:rPr>
          <w:highlight w:val="none"/>
        </w:rPr>
      </w:pPr>
      <w:bookmarkStart w:id="193" w:name="_Toc30730"/>
      <w:bookmarkStart w:id="194" w:name="_Toc6514"/>
      <w:bookmarkStart w:id="195" w:name="_Toc22471"/>
      <w:r>
        <w:rPr>
          <w:highlight w:val="none"/>
        </w:rPr>
        <w:t>2.6环境功能区划</w:t>
      </w:r>
      <w:bookmarkEnd w:id="193"/>
      <w:bookmarkEnd w:id="194"/>
      <w:bookmarkEnd w:id="195"/>
    </w:p>
    <w:p w14:paraId="03890971">
      <w:pPr>
        <w:ind w:firstLine="480"/>
        <w:contextualSpacing/>
        <w:jc w:val="left"/>
        <w:rPr>
          <w:rFonts w:ascii="Times New Roman" w:hAnsi="Times New Roman"/>
          <w:snapToGrid w:val="0"/>
          <w:color w:val="000000" w:themeColor="text1"/>
          <w:szCs w:val="22"/>
          <w:highlight w:val="none"/>
          <w14:textFill>
            <w14:solidFill>
              <w14:schemeClr w14:val="tx1"/>
            </w14:solidFill>
          </w14:textFill>
        </w:rPr>
      </w:pPr>
      <w:r>
        <w:rPr>
          <w:rFonts w:hint="eastAsia"/>
          <w:snapToGrid w:val="0"/>
          <w:color w:val="000000" w:themeColor="text1"/>
          <w:szCs w:val="22"/>
          <w:highlight w:val="none"/>
          <w:lang w:eastAsia="zh-CN"/>
          <w14:textFill>
            <w14:solidFill>
              <w14:schemeClr w14:val="tx1"/>
            </w14:solidFill>
          </w14:textFill>
        </w:rPr>
        <w:t>（</w:t>
      </w:r>
      <w:r>
        <w:rPr>
          <w:rFonts w:hint="eastAsia"/>
          <w:snapToGrid w:val="0"/>
          <w:color w:val="000000" w:themeColor="text1"/>
          <w:szCs w:val="22"/>
          <w:highlight w:val="none"/>
          <w:lang w:val="en-US" w:eastAsia="zh-CN"/>
          <w14:textFill>
            <w14:solidFill>
              <w14:schemeClr w14:val="tx1"/>
            </w14:solidFill>
          </w14:textFill>
        </w:rPr>
        <w:t>1</w:t>
      </w:r>
      <w:r>
        <w:rPr>
          <w:rFonts w:hint="eastAsia"/>
          <w:snapToGrid w:val="0"/>
          <w:color w:val="000000" w:themeColor="text1"/>
          <w:szCs w:val="22"/>
          <w:highlight w:val="none"/>
          <w:lang w:eastAsia="zh-CN"/>
          <w14:textFill>
            <w14:solidFill>
              <w14:schemeClr w14:val="tx1"/>
            </w14:solidFill>
          </w14:textFill>
        </w:rPr>
        <w:t>）</w:t>
      </w:r>
      <w:r>
        <w:rPr>
          <w:rFonts w:ascii="Times New Roman" w:hAnsi="Times New Roman"/>
          <w:snapToGrid w:val="0"/>
          <w:color w:val="000000" w:themeColor="text1"/>
          <w:szCs w:val="22"/>
          <w:highlight w:val="none"/>
          <w14:textFill>
            <w14:solidFill>
              <w14:schemeClr w14:val="tx1"/>
            </w14:solidFill>
          </w14:textFill>
        </w:rPr>
        <w:t>本项目位于</w:t>
      </w:r>
      <w:r>
        <w:rPr>
          <w:rFonts w:hint="eastAsia" w:ascii="Times New Roman" w:hAnsi="Times New Roman"/>
          <w:snapToGrid w:val="0"/>
          <w:color w:val="000000" w:themeColor="text1"/>
          <w:szCs w:val="22"/>
          <w:highlight w:val="none"/>
          <w14:textFill>
            <w14:solidFill>
              <w14:schemeClr w14:val="tx1"/>
            </w14:solidFill>
          </w14:textFill>
        </w:rPr>
        <w:t>黑龙江省哈尔滨市香坊区黎明乡幸福村哈阿公路零公里处哈尔滨透平设备总厂院内</w:t>
      </w:r>
      <w:r>
        <w:rPr>
          <w:rFonts w:ascii="Times New Roman" w:hAnsi="Times New Roman"/>
          <w:snapToGrid w:val="0"/>
          <w:color w:val="000000" w:themeColor="text1"/>
          <w:szCs w:val="22"/>
          <w:highlight w:val="none"/>
          <w14:textFill>
            <w14:solidFill>
              <w14:schemeClr w14:val="tx1"/>
            </w14:solidFill>
          </w14:textFill>
        </w:rPr>
        <w:t>，该区域为一般工业区、居住区、商业交通居民混合区，环境空气质量功能区划为二类区。</w:t>
      </w:r>
    </w:p>
    <w:p w14:paraId="1B000EEF">
      <w:pPr>
        <w:ind w:firstLine="480"/>
        <w:contextualSpacing/>
        <w:jc w:val="left"/>
        <w:rPr>
          <w:rFonts w:ascii="Times New Roman" w:hAnsi="Times New Roman"/>
          <w:snapToGrid w:val="0"/>
          <w:color w:val="000000" w:themeColor="text1"/>
          <w:szCs w:val="22"/>
          <w:highlight w:val="none"/>
          <w14:textFill>
            <w14:solidFill>
              <w14:schemeClr w14:val="tx1"/>
            </w14:solidFill>
          </w14:textFill>
        </w:rPr>
      </w:pPr>
      <w:r>
        <w:rPr>
          <w:rFonts w:hint="eastAsia"/>
          <w:snapToGrid w:val="0"/>
          <w:color w:val="000000" w:themeColor="text1"/>
          <w:szCs w:val="22"/>
          <w:highlight w:val="none"/>
          <w:lang w:eastAsia="zh-CN"/>
          <w14:textFill>
            <w14:solidFill>
              <w14:schemeClr w14:val="tx1"/>
            </w14:solidFill>
          </w14:textFill>
        </w:rPr>
        <w:t>（</w:t>
      </w:r>
      <w:r>
        <w:rPr>
          <w:rFonts w:hint="eastAsia"/>
          <w:snapToGrid w:val="0"/>
          <w:color w:val="000000" w:themeColor="text1"/>
          <w:szCs w:val="22"/>
          <w:highlight w:val="none"/>
          <w:lang w:val="en-US" w:eastAsia="zh-CN"/>
          <w14:textFill>
            <w14:solidFill>
              <w14:schemeClr w14:val="tx1"/>
            </w14:solidFill>
          </w14:textFill>
        </w:rPr>
        <w:t>2</w:t>
      </w:r>
      <w:r>
        <w:rPr>
          <w:rFonts w:hint="eastAsia"/>
          <w:snapToGrid w:val="0"/>
          <w:color w:val="000000" w:themeColor="text1"/>
          <w:szCs w:val="22"/>
          <w:highlight w:val="none"/>
          <w:lang w:eastAsia="zh-CN"/>
          <w14:textFill>
            <w14:solidFill>
              <w14:schemeClr w14:val="tx1"/>
            </w14:solidFill>
          </w14:textFill>
        </w:rPr>
        <w:t>）</w:t>
      </w:r>
      <w:bookmarkStart w:id="196" w:name="_Toc9467"/>
      <w:r>
        <w:rPr>
          <w:rFonts w:ascii="Times New Roman" w:hAnsi="Times New Roman"/>
          <w:snapToGrid w:val="0"/>
          <w:color w:val="000000" w:themeColor="text1"/>
          <w:szCs w:val="22"/>
          <w:highlight w:val="none"/>
          <w14:textFill>
            <w14:solidFill>
              <w14:schemeClr w14:val="tx1"/>
            </w14:solidFill>
          </w14:textFill>
        </w:rPr>
        <w:t>项目所在区地下水质量环境功能区划为</w:t>
      </w:r>
      <w:r>
        <w:rPr>
          <w:rFonts w:hint="default" w:ascii="Times New Roman" w:hAnsi="Times New Roman" w:cs="Times New Roman"/>
          <w:snapToGrid w:val="0"/>
          <w:color w:val="000000" w:themeColor="text1"/>
          <w:szCs w:val="22"/>
          <w:highlight w:val="none"/>
          <w14:textFill>
            <w14:solidFill>
              <w14:schemeClr w14:val="tx1"/>
            </w14:solidFill>
          </w14:textFill>
        </w:rPr>
        <w:t>Ⅲ</w:t>
      </w:r>
      <w:r>
        <w:rPr>
          <w:rFonts w:ascii="Times New Roman" w:hAnsi="Times New Roman"/>
          <w:snapToGrid w:val="0"/>
          <w:color w:val="000000" w:themeColor="text1"/>
          <w:szCs w:val="22"/>
          <w:highlight w:val="none"/>
          <w14:textFill>
            <w14:solidFill>
              <w14:schemeClr w14:val="tx1"/>
            </w14:solidFill>
          </w14:textFill>
        </w:rPr>
        <w:t>类</w:t>
      </w:r>
      <w:r>
        <w:rPr>
          <w:rFonts w:hint="eastAsia" w:ascii="Times New Roman" w:hAnsi="Times New Roman"/>
          <w:snapToGrid w:val="0"/>
          <w:color w:val="000000" w:themeColor="text1"/>
          <w:szCs w:val="22"/>
          <w:highlight w:val="none"/>
          <w14:textFill>
            <w14:solidFill>
              <w14:schemeClr w14:val="tx1"/>
            </w14:solidFill>
          </w14:textFill>
        </w:rPr>
        <w:t>水体。</w:t>
      </w:r>
      <w:bookmarkEnd w:id="196"/>
    </w:p>
    <w:p w14:paraId="75649E1C">
      <w:pPr>
        <w:widowControl/>
        <w:ind w:firstLine="480" w:firstLineChars="200"/>
        <w:jc w:val="left"/>
        <w:rPr>
          <w:rFonts w:hint="eastAsia" w:ascii="Times New Roman" w:hAnsi="Times New Roman"/>
          <w:snapToGrid w:val="0"/>
          <w:color w:val="000000" w:themeColor="text1"/>
          <w:szCs w:val="22"/>
          <w:highlight w:val="none"/>
          <w:lang w:eastAsia="zh-TW"/>
          <w14:textFill>
            <w14:solidFill>
              <w14:schemeClr w14:val="tx1"/>
            </w14:solidFill>
          </w14:textFill>
        </w:rPr>
      </w:pPr>
      <w:r>
        <w:rPr>
          <w:rFonts w:hint="eastAsia"/>
          <w:snapToGrid w:val="0"/>
          <w:color w:val="000000" w:themeColor="text1"/>
          <w:szCs w:val="22"/>
          <w:highlight w:val="none"/>
          <w:lang w:eastAsia="zh-CN"/>
          <w14:textFill>
            <w14:solidFill>
              <w14:schemeClr w14:val="tx1"/>
            </w14:solidFill>
          </w14:textFill>
        </w:rPr>
        <w:t>（</w:t>
      </w:r>
      <w:r>
        <w:rPr>
          <w:rFonts w:hint="eastAsia"/>
          <w:snapToGrid w:val="0"/>
          <w:color w:val="000000" w:themeColor="text1"/>
          <w:szCs w:val="22"/>
          <w:highlight w:val="none"/>
          <w:lang w:val="en-US" w:eastAsia="zh-CN"/>
          <w14:textFill>
            <w14:solidFill>
              <w14:schemeClr w14:val="tx1"/>
            </w14:solidFill>
          </w14:textFill>
        </w:rPr>
        <w:t>3</w:t>
      </w:r>
      <w:r>
        <w:rPr>
          <w:rFonts w:hint="eastAsia"/>
          <w:snapToGrid w:val="0"/>
          <w:color w:val="000000" w:themeColor="text1"/>
          <w:szCs w:val="22"/>
          <w:highlight w:val="none"/>
          <w:lang w:eastAsia="zh-CN"/>
          <w14:textFill>
            <w14:solidFill>
              <w14:schemeClr w14:val="tx1"/>
            </w14:solidFill>
          </w14:textFill>
        </w:rPr>
        <w:t>）</w:t>
      </w:r>
      <w:r>
        <w:rPr>
          <w:rFonts w:ascii="Times New Roman" w:hAnsi="Times New Roman"/>
          <w:snapToGrid w:val="0"/>
          <w:color w:val="000000" w:themeColor="text1"/>
          <w:szCs w:val="22"/>
          <w:highlight w:val="none"/>
          <w14:textFill>
            <w14:solidFill>
              <w14:schemeClr w14:val="tx1"/>
            </w14:solidFill>
          </w14:textFill>
        </w:rPr>
        <w:t>本项目位于</w:t>
      </w:r>
      <w:r>
        <w:rPr>
          <w:rFonts w:hint="eastAsia" w:ascii="Times New Roman" w:hAnsi="Times New Roman"/>
          <w:snapToGrid w:val="0"/>
          <w:color w:val="000000" w:themeColor="text1"/>
          <w:szCs w:val="22"/>
          <w:highlight w:val="none"/>
          <w14:textFill>
            <w14:solidFill>
              <w14:schemeClr w14:val="tx1"/>
            </w14:solidFill>
          </w14:textFill>
        </w:rPr>
        <w:t>黑龙江省哈尔滨市香坊区黎明乡幸福村哈阿公路零公里处哈尔滨透平设备总厂院内</w:t>
      </w:r>
      <w:r>
        <w:rPr>
          <w:rFonts w:ascii="Times New Roman" w:hAnsi="Times New Roman"/>
          <w:snapToGrid w:val="0"/>
          <w:color w:val="000000" w:themeColor="text1"/>
          <w:szCs w:val="22"/>
          <w:highlight w:val="none"/>
          <w14:textFill>
            <w14:solidFill>
              <w14:schemeClr w14:val="tx1"/>
            </w14:solidFill>
          </w14:textFill>
        </w:rPr>
        <w:t>，该区域为一般工业区、居住区、商业交通居民混合区，</w:t>
      </w:r>
      <w:r>
        <w:rPr>
          <w:rFonts w:hint="eastAsia" w:ascii="Times New Roman" w:hAnsi="Times New Roman"/>
          <w:snapToGrid w:val="0"/>
          <w:color w:val="000000" w:themeColor="text1"/>
          <w:szCs w:val="22"/>
          <w:highlight w:val="none"/>
          <w:lang w:eastAsia="zh-TW"/>
          <w14:textFill>
            <w14:solidFill>
              <w14:schemeClr w14:val="tx1"/>
            </w14:solidFill>
          </w14:textFill>
        </w:rPr>
        <w:t>位于</w:t>
      </w:r>
      <w:r>
        <w:rPr>
          <w:rFonts w:hint="eastAsia"/>
          <w:snapToGrid w:val="0"/>
          <w:color w:val="000000" w:themeColor="text1"/>
          <w:szCs w:val="22"/>
          <w:highlight w:val="none"/>
          <w:lang w:val="en-US" w:eastAsia="zh-CN"/>
          <w14:textFill>
            <w14:solidFill>
              <w14:schemeClr w14:val="tx1"/>
            </w14:solidFill>
          </w14:textFill>
        </w:rPr>
        <w:t>2</w:t>
      </w:r>
      <w:r>
        <w:rPr>
          <w:rFonts w:hint="eastAsia" w:ascii="Times New Roman" w:hAnsi="Times New Roman"/>
          <w:snapToGrid w:val="0"/>
          <w:color w:val="000000" w:themeColor="text1"/>
          <w:szCs w:val="22"/>
          <w:highlight w:val="none"/>
          <w:lang w:eastAsia="zh-TW"/>
          <w14:textFill>
            <w14:solidFill>
              <w14:schemeClr w14:val="tx1"/>
            </w14:solidFill>
          </w14:textFill>
        </w:rPr>
        <w:t>类声环境功能区，执行</w:t>
      </w:r>
      <w:r>
        <w:rPr>
          <w:rFonts w:hint="eastAsia"/>
          <w:snapToGrid w:val="0"/>
          <w:color w:val="000000" w:themeColor="text1"/>
          <w:szCs w:val="22"/>
          <w:highlight w:val="none"/>
          <w:lang w:val="en-US" w:eastAsia="zh-CN"/>
          <w14:textFill>
            <w14:solidFill>
              <w14:schemeClr w14:val="tx1"/>
            </w14:solidFill>
          </w14:textFill>
        </w:rPr>
        <w:t>2</w:t>
      </w:r>
      <w:r>
        <w:rPr>
          <w:rFonts w:hint="eastAsia" w:ascii="Times New Roman" w:hAnsi="Times New Roman"/>
          <w:snapToGrid w:val="0"/>
          <w:color w:val="000000" w:themeColor="text1"/>
          <w:szCs w:val="22"/>
          <w:highlight w:val="none"/>
          <w:lang w:eastAsia="zh-TW"/>
          <w14:textFill>
            <w14:solidFill>
              <w14:schemeClr w14:val="tx1"/>
            </w14:solidFill>
          </w14:textFill>
        </w:rPr>
        <w:t>类标准。</w:t>
      </w:r>
    </w:p>
    <w:p w14:paraId="6BD985DA">
      <w:pPr>
        <w:widowControl/>
        <w:ind w:firstLine="480" w:firstLineChars="200"/>
        <w:jc w:val="left"/>
        <w:rPr>
          <w:rFonts w:hint="eastAsia" w:ascii="Times New Roman" w:hAnsi="Times New Roman"/>
          <w:snapToGrid w:val="0"/>
          <w:color w:val="000000" w:themeColor="text1"/>
          <w:szCs w:val="22"/>
          <w:highlight w:val="none"/>
          <w:lang w:eastAsia="zh-TW"/>
          <w14:textFill>
            <w14:solidFill>
              <w14:schemeClr w14:val="tx1"/>
            </w14:solidFill>
          </w14:textFill>
        </w:rPr>
      </w:pPr>
      <w:r>
        <w:rPr>
          <w:rFonts w:hint="eastAsia"/>
          <w:snapToGrid w:val="0"/>
          <w:color w:val="000000" w:themeColor="text1"/>
          <w:szCs w:val="22"/>
          <w:highlight w:val="none"/>
          <w:lang w:eastAsia="zh-CN"/>
          <w14:textFill>
            <w14:solidFill>
              <w14:schemeClr w14:val="tx1"/>
            </w14:solidFill>
          </w14:textFill>
        </w:rPr>
        <w:t>（</w:t>
      </w:r>
      <w:r>
        <w:rPr>
          <w:rFonts w:hint="eastAsia"/>
          <w:snapToGrid w:val="0"/>
          <w:color w:val="000000" w:themeColor="text1"/>
          <w:szCs w:val="22"/>
          <w:highlight w:val="none"/>
          <w:lang w:val="en-US" w:eastAsia="zh-CN"/>
          <w14:textFill>
            <w14:solidFill>
              <w14:schemeClr w14:val="tx1"/>
            </w14:solidFill>
          </w14:textFill>
        </w:rPr>
        <w:t>4</w:t>
      </w:r>
      <w:r>
        <w:rPr>
          <w:rFonts w:hint="eastAsia"/>
          <w:snapToGrid w:val="0"/>
          <w:color w:val="000000" w:themeColor="text1"/>
          <w:szCs w:val="22"/>
          <w:highlight w:val="none"/>
          <w:lang w:eastAsia="zh-CN"/>
          <w14:textFill>
            <w14:solidFill>
              <w14:schemeClr w14:val="tx1"/>
            </w14:solidFill>
          </w14:textFill>
        </w:rPr>
        <w:t>）</w:t>
      </w:r>
      <w:r>
        <w:rPr>
          <w:rFonts w:hint="eastAsia" w:ascii="Times New Roman" w:hAnsi="Times New Roman"/>
          <w:snapToGrid w:val="0"/>
          <w:color w:val="000000" w:themeColor="text1"/>
          <w:szCs w:val="22"/>
          <w:highlight w:val="none"/>
          <w:lang w:eastAsia="zh-TW"/>
          <w14:textFill>
            <w14:solidFill>
              <w14:schemeClr w14:val="tx1"/>
            </w14:solidFill>
          </w14:textFill>
        </w:rPr>
        <w:t>根据《土壤环境质量建设用地土壤污染风险管控标准（试行）》（GB36600-2018），本项目占地性质为工业用地，属于建设用地中的第二类用地。</w:t>
      </w:r>
    </w:p>
    <w:p w14:paraId="20D7D29E">
      <w:pPr>
        <w:pStyle w:val="4"/>
        <w:bidi w:val="0"/>
        <w:rPr>
          <w:highlight w:val="none"/>
        </w:rPr>
      </w:pPr>
      <w:bookmarkStart w:id="197" w:name="_Toc12465"/>
      <w:bookmarkStart w:id="198" w:name="_Toc12725"/>
      <w:r>
        <w:rPr>
          <w:highlight w:val="none"/>
        </w:rPr>
        <w:t>2.7主要环境保护目标</w:t>
      </w:r>
      <w:bookmarkEnd w:id="197"/>
      <w:bookmarkEnd w:id="198"/>
    </w:p>
    <w:p w14:paraId="5D3D8DDA">
      <w:pPr>
        <w:spacing w:line="360" w:lineRule="auto"/>
        <w:ind w:firstLine="480" w:firstLineChars="200"/>
        <w:rPr>
          <w:rFonts w:hAnsiTheme="minorEastAsia" w:eastAsiaTheme="minorEastAsia"/>
          <w:snapToGrid w:val="0"/>
          <w:kern w:val="0"/>
          <w:sz w:val="24"/>
          <w:highlight w:val="none"/>
        </w:rPr>
      </w:pPr>
      <w:r>
        <w:rPr>
          <w:rFonts w:hAnsiTheme="minorEastAsia" w:eastAsiaTheme="minorEastAsia"/>
          <w:snapToGrid w:val="0"/>
          <w:sz w:val="24"/>
          <w:highlight w:val="none"/>
        </w:rPr>
        <w:t>本评价区内无国家、省级自然保护区，名胜古迹，以及重要人文设施及水源地。根据项目特点及周边环境要素，确定本项目控制污染与环境保护目标为：</w:t>
      </w:r>
      <w:r>
        <w:rPr>
          <w:rFonts w:hAnsiTheme="minorEastAsia" w:eastAsiaTheme="minorEastAsia"/>
          <w:snapToGrid w:val="0"/>
          <w:kern w:val="0"/>
          <w:sz w:val="24"/>
          <w:highlight w:val="none"/>
        </w:rPr>
        <w:t>环境空气</w:t>
      </w:r>
      <w:r>
        <w:rPr>
          <w:rFonts w:hint="eastAsia" w:hAnsiTheme="minorEastAsia" w:eastAsiaTheme="minorEastAsia"/>
          <w:snapToGrid w:val="0"/>
          <w:kern w:val="0"/>
          <w:sz w:val="24"/>
          <w:highlight w:val="none"/>
          <w:lang w:val="en-US" w:eastAsia="zh-CN"/>
        </w:rPr>
        <w:t>保护</w:t>
      </w:r>
      <w:r>
        <w:rPr>
          <w:rFonts w:hAnsiTheme="minorEastAsia" w:eastAsiaTheme="minorEastAsia"/>
          <w:snapToGrid w:val="0"/>
          <w:kern w:val="0"/>
          <w:sz w:val="24"/>
          <w:highlight w:val="none"/>
        </w:rPr>
        <w:t>目标见表</w:t>
      </w:r>
      <w:r>
        <w:rPr>
          <w:rFonts w:hint="eastAsia" w:hAnsiTheme="minorEastAsia" w:eastAsiaTheme="minorEastAsia"/>
          <w:snapToGrid w:val="0"/>
          <w:kern w:val="0"/>
          <w:sz w:val="24"/>
          <w:highlight w:val="none"/>
        </w:rPr>
        <w:t>2-7-1，</w:t>
      </w:r>
      <w:r>
        <w:rPr>
          <w:rFonts w:hint="eastAsia" w:hAnsiTheme="minorEastAsia" w:eastAsiaTheme="minorEastAsia"/>
          <w:snapToGrid w:val="0"/>
          <w:kern w:val="0"/>
          <w:sz w:val="24"/>
          <w:highlight w:val="none"/>
          <w:lang w:val="en-US" w:eastAsia="zh-CN"/>
        </w:rPr>
        <w:t>其他</w:t>
      </w:r>
      <w:r>
        <w:rPr>
          <w:rFonts w:hAnsiTheme="minorEastAsia" w:eastAsiaTheme="minorEastAsia"/>
          <w:snapToGrid w:val="0"/>
          <w:kern w:val="0"/>
          <w:sz w:val="24"/>
          <w:highlight w:val="none"/>
        </w:rPr>
        <w:t>敏感目标见表</w:t>
      </w:r>
      <w:r>
        <w:rPr>
          <w:rFonts w:eastAsiaTheme="minorEastAsia"/>
          <w:snapToGrid w:val="0"/>
          <w:kern w:val="0"/>
          <w:sz w:val="24"/>
          <w:highlight w:val="none"/>
        </w:rPr>
        <w:t>2-7-</w:t>
      </w:r>
      <w:r>
        <w:rPr>
          <w:rFonts w:hint="eastAsia" w:eastAsiaTheme="minorEastAsia"/>
          <w:snapToGrid w:val="0"/>
          <w:kern w:val="0"/>
          <w:sz w:val="24"/>
          <w:highlight w:val="none"/>
          <w:lang w:val="en-US" w:eastAsia="zh-CN"/>
        </w:rPr>
        <w:t>2</w:t>
      </w:r>
      <w:r>
        <w:rPr>
          <w:rFonts w:hAnsiTheme="minorEastAsia" w:eastAsiaTheme="minorEastAsia"/>
          <w:snapToGrid w:val="0"/>
          <w:kern w:val="0"/>
          <w:sz w:val="24"/>
          <w:highlight w:val="none"/>
        </w:rPr>
        <w:t>，保护目标分布图见附图</w:t>
      </w:r>
      <w:r>
        <w:rPr>
          <w:rFonts w:eastAsiaTheme="minorEastAsia"/>
          <w:snapToGrid w:val="0"/>
          <w:kern w:val="0"/>
          <w:sz w:val="24"/>
          <w:highlight w:val="none"/>
        </w:rPr>
        <w:t>3</w:t>
      </w:r>
      <w:r>
        <w:rPr>
          <w:rFonts w:hAnsiTheme="minorEastAsia" w:eastAsiaTheme="minorEastAsia"/>
          <w:snapToGrid w:val="0"/>
          <w:kern w:val="0"/>
          <w:sz w:val="24"/>
          <w:highlight w:val="none"/>
        </w:rPr>
        <w:t>。</w:t>
      </w:r>
    </w:p>
    <w:p w14:paraId="09D5B3DE">
      <w:pPr>
        <w:pStyle w:val="7"/>
        <w:bidi w:val="0"/>
        <w:rPr>
          <w:highlight w:val="none"/>
        </w:rPr>
      </w:pPr>
      <w:bookmarkStart w:id="199" w:name="_Hlk10463811"/>
      <w:r>
        <w:rPr>
          <w:highlight w:val="none"/>
        </w:rPr>
        <w:t>表2-7-1环境空气保护目标一览表</w:t>
      </w:r>
    </w:p>
    <w:bookmarkEnd w:id="199"/>
    <w:tbl>
      <w:tblPr>
        <w:tblStyle w:val="44"/>
        <w:tblW w:w="84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275"/>
        <w:gridCol w:w="1134"/>
        <w:gridCol w:w="1276"/>
        <w:gridCol w:w="709"/>
        <w:gridCol w:w="797"/>
        <w:gridCol w:w="654"/>
        <w:gridCol w:w="911"/>
      </w:tblGrid>
      <w:tr w14:paraId="0420D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68" w:type="dxa"/>
            <w:vMerge w:val="restart"/>
            <w:tcBorders>
              <w:tl2br w:val="nil"/>
              <w:tr2bl w:val="nil"/>
            </w:tcBorders>
            <w:shd w:val="clear" w:color="auto" w:fill="auto"/>
            <w:vAlign w:val="center"/>
          </w:tcPr>
          <w:p w14:paraId="1DECAE1A">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名称</w:t>
            </w:r>
          </w:p>
        </w:tc>
        <w:tc>
          <w:tcPr>
            <w:tcW w:w="2409" w:type="dxa"/>
            <w:gridSpan w:val="2"/>
            <w:tcBorders>
              <w:tl2br w:val="nil"/>
              <w:tr2bl w:val="nil"/>
            </w:tcBorders>
            <w:vAlign w:val="center"/>
          </w:tcPr>
          <w:p w14:paraId="4FCA380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坐标</w:t>
            </w:r>
          </w:p>
        </w:tc>
        <w:tc>
          <w:tcPr>
            <w:tcW w:w="1276" w:type="dxa"/>
            <w:vMerge w:val="restart"/>
            <w:tcBorders>
              <w:tl2br w:val="nil"/>
              <w:tr2bl w:val="nil"/>
            </w:tcBorders>
            <w:vAlign w:val="center"/>
          </w:tcPr>
          <w:p w14:paraId="75950C98">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保护对象</w:t>
            </w:r>
          </w:p>
        </w:tc>
        <w:tc>
          <w:tcPr>
            <w:tcW w:w="709" w:type="dxa"/>
            <w:vMerge w:val="restart"/>
            <w:tcBorders>
              <w:tl2br w:val="nil"/>
              <w:tr2bl w:val="nil"/>
            </w:tcBorders>
            <w:vAlign w:val="center"/>
          </w:tcPr>
          <w:p w14:paraId="6D17620B">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保护</w:t>
            </w:r>
          </w:p>
          <w:p w14:paraId="1F20632B">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内容</w:t>
            </w:r>
          </w:p>
        </w:tc>
        <w:tc>
          <w:tcPr>
            <w:tcW w:w="797" w:type="dxa"/>
            <w:vMerge w:val="restart"/>
            <w:tcBorders>
              <w:tl2br w:val="nil"/>
              <w:tr2bl w:val="nil"/>
            </w:tcBorders>
            <w:vAlign w:val="center"/>
          </w:tcPr>
          <w:p w14:paraId="2E41164F">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环境功能区</w:t>
            </w:r>
          </w:p>
        </w:tc>
        <w:tc>
          <w:tcPr>
            <w:tcW w:w="654" w:type="dxa"/>
            <w:vMerge w:val="restart"/>
            <w:tcBorders>
              <w:tl2br w:val="nil"/>
              <w:tr2bl w:val="nil"/>
            </w:tcBorders>
            <w:vAlign w:val="center"/>
          </w:tcPr>
          <w:p w14:paraId="4566BDE1">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相对厂址方位</w:t>
            </w:r>
          </w:p>
        </w:tc>
        <w:tc>
          <w:tcPr>
            <w:tcW w:w="911" w:type="dxa"/>
            <w:vMerge w:val="restart"/>
            <w:tcBorders>
              <w:tl2br w:val="nil"/>
              <w:tr2bl w:val="nil"/>
            </w:tcBorders>
            <w:shd w:val="clear" w:color="auto" w:fill="auto"/>
            <w:vAlign w:val="center"/>
          </w:tcPr>
          <w:p w14:paraId="4EE9A24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相对厂界距离</w:t>
            </w:r>
            <w:r>
              <w:rPr>
                <w:rFonts w:hint="default" w:ascii="Times New Roman" w:hAnsi="Times New Roman" w:cs="Times New Roman" w:eastAsiaTheme="minorEastAsia"/>
                <w:snapToGrid w:val="0"/>
                <w:kern w:val="21"/>
                <w:sz w:val="21"/>
                <w:szCs w:val="21"/>
                <w:highlight w:val="none"/>
                <w:lang w:val="en-US" w:eastAsia="zh-CN" w:bidi="ar-SA"/>
              </w:rPr>
              <w:t>/m</w:t>
            </w:r>
          </w:p>
        </w:tc>
      </w:tr>
      <w:tr w14:paraId="5F651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vMerge w:val="continue"/>
            <w:tcBorders>
              <w:tl2br w:val="nil"/>
              <w:tr2bl w:val="nil"/>
            </w:tcBorders>
            <w:shd w:val="clear" w:color="auto" w:fill="auto"/>
            <w:vAlign w:val="center"/>
          </w:tcPr>
          <w:p w14:paraId="6BEC2B2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1275" w:type="dxa"/>
            <w:tcBorders>
              <w:tl2br w:val="nil"/>
              <w:tr2bl w:val="nil"/>
            </w:tcBorders>
            <w:vAlign w:val="center"/>
          </w:tcPr>
          <w:p w14:paraId="076CA5C0">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东经</w:t>
            </w:r>
          </w:p>
        </w:tc>
        <w:tc>
          <w:tcPr>
            <w:tcW w:w="1134" w:type="dxa"/>
            <w:tcBorders>
              <w:tl2br w:val="nil"/>
              <w:tr2bl w:val="nil"/>
            </w:tcBorders>
            <w:vAlign w:val="center"/>
          </w:tcPr>
          <w:p w14:paraId="38D2F329">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北纬</w:t>
            </w:r>
          </w:p>
        </w:tc>
        <w:tc>
          <w:tcPr>
            <w:tcW w:w="1276" w:type="dxa"/>
            <w:vMerge w:val="continue"/>
            <w:tcBorders>
              <w:tl2br w:val="nil"/>
              <w:tr2bl w:val="nil"/>
            </w:tcBorders>
            <w:vAlign w:val="center"/>
          </w:tcPr>
          <w:p w14:paraId="0907CED1">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709" w:type="dxa"/>
            <w:vMerge w:val="continue"/>
            <w:tcBorders>
              <w:tl2br w:val="nil"/>
              <w:tr2bl w:val="nil"/>
            </w:tcBorders>
            <w:vAlign w:val="center"/>
          </w:tcPr>
          <w:p w14:paraId="3E9D9494">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797" w:type="dxa"/>
            <w:vMerge w:val="continue"/>
            <w:tcBorders>
              <w:tl2br w:val="nil"/>
              <w:tr2bl w:val="nil"/>
            </w:tcBorders>
            <w:vAlign w:val="center"/>
          </w:tcPr>
          <w:p w14:paraId="4F6BA92F">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654" w:type="dxa"/>
            <w:vMerge w:val="continue"/>
            <w:tcBorders>
              <w:tl2br w:val="nil"/>
              <w:tr2bl w:val="nil"/>
            </w:tcBorders>
            <w:vAlign w:val="center"/>
          </w:tcPr>
          <w:p w14:paraId="048F73B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911" w:type="dxa"/>
            <w:vMerge w:val="continue"/>
            <w:tcBorders>
              <w:tl2br w:val="nil"/>
              <w:tr2bl w:val="nil"/>
            </w:tcBorders>
            <w:shd w:val="clear" w:color="auto" w:fill="auto"/>
            <w:vAlign w:val="center"/>
          </w:tcPr>
          <w:p w14:paraId="706E8521">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r>
      <w:tr w14:paraId="357D5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47ECF5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rPr>
            </w:pPr>
            <w:r>
              <w:rPr>
                <w:rFonts w:hint="eastAsia" w:cs="Times New Roman" w:eastAsiaTheme="minorEastAsia"/>
                <w:snapToGrid w:val="0"/>
                <w:kern w:val="21"/>
                <w:sz w:val="21"/>
                <w:szCs w:val="21"/>
                <w:highlight w:val="none"/>
                <w:lang w:eastAsia="zh-CN"/>
              </w:rPr>
              <w:t>香坊</w:t>
            </w:r>
            <w:r>
              <w:rPr>
                <w:rFonts w:hint="default" w:ascii="Times New Roman" w:hAnsi="Times New Roman" w:cs="Times New Roman" w:eastAsiaTheme="minorEastAsia"/>
                <w:snapToGrid w:val="0"/>
                <w:kern w:val="21"/>
                <w:sz w:val="21"/>
                <w:szCs w:val="21"/>
                <w:highlight w:val="none"/>
              </w:rPr>
              <w:t>区居民</w:t>
            </w:r>
          </w:p>
        </w:tc>
        <w:tc>
          <w:tcPr>
            <w:tcW w:w="1275" w:type="dxa"/>
            <w:tcBorders>
              <w:tl2br w:val="nil"/>
              <w:tr2bl w:val="nil"/>
            </w:tcBorders>
            <w:shd w:val="clear" w:color="auto" w:fill="auto"/>
            <w:vAlign w:val="center"/>
          </w:tcPr>
          <w:p w14:paraId="52CF4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rPr>
            </w:pPr>
            <w:r>
              <w:rPr>
                <w:rFonts w:hint="default" w:ascii="Times New Roman" w:hAnsi="Times New Roman" w:cs="Times New Roman" w:eastAsiaTheme="minorEastAsia"/>
                <w:snapToGrid w:val="0"/>
                <w:kern w:val="21"/>
                <w:sz w:val="21"/>
                <w:szCs w:val="21"/>
                <w:highlight w:val="none"/>
                <w:lang w:val="en-US" w:eastAsia="zh-CN"/>
              </w:rPr>
              <w:t>126.699409328</w:t>
            </w:r>
          </w:p>
        </w:tc>
        <w:tc>
          <w:tcPr>
            <w:tcW w:w="1134" w:type="dxa"/>
            <w:tcBorders>
              <w:tl2br w:val="nil"/>
              <w:tr2bl w:val="nil"/>
            </w:tcBorders>
            <w:shd w:val="clear" w:color="auto" w:fill="auto"/>
            <w:vAlign w:val="center"/>
          </w:tcPr>
          <w:p w14:paraId="65E87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rPr>
            </w:pPr>
            <w:r>
              <w:rPr>
                <w:rFonts w:hint="default" w:ascii="Times New Roman" w:hAnsi="Times New Roman" w:cs="Times New Roman" w:eastAsiaTheme="minorEastAsia"/>
                <w:snapToGrid w:val="0"/>
                <w:kern w:val="21"/>
                <w:sz w:val="21"/>
                <w:szCs w:val="21"/>
                <w:highlight w:val="none"/>
                <w:lang w:val="en-US" w:eastAsia="zh-CN"/>
              </w:rPr>
              <w:t>45.680398015</w:t>
            </w:r>
          </w:p>
        </w:tc>
        <w:tc>
          <w:tcPr>
            <w:tcW w:w="1276" w:type="dxa"/>
            <w:tcBorders>
              <w:tl2br w:val="nil"/>
              <w:tr2bl w:val="nil"/>
            </w:tcBorders>
            <w:vAlign w:val="center"/>
          </w:tcPr>
          <w:p w14:paraId="25F2A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rPr>
            </w:pPr>
            <w:r>
              <w:rPr>
                <w:rFonts w:hint="default" w:hAnsi="Times New Roman" w:eastAsiaTheme="minorEastAsia"/>
                <w:snapToGrid w:val="0"/>
                <w:kern w:val="21"/>
                <w:highlight w:val="none"/>
              </w:rPr>
              <w:t>居住区</w:t>
            </w:r>
          </w:p>
        </w:tc>
        <w:tc>
          <w:tcPr>
            <w:tcW w:w="709" w:type="dxa"/>
            <w:vMerge w:val="restart"/>
            <w:tcBorders>
              <w:tl2br w:val="nil"/>
              <w:tr2bl w:val="nil"/>
            </w:tcBorders>
            <w:vAlign w:val="center"/>
          </w:tcPr>
          <w:p w14:paraId="5F509A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eastAsia" w:ascii="Times New Roman" w:hAnsi="Times New Roman" w:cs="Times New Roman" w:eastAsiaTheme="minorEastAsia"/>
                <w:snapToGrid w:val="0"/>
                <w:kern w:val="21"/>
                <w:sz w:val="21"/>
                <w:szCs w:val="21"/>
                <w:highlight w:val="none"/>
                <w:lang w:val="en-US" w:eastAsia="zh-CN"/>
              </w:rPr>
            </w:pPr>
            <w:r>
              <w:rPr>
                <w:rFonts w:hint="eastAsia" w:ascii="Times New Roman" w:hAnsi="Times New Roman" w:cs="Times New Roman" w:eastAsiaTheme="minorEastAsia"/>
                <w:snapToGrid w:val="0"/>
                <w:kern w:val="21"/>
                <w:sz w:val="21"/>
                <w:szCs w:val="21"/>
                <w:highlight w:val="none"/>
                <w:lang w:val="en-US" w:eastAsia="zh-CN"/>
              </w:rPr>
              <w:t>人群</w:t>
            </w:r>
          </w:p>
        </w:tc>
        <w:tc>
          <w:tcPr>
            <w:tcW w:w="797" w:type="dxa"/>
            <w:vMerge w:val="restart"/>
            <w:tcBorders>
              <w:tl2br w:val="nil"/>
              <w:tr2bl w:val="nil"/>
            </w:tcBorders>
            <w:vAlign w:val="center"/>
          </w:tcPr>
          <w:p w14:paraId="3B9FD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eastAsia" w:ascii="Times New Roman" w:hAnsi="Times New Roman" w:cs="Times New Roman" w:eastAsiaTheme="minorEastAsia"/>
                <w:snapToGrid w:val="0"/>
                <w:kern w:val="21"/>
                <w:sz w:val="21"/>
                <w:szCs w:val="21"/>
                <w:highlight w:val="none"/>
                <w:lang w:val="en-US" w:eastAsia="zh-CN"/>
              </w:rPr>
            </w:pPr>
            <w:r>
              <w:rPr>
                <w:rFonts w:hint="eastAsia" w:ascii="Times New Roman" w:hAnsi="Times New Roman" w:cs="Times New Roman" w:eastAsiaTheme="minorEastAsia"/>
                <w:snapToGrid w:val="0"/>
                <w:kern w:val="21"/>
                <w:sz w:val="21"/>
                <w:szCs w:val="21"/>
                <w:highlight w:val="none"/>
                <w:lang w:val="en-US" w:eastAsia="zh-CN"/>
              </w:rPr>
              <w:t>二类</w:t>
            </w:r>
          </w:p>
        </w:tc>
        <w:tc>
          <w:tcPr>
            <w:tcW w:w="654" w:type="dxa"/>
            <w:tcBorders>
              <w:tl2br w:val="nil"/>
              <w:tr2bl w:val="nil"/>
            </w:tcBorders>
            <w:vAlign w:val="center"/>
          </w:tcPr>
          <w:p w14:paraId="7AFEA7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rPr>
            </w:pPr>
            <w:r>
              <w:rPr>
                <w:rFonts w:hint="eastAsia" w:cs="Times New Roman" w:eastAsiaTheme="minorEastAsia"/>
                <w:snapToGrid w:val="0"/>
                <w:kern w:val="21"/>
                <w:sz w:val="21"/>
                <w:szCs w:val="21"/>
                <w:highlight w:val="none"/>
                <w:lang w:val="en-US" w:eastAsia="zh-CN"/>
              </w:rPr>
              <w:t>NW</w:t>
            </w:r>
          </w:p>
        </w:tc>
        <w:tc>
          <w:tcPr>
            <w:tcW w:w="911" w:type="dxa"/>
            <w:tcBorders>
              <w:tl2br w:val="nil"/>
              <w:tr2bl w:val="nil"/>
            </w:tcBorders>
            <w:shd w:val="clear" w:color="auto" w:fill="auto"/>
            <w:vAlign w:val="center"/>
          </w:tcPr>
          <w:p w14:paraId="20BCF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rPr>
            </w:pPr>
            <w:r>
              <w:rPr>
                <w:rFonts w:hint="eastAsia" w:cs="Times New Roman" w:eastAsiaTheme="minorEastAsia"/>
                <w:snapToGrid w:val="0"/>
                <w:kern w:val="21"/>
                <w:sz w:val="21"/>
                <w:szCs w:val="21"/>
                <w:highlight w:val="none"/>
                <w:lang w:val="en-US" w:eastAsia="zh-CN"/>
              </w:rPr>
              <w:t>2550</w:t>
            </w:r>
          </w:p>
        </w:tc>
      </w:tr>
      <w:tr w14:paraId="2C209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3576A6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rPr>
            </w:pPr>
            <w:r>
              <w:rPr>
                <w:rFonts w:hint="eastAsia" w:cs="Times New Roman" w:eastAsiaTheme="minorEastAsia"/>
                <w:snapToGrid w:val="0"/>
                <w:kern w:val="21"/>
                <w:sz w:val="21"/>
                <w:szCs w:val="21"/>
                <w:highlight w:val="none"/>
                <w:lang w:eastAsia="zh-CN"/>
              </w:rPr>
              <w:t>西柞</w:t>
            </w:r>
            <w:r>
              <w:rPr>
                <w:rFonts w:hint="default" w:ascii="Times New Roman" w:hAnsi="Times New Roman" w:cs="Times New Roman" w:eastAsiaTheme="minorEastAsia"/>
                <w:snapToGrid w:val="0"/>
                <w:kern w:val="21"/>
                <w:sz w:val="21"/>
                <w:szCs w:val="21"/>
                <w:highlight w:val="none"/>
              </w:rPr>
              <w:t>村</w:t>
            </w:r>
          </w:p>
        </w:tc>
        <w:tc>
          <w:tcPr>
            <w:tcW w:w="1275" w:type="dxa"/>
            <w:tcBorders>
              <w:tl2br w:val="nil"/>
              <w:tr2bl w:val="nil"/>
            </w:tcBorders>
            <w:vAlign w:val="center"/>
          </w:tcPr>
          <w:p w14:paraId="62D20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rPr>
            </w:pPr>
            <w:r>
              <w:rPr>
                <w:rFonts w:hint="default" w:ascii="Times New Roman" w:hAnsi="Times New Roman" w:cs="Times New Roman" w:eastAsiaTheme="minorEastAsia"/>
                <w:snapToGrid w:val="0"/>
                <w:kern w:val="21"/>
                <w:sz w:val="21"/>
                <w:szCs w:val="21"/>
                <w:highlight w:val="none"/>
              </w:rPr>
              <w:t>126.729160389</w:t>
            </w:r>
          </w:p>
        </w:tc>
        <w:tc>
          <w:tcPr>
            <w:tcW w:w="1134" w:type="dxa"/>
            <w:tcBorders>
              <w:tl2br w:val="nil"/>
              <w:tr2bl w:val="nil"/>
            </w:tcBorders>
            <w:vAlign w:val="center"/>
          </w:tcPr>
          <w:p w14:paraId="7F4B50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rPr>
            </w:pPr>
            <w:r>
              <w:rPr>
                <w:rFonts w:hint="default" w:ascii="Times New Roman" w:hAnsi="Times New Roman" w:cs="Times New Roman" w:eastAsiaTheme="minorEastAsia"/>
                <w:snapToGrid w:val="0"/>
                <w:kern w:val="21"/>
                <w:sz w:val="21"/>
                <w:szCs w:val="21"/>
                <w:highlight w:val="none"/>
              </w:rPr>
              <w:t>45.686154500</w:t>
            </w:r>
          </w:p>
        </w:tc>
        <w:tc>
          <w:tcPr>
            <w:tcW w:w="1276" w:type="dxa"/>
            <w:vMerge w:val="restart"/>
            <w:tcBorders>
              <w:tl2br w:val="nil"/>
              <w:tr2bl w:val="nil"/>
            </w:tcBorders>
            <w:vAlign w:val="center"/>
          </w:tcPr>
          <w:p w14:paraId="263889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rPr>
            </w:pPr>
            <w:r>
              <w:rPr>
                <w:rFonts w:hint="default" w:ascii="Times New Roman" w:hAnsi="Times New Roman" w:cs="Times New Roman" w:eastAsiaTheme="minorEastAsia"/>
                <w:snapToGrid w:val="0"/>
                <w:kern w:val="21"/>
                <w:sz w:val="21"/>
                <w:szCs w:val="21"/>
                <w:highlight w:val="none"/>
              </w:rPr>
              <w:t>农村地区中人群较集中的区域</w:t>
            </w:r>
          </w:p>
        </w:tc>
        <w:tc>
          <w:tcPr>
            <w:tcW w:w="709" w:type="dxa"/>
            <w:vMerge w:val="continue"/>
            <w:tcBorders>
              <w:tl2br w:val="nil"/>
              <w:tr2bl w:val="nil"/>
            </w:tcBorders>
            <w:vAlign w:val="center"/>
          </w:tcPr>
          <w:p w14:paraId="36352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eastAsia" w:ascii="Times New Roman" w:hAnsi="Times New Roman" w:cs="Times New Roman" w:eastAsiaTheme="minorEastAsia"/>
                <w:snapToGrid w:val="0"/>
                <w:kern w:val="21"/>
                <w:sz w:val="21"/>
                <w:szCs w:val="21"/>
                <w:highlight w:val="none"/>
                <w:lang w:val="en-US" w:eastAsia="zh-CN"/>
              </w:rPr>
            </w:pPr>
          </w:p>
        </w:tc>
        <w:tc>
          <w:tcPr>
            <w:tcW w:w="797" w:type="dxa"/>
            <w:vMerge w:val="continue"/>
            <w:tcBorders>
              <w:tl2br w:val="nil"/>
              <w:tr2bl w:val="nil"/>
            </w:tcBorders>
            <w:vAlign w:val="center"/>
          </w:tcPr>
          <w:p w14:paraId="7EAB9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eastAsia" w:ascii="Times New Roman" w:hAnsi="Times New Roman" w:cs="Times New Roman" w:eastAsiaTheme="minorEastAsia"/>
                <w:snapToGrid w:val="0"/>
                <w:kern w:val="21"/>
                <w:sz w:val="21"/>
                <w:szCs w:val="21"/>
                <w:highlight w:val="none"/>
                <w:lang w:val="en-US" w:eastAsia="zh-CN"/>
              </w:rPr>
            </w:pPr>
          </w:p>
        </w:tc>
        <w:tc>
          <w:tcPr>
            <w:tcW w:w="654" w:type="dxa"/>
            <w:tcBorders>
              <w:tl2br w:val="nil"/>
              <w:tr2bl w:val="nil"/>
            </w:tcBorders>
            <w:vAlign w:val="center"/>
          </w:tcPr>
          <w:p w14:paraId="40912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rPr>
            </w:pPr>
            <w:r>
              <w:rPr>
                <w:rFonts w:hint="eastAsia" w:cs="Times New Roman" w:eastAsiaTheme="minorEastAsia"/>
                <w:snapToGrid w:val="0"/>
                <w:kern w:val="21"/>
                <w:sz w:val="21"/>
                <w:szCs w:val="21"/>
                <w:highlight w:val="none"/>
                <w:lang w:val="en-US" w:eastAsia="zh-CN"/>
              </w:rPr>
              <w:t>NW</w:t>
            </w:r>
          </w:p>
        </w:tc>
        <w:tc>
          <w:tcPr>
            <w:tcW w:w="911" w:type="dxa"/>
            <w:tcBorders>
              <w:tl2br w:val="nil"/>
              <w:tr2bl w:val="nil"/>
            </w:tcBorders>
            <w:shd w:val="clear" w:color="auto" w:fill="auto"/>
            <w:vAlign w:val="center"/>
          </w:tcPr>
          <w:p w14:paraId="645A6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rPr>
            </w:pPr>
            <w:r>
              <w:rPr>
                <w:rFonts w:hint="eastAsia" w:cs="Times New Roman" w:eastAsiaTheme="minorEastAsia"/>
                <w:snapToGrid w:val="0"/>
                <w:kern w:val="21"/>
                <w:sz w:val="21"/>
                <w:szCs w:val="21"/>
                <w:highlight w:val="none"/>
                <w:lang w:val="en-US" w:eastAsia="zh-CN"/>
              </w:rPr>
              <w:t>2010</w:t>
            </w:r>
          </w:p>
        </w:tc>
      </w:tr>
      <w:tr w14:paraId="5EDA2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266F8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eastAsia" w:ascii="Times New Roman" w:hAnsi="Times New Roman" w:cs="Times New Roman" w:eastAsiaTheme="minorEastAsia"/>
                <w:snapToGrid w:val="0"/>
                <w:kern w:val="21"/>
                <w:sz w:val="21"/>
                <w:szCs w:val="21"/>
                <w:highlight w:val="none"/>
                <w:lang w:eastAsia="zh-CN"/>
              </w:rPr>
            </w:pPr>
            <w:r>
              <w:rPr>
                <w:rFonts w:hint="eastAsia" w:cs="Times New Roman" w:eastAsiaTheme="minorEastAsia"/>
                <w:snapToGrid w:val="0"/>
                <w:kern w:val="21"/>
                <w:sz w:val="21"/>
                <w:szCs w:val="21"/>
                <w:highlight w:val="none"/>
                <w:lang w:eastAsia="zh-CN"/>
              </w:rPr>
              <w:t>曹家窝堡</w:t>
            </w:r>
          </w:p>
        </w:tc>
        <w:tc>
          <w:tcPr>
            <w:tcW w:w="1275" w:type="dxa"/>
            <w:tcBorders>
              <w:tl2br w:val="nil"/>
              <w:tr2bl w:val="nil"/>
            </w:tcBorders>
            <w:vAlign w:val="center"/>
          </w:tcPr>
          <w:p w14:paraId="3EC4EC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rPr>
            </w:pPr>
            <w:r>
              <w:rPr>
                <w:rFonts w:hint="default" w:ascii="Times New Roman" w:hAnsi="Times New Roman" w:cs="Times New Roman" w:eastAsiaTheme="minorEastAsia"/>
                <w:snapToGrid w:val="0"/>
                <w:kern w:val="21"/>
                <w:sz w:val="21"/>
                <w:szCs w:val="21"/>
                <w:highlight w:val="none"/>
              </w:rPr>
              <w:t>126.723087869</w:t>
            </w:r>
          </w:p>
        </w:tc>
        <w:tc>
          <w:tcPr>
            <w:tcW w:w="1134" w:type="dxa"/>
            <w:tcBorders>
              <w:tl2br w:val="nil"/>
              <w:tr2bl w:val="nil"/>
            </w:tcBorders>
            <w:vAlign w:val="center"/>
          </w:tcPr>
          <w:p w14:paraId="6A7D5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rPr>
            </w:pPr>
            <w:r>
              <w:rPr>
                <w:rFonts w:hint="default" w:ascii="Times New Roman" w:hAnsi="Times New Roman" w:cs="Times New Roman" w:eastAsiaTheme="minorEastAsia"/>
                <w:snapToGrid w:val="0"/>
                <w:kern w:val="21"/>
                <w:sz w:val="21"/>
                <w:szCs w:val="21"/>
                <w:highlight w:val="none"/>
              </w:rPr>
              <w:t>45.678449072</w:t>
            </w:r>
          </w:p>
        </w:tc>
        <w:tc>
          <w:tcPr>
            <w:tcW w:w="1276" w:type="dxa"/>
            <w:vMerge w:val="continue"/>
            <w:tcBorders>
              <w:tl2br w:val="nil"/>
              <w:tr2bl w:val="nil"/>
            </w:tcBorders>
            <w:vAlign w:val="center"/>
          </w:tcPr>
          <w:p w14:paraId="2D386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rPr>
            </w:pPr>
          </w:p>
        </w:tc>
        <w:tc>
          <w:tcPr>
            <w:tcW w:w="709" w:type="dxa"/>
            <w:vMerge w:val="continue"/>
            <w:tcBorders>
              <w:tl2br w:val="nil"/>
              <w:tr2bl w:val="nil"/>
            </w:tcBorders>
            <w:vAlign w:val="center"/>
          </w:tcPr>
          <w:p w14:paraId="5BDF3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eastAsia" w:ascii="Times New Roman" w:hAnsi="Times New Roman" w:cs="Times New Roman" w:eastAsiaTheme="minorEastAsia"/>
                <w:snapToGrid w:val="0"/>
                <w:kern w:val="21"/>
                <w:sz w:val="21"/>
                <w:szCs w:val="21"/>
                <w:highlight w:val="none"/>
                <w:lang w:val="en-US" w:eastAsia="zh-CN"/>
              </w:rPr>
            </w:pPr>
          </w:p>
        </w:tc>
        <w:tc>
          <w:tcPr>
            <w:tcW w:w="797" w:type="dxa"/>
            <w:vMerge w:val="continue"/>
            <w:tcBorders>
              <w:tl2br w:val="nil"/>
              <w:tr2bl w:val="nil"/>
            </w:tcBorders>
            <w:vAlign w:val="center"/>
          </w:tcPr>
          <w:p w14:paraId="200F4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eastAsia" w:ascii="Times New Roman" w:hAnsi="Times New Roman" w:cs="Times New Roman" w:eastAsiaTheme="minorEastAsia"/>
                <w:snapToGrid w:val="0"/>
                <w:kern w:val="21"/>
                <w:sz w:val="21"/>
                <w:szCs w:val="21"/>
                <w:highlight w:val="none"/>
                <w:lang w:val="en-US" w:eastAsia="zh-CN"/>
              </w:rPr>
            </w:pPr>
          </w:p>
        </w:tc>
        <w:tc>
          <w:tcPr>
            <w:tcW w:w="654" w:type="dxa"/>
            <w:tcBorders>
              <w:tl2br w:val="nil"/>
              <w:tr2bl w:val="nil"/>
            </w:tcBorders>
            <w:vAlign w:val="center"/>
          </w:tcPr>
          <w:p w14:paraId="4163E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rPr>
            </w:pPr>
            <w:r>
              <w:rPr>
                <w:rFonts w:hint="eastAsia" w:cs="Times New Roman" w:eastAsiaTheme="minorEastAsia"/>
                <w:snapToGrid w:val="0"/>
                <w:kern w:val="21"/>
                <w:sz w:val="21"/>
                <w:szCs w:val="21"/>
                <w:highlight w:val="none"/>
                <w:lang w:val="en-US" w:eastAsia="zh-CN"/>
              </w:rPr>
              <w:t>NW</w:t>
            </w:r>
          </w:p>
        </w:tc>
        <w:tc>
          <w:tcPr>
            <w:tcW w:w="911" w:type="dxa"/>
            <w:tcBorders>
              <w:tl2br w:val="nil"/>
              <w:tr2bl w:val="nil"/>
            </w:tcBorders>
            <w:shd w:val="clear" w:color="auto" w:fill="auto"/>
            <w:vAlign w:val="center"/>
          </w:tcPr>
          <w:p w14:paraId="304CB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rPr>
            </w:pPr>
            <w:r>
              <w:rPr>
                <w:rFonts w:hint="eastAsia" w:cs="Times New Roman" w:eastAsiaTheme="minorEastAsia"/>
                <w:snapToGrid w:val="0"/>
                <w:kern w:val="21"/>
                <w:sz w:val="21"/>
                <w:szCs w:val="21"/>
                <w:highlight w:val="none"/>
                <w:lang w:val="en-US" w:eastAsia="zh-CN"/>
              </w:rPr>
              <w:t>1090</w:t>
            </w:r>
          </w:p>
        </w:tc>
      </w:tr>
      <w:tr w14:paraId="6DF18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54FE06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eastAsia" w:eastAsia="宋体"/>
                <w:sz w:val="21"/>
                <w:szCs w:val="21"/>
                <w:highlight w:val="none"/>
                <w:lang w:eastAsia="zh-CN"/>
              </w:rPr>
            </w:pPr>
            <w:r>
              <w:rPr>
                <w:rFonts w:hint="eastAsia"/>
                <w:sz w:val="21"/>
                <w:szCs w:val="21"/>
                <w:highlight w:val="none"/>
                <w:lang w:eastAsia="zh-CN"/>
              </w:rPr>
              <w:t>东柞村</w:t>
            </w:r>
          </w:p>
        </w:tc>
        <w:tc>
          <w:tcPr>
            <w:tcW w:w="1275" w:type="dxa"/>
            <w:tcBorders>
              <w:tl2br w:val="nil"/>
              <w:tr2bl w:val="nil"/>
            </w:tcBorders>
            <w:vAlign w:val="center"/>
          </w:tcPr>
          <w:p w14:paraId="3FD08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default" w:eastAsiaTheme="minorEastAsia"/>
                <w:sz w:val="21"/>
                <w:szCs w:val="21"/>
                <w:highlight w:val="none"/>
              </w:rPr>
            </w:pPr>
            <w:r>
              <w:rPr>
                <w:rFonts w:hint="default" w:eastAsiaTheme="minorEastAsia"/>
                <w:sz w:val="21"/>
                <w:szCs w:val="21"/>
                <w:highlight w:val="none"/>
              </w:rPr>
              <w:t>126.744009100</w:t>
            </w:r>
          </w:p>
        </w:tc>
        <w:tc>
          <w:tcPr>
            <w:tcW w:w="1134" w:type="dxa"/>
            <w:tcBorders>
              <w:tl2br w:val="nil"/>
              <w:tr2bl w:val="nil"/>
            </w:tcBorders>
            <w:vAlign w:val="center"/>
          </w:tcPr>
          <w:p w14:paraId="61E85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sz w:val="21"/>
                <w:szCs w:val="21"/>
                <w:highlight w:val="none"/>
              </w:rPr>
            </w:pPr>
            <w:r>
              <w:rPr>
                <w:rFonts w:hint="default" w:eastAsiaTheme="minorEastAsia"/>
                <w:sz w:val="21"/>
                <w:szCs w:val="21"/>
                <w:highlight w:val="none"/>
              </w:rPr>
              <w:t>45.687173817</w:t>
            </w:r>
          </w:p>
        </w:tc>
        <w:tc>
          <w:tcPr>
            <w:tcW w:w="1276" w:type="dxa"/>
            <w:vMerge w:val="continue"/>
            <w:tcBorders>
              <w:tl2br w:val="nil"/>
              <w:tr2bl w:val="nil"/>
            </w:tcBorders>
            <w:vAlign w:val="center"/>
          </w:tcPr>
          <w:p w14:paraId="4E233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default" w:eastAsiaTheme="minorEastAsia"/>
                <w:sz w:val="21"/>
                <w:szCs w:val="21"/>
                <w:highlight w:val="none"/>
              </w:rPr>
            </w:pPr>
          </w:p>
        </w:tc>
        <w:tc>
          <w:tcPr>
            <w:tcW w:w="709" w:type="dxa"/>
            <w:vMerge w:val="continue"/>
            <w:tcBorders>
              <w:tl2br w:val="nil"/>
              <w:tr2bl w:val="nil"/>
            </w:tcBorders>
            <w:vAlign w:val="center"/>
          </w:tcPr>
          <w:p w14:paraId="0C3D8D9A">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eastAsia" w:ascii="Times New Roman" w:hAnsi="Times New Roman" w:cs="Times New Roman" w:eastAsiaTheme="minorEastAsia"/>
                <w:snapToGrid w:val="0"/>
                <w:kern w:val="21"/>
                <w:sz w:val="21"/>
                <w:szCs w:val="21"/>
                <w:highlight w:val="none"/>
                <w:lang w:val="en-US" w:eastAsia="zh-CN" w:bidi="ar-SA"/>
              </w:rPr>
            </w:pPr>
          </w:p>
        </w:tc>
        <w:tc>
          <w:tcPr>
            <w:tcW w:w="797" w:type="dxa"/>
            <w:vMerge w:val="continue"/>
            <w:tcBorders>
              <w:tl2br w:val="nil"/>
              <w:tr2bl w:val="nil"/>
            </w:tcBorders>
            <w:vAlign w:val="center"/>
          </w:tcPr>
          <w:p w14:paraId="14164859">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654" w:type="dxa"/>
            <w:tcBorders>
              <w:tl2br w:val="nil"/>
              <w:tr2bl w:val="nil"/>
            </w:tcBorders>
            <w:vAlign w:val="center"/>
          </w:tcPr>
          <w:p w14:paraId="28AE1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eastAsia="宋体"/>
                <w:sz w:val="21"/>
                <w:szCs w:val="21"/>
                <w:highlight w:val="none"/>
                <w:lang w:val="en-US" w:eastAsia="zh-CN"/>
              </w:rPr>
            </w:pPr>
            <w:r>
              <w:rPr>
                <w:rFonts w:hint="eastAsia"/>
                <w:sz w:val="21"/>
                <w:szCs w:val="21"/>
                <w:highlight w:val="none"/>
                <w:lang w:val="en-US" w:eastAsia="zh-CN"/>
              </w:rPr>
              <w:t>NE</w:t>
            </w:r>
          </w:p>
        </w:tc>
        <w:tc>
          <w:tcPr>
            <w:tcW w:w="911" w:type="dxa"/>
            <w:tcBorders>
              <w:tl2br w:val="nil"/>
              <w:tr2bl w:val="nil"/>
            </w:tcBorders>
            <w:shd w:val="clear" w:color="auto" w:fill="auto"/>
            <w:vAlign w:val="center"/>
          </w:tcPr>
          <w:p w14:paraId="4EB9A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eastAsia="宋体"/>
                <w:sz w:val="21"/>
                <w:szCs w:val="21"/>
                <w:highlight w:val="none"/>
                <w:lang w:val="en-US" w:eastAsia="zh-CN"/>
              </w:rPr>
            </w:pPr>
            <w:r>
              <w:rPr>
                <w:rFonts w:hint="eastAsia"/>
                <w:sz w:val="21"/>
                <w:szCs w:val="21"/>
                <w:highlight w:val="none"/>
                <w:lang w:val="en-US" w:eastAsia="zh-CN"/>
              </w:rPr>
              <w:t>2720</w:t>
            </w:r>
          </w:p>
        </w:tc>
      </w:tr>
      <w:tr w14:paraId="16272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3BAB3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eastAsia" w:eastAsia="宋体"/>
                <w:sz w:val="21"/>
                <w:szCs w:val="21"/>
                <w:highlight w:val="none"/>
                <w:lang w:eastAsia="zh-CN"/>
              </w:rPr>
            </w:pPr>
            <w:r>
              <w:rPr>
                <w:rFonts w:hint="eastAsia"/>
                <w:sz w:val="21"/>
                <w:szCs w:val="21"/>
                <w:highlight w:val="none"/>
                <w:lang w:eastAsia="zh-CN"/>
              </w:rPr>
              <w:t>孙家村</w:t>
            </w:r>
          </w:p>
        </w:tc>
        <w:tc>
          <w:tcPr>
            <w:tcW w:w="1275" w:type="dxa"/>
            <w:tcBorders>
              <w:tl2br w:val="nil"/>
              <w:tr2bl w:val="nil"/>
            </w:tcBorders>
            <w:vAlign w:val="center"/>
          </w:tcPr>
          <w:p w14:paraId="07321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default" w:eastAsiaTheme="minorEastAsia"/>
                <w:sz w:val="21"/>
                <w:szCs w:val="21"/>
                <w:highlight w:val="none"/>
              </w:rPr>
            </w:pPr>
            <w:r>
              <w:rPr>
                <w:rFonts w:hint="default" w:eastAsiaTheme="minorEastAsia"/>
                <w:sz w:val="21"/>
                <w:szCs w:val="21"/>
                <w:highlight w:val="none"/>
              </w:rPr>
              <w:t>126.752978407</w:t>
            </w:r>
          </w:p>
        </w:tc>
        <w:tc>
          <w:tcPr>
            <w:tcW w:w="1134" w:type="dxa"/>
            <w:tcBorders>
              <w:tl2br w:val="nil"/>
              <w:tr2bl w:val="nil"/>
            </w:tcBorders>
            <w:vAlign w:val="center"/>
          </w:tcPr>
          <w:p w14:paraId="470A7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sz w:val="21"/>
                <w:szCs w:val="21"/>
                <w:highlight w:val="none"/>
              </w:rPr>
            </w:pPr>
            <w:r>
              <w:rPr>
                <w:rFonts w:hint="default" w:eastAsiaTheme="minorEastAsia"/>
                <w:sz w:val="21"/>
                <w:szCs w:val="21"/>
                <w:highlight w:val="none"/>
              </w:rPr>
              <w:t>45.676110248</w:t>
            </w:r>
          </w:p>
        </w:tc>
        <w:tc>
          <w:tcPr>
            <w:tcW w:w="1276" w:type="dxa"/>
            <w:vMerge w:val="continue"/>
            <w:tcBorders>
              <w:tl2br w:val="nil"/>
              <w:tr2bl w:val="nil"/>
            </w:tcBorders>
            <w:vAlign w:val="center"/>
          </w:tcPr>
          <w:p w14:paraId="5709D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default" w:eastAsiaTheme="minorEastAsia"/>
                <w:sz w:val="21"/>
                <w:szCs w:val="21"/>
                <w:highlight w:val="none"/>
              </w:rPr>
            </w:pPr>
          </w:p>
        </w:tc>
        <w:tc>
          <w:tcPr>
            <w:tcW w:w="709" w:type="dxa"/>
            <w:vMerge w:val="continue"/>
            <w:tcBorders>
              <w:tl2br w:val="nil"/>
              <w:tr2bl w:val="nil"/>
            </w:tcBorders>
            <w:vAlign w:val="center"/>
          </w:tcPr>
          <w:p w14:paraId="0370B034">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797" w:type="dxa"/>
            <w:vMerge w:val="continue"/>
            <w:tcBorders>
              <w:tl2br w:val="nil"/>
              <w:tr2bl w:val="nil"/>
            </w:tcBorders>
            <w:vAlign w:val="center"/>
          </w:tcPr>
          <w:p w14:paraId="6C5259D8">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654" w:type="dxa"/>
            <w:tcBorders>
              <w:tl2br w:val="nil"/>
              <w:tr2bl w:val="nil"/>
            </w:tcBorders>
            <w:vAlign w:val="center"/>
          </w:tcPr>
          <w:p w14:paraId="09D04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eastAsia="宋体"/>
                <w:sz w:val="21"/>
                <w:szCs w:val="21"/>
                <w:highlight w:val="none"/>
                <w:lang w:val="en-US" w:eastAsia="zh-CN"/>
              </w:rPr>
            </w:pPr>
            <w:r>
              <w:rPr>
                <w:rFonts w:hint="eastAsia"/>
                <w:sz w:val="21"/>
                <w:szCs w:val="21"/>
                <w:highlight w:val="none"/>
                <w:lang w:val="en-US" w:eastAsia="zh-CN"/>
              </w:rPr>
              <w:t>NE</w:t>
            </w:r>
          </w:p>
        </w:tc>
        <w:tc>
          <w:tcPr>
            <w:tcW w:w="911" w:type="dxa"/>
            <w:tcBorders>
              <w:tl2br w:val="nil"/>
              <w:tr2bl w:val="nil"/>
            </w:tcBorders>
            <w:shd w:val="clear" w:color="auto" w:fill="auto"/>
            <w:vAlign w:val="center"/>
          </w:tcPr>
          <w:p w14:paraId="0906F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eastAsia="宋体"/>
                <w:sz w:val="21"/>
                <w:szCs w:val="21"/>
                <w:highlight w:val="none"/>
                <w:lang w:val="en-US" w:eastAsia="zh-CN"/>
              </w:rPr>
            </w:pPr>
            <w:r>
              <w:rPr>
                <w:rFonts w:hint="eastAsia"/>
                <w:sz w:val="21"/>
                <w:szCs w:val="21"/>
                <w:highlight w:val="none"/>
                <w:lang w:val="en-US" w:eastAsia="zh-CN"/>
              </w:rPr>
              <w:t>2160</w:t>
            </w:r>
          </w:p>
        </w:tc>
      </w:tr>
      <w:tr w14:paraId="4C166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61C705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eastAsia" w:eastAsia="宋体"/>
                <w:sz w:val="21"/>
                <w:szCs w:val="21"/>
                <w:highlight w:val="none"/>
                <w:lang w:eastAsia="zh-CN"/>
              </w:rPr>
            </w:pPr>
            <w:r>
              <w:rPr>
                <w:rFonts w:hint="eastAsia"/>
                <w:sz w:val="21"/>
                <w:szCs w:val="21"/>
                <w:highlight w:val="none"/>
                <w:lang w:eastAsia="zh-CN"/>
              </w:rPr>
              <w:t>幸福村</w:t>
            </w:r>
          </w:p>
        </w:tc>
        <w:tc>
          <w:tcPr>
            <w:tcW w:w="1275" w:type="dxa"/>
            <w:tcBorders>
              <w:tl2br w:val="nil"/>
              <w:tr2bl w:val="nil"/>
            </w:tcBorders>
            <w:vAlign w:val="center"/>
          </w:tcPr>
          <w:p w14:paraId="0ABA8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default" w:eastAsiaTheme="minorEastAsia"/>
                <w:sz w:val="21"/>
                <w:szCs w:val="21"/>
                <w:highlight w:val="none"/>
              </w:rPr>
            </w:pPr>
            <w:r>
              <w:rPr>
                <w:rFonts w:hint="default" w:eastAsiaTheme="minorEastAsia"/>
                <w:sz w:val="21"/>
                <w:szCs w:val="21"/>
                <w:highlight w:val="none"/>
              </w:rPr>
              <w:t>126.734438978</w:t>
            </w:r>
          </w:p>
        </w:tc>
        <w:tc>
          <w:tcPr>
            <w:tcW w:w="1134" w:type="dxa"/>
            <w:tcBorders>
              <w:tl2br w:val="nil"/>
              <w:tr2bl w:val="nil"/>
            </w:tcBorders>
            <w:vAlign w:val="center"/>
          </w:tcPr>
          <w:p w14:paraId="33A57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sz w:val="21"/>
                <w:szCs w:val="21"/>
                <w:highlight w:val="none"/>
              </w:rPr>
            </w:pPr>
            <w:r>
              <w:rPr>
                <w:rFonts w:hint="default" w:eastAsiaTheme="minorEastAsia"/>
                <w:sz w:val="21"/>
                <w:szCs w:val="21"/>
                <w:highlight w:val="none"/>
              </w:rPr>
              <w:t>45.662825078</w:t>
            </w:r>
          </w:p>
        </w:tc>
        <w:tc>
          <w:tcPr>
            <w:tcW w:w="1276" w:type="dxa"/>
            <w:vMerge w:val="continue"/>
            <w:tcBorders>
              <w:tl2br w:val="nil"/>
              <w:tr2bl w:val="nil"/>
            </w:tcBorders>
            <w:vAlign w:val="center"/>
          </w:tcPr>
          <w:p w14:paraId="18EF2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default" w:eastAsiaTheme="minorEastAsia"/>
                <w:sz w:val="21"/>
                <w:szCs w:val="21"/>
                <w:highlight w:val="none"/>
              </w:rPr>
            </w:pPr>
          </w:p>
        </w:tc>
        <w:tc>
          <w:tcPr>
            <w:tcW w:w="709" w:type="dxa"/>
            <w:vMerge w:val="continue"/>
            <w:tcBorders>
              <w:tl2br w:val="nil"/>
              <w:tr2bl w:val="nil"/>
            </w:tcBorders>
            <w:vAlign w:val="center"/>
          </w:tcPr>
          <w:p w14:paraId="596F2A60">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797" w:type="dxa"/>
            <w:vMerge w:val="continue"/>
            <w:tcBorders>
              <w:tl2br w:val="nil"/>
              <w:tr2bl w:val="nil"/>
            </w:tcBorders>
            <w:vAlign w:val="center"/>
          </w:tcPr>
          <w:p w14:paraId="09026D70">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654" w:type="dxa"/>
            <w:tcBorders>
              <w:tl2br w:val="nil"/>
              <w:tr2bl w:val="nil"/>
            </w:tcBorders>
            <w:vAlign w:val="center"/>
          </w:tcPr>
          <w:p w14:paraId="5418C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eastAsia" w:eastAsia="宋体"/>
                <w:sz w:val="21"/>
                <w:szCs w:val="21"/>
                <w:highlight w:val="none"/>
                <w:lang w:val="en-US" w:eastAsia="zh-CN"/>
              </w:rPr>
            </w:pPr>
            <w:r>
              <w:rPr>
                <w:rFonts w:hint="eastAsia"/>
                <w:sz w:val="21"/>
                <w:szCs w:val="21"/>
                <w:highlight w:val="none"/>
                <w:lang w:val="en-US" w:eastAsia="zh-CN"/>
              </w:rPr>
              <w:t>E</w:t>
            </w:r>
          </w:p>
        </w:tc>
        <w:tc>
          <w:tcPr>
            <w:tcW w:w="911" w:type="dxa"/>
            <w:tcBorders>
              <w:tl2br w:val="nil"/>
              <w:tr2bl w:val="nil"/>
            </w:tcBorders>
            <w:shd w:val="clear" w:color="auto" w:fill="auto"/>
            <w:vAlign w:val="center"/>
          </w:tcPr>
          <w:p w14:paraId="7656E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eastAsia="宋体"/>
                <w:sz w:val="21"/>
                <w:szCs w:val="21"/>
                <w:highlight w:val="none"/>
                <w:lang w:val="en-US" w:eastAsia="zh-CN"/>
              </w:rPr>
            </w:pPr>
            <w:r>
              <w:rPr>
                <w:rFonts w:hint="eastAsia"/>
                <w:sz w:val="21"/>
                <w:szCs w:val="21"/>
                <w:highlight w:val="none"/>
                <w:lang w:val="en-US" w:eastAsia="zh-CN"/>
              </w:rPr>
              <w:t>450</w:t>
            </w:r>
          </w:p>
        </w:tc>
      </w:tr>
      <w:tr w14:paraId="5EA98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63C6E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eastAsia" w:eastAsia="宋体"/>
                <w:sz w:val="21"/>
                <w:szCs w:val="21"/>
                <w:highlight w:val="none"/>
                <w:lang w:eastAsia="zh-CN"/>
              </w:rPr>
            </w:pPr>
            <w:r>
              <w:rPr>
                <w:rFonts w:hint="eastAsia"/>
                <w:sz w:val="21"/>
                <w:szCs w:val="21"/>
                <w:highlight w:val="none"/>
                <w:lang w:eastAsia="zh-CN"/>
              </w:rPr>
              <w:t>坝墙子屯</w:t>
            </w:r>
          </w:p>
        </w:tc>
        <w:tc>
          <w:tcPr>
            <w:tcW w:w="1275" w:type="dxa"/>
            <w:tcBorders>
              <w:tl2br w:val="nil"/>
              <w:tr2bl w:val="nil"/>
            </w:tcBorders>
            <w:vAlign w:val="center"/>
          </w:tcPr>
          <w:p w14:paraId="12886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default" w:eastAsiaTheme="minorEastAsia"/>
                <w:sz w:val="21"/>
                <w:szCs w:val="21"/>
                <w:highlight w:val="none"/>
              </w:rPr>
            </w:pPr>
            <w:r>
              <w:rPr>
                <w:rFonts w:hint="default" w:eastAsiaTheme="minorEastAsia"/>
                <w:sz w:val="21"/>
                <w:szCs w:val="21"/>
                <w:highlight w:val="none"/>
              </w:rPr>
              <w:t>126.753525577</w:t>
            </w:r>
          </w:p>
        </w:tc>
        <w:tc>
          <w:tcPr>
            <w:tcW w:w="1134" w:type="dxa"/>
            <w:tcBorders>
              <w:tl2br w:val="nil"/>
              <w:tr2bl w:val="nil"/>
            </w:tcBorders>
            <w:vAlign w:val="center"/>
          </w:tcPr>
          <w:p w14:paraId="35953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sz w:val="21"/>
                <w:szCs w:val="21"/>
                <w:highlight w:val="none"/>
              </w:rPr>
            </w:pPr>
            <w:r>
              <w:rPr>
                <w:rFonts w:hint="default" w:eastAsiaTheme="minorEastAsia"/>
                <w:sz w:val="21"/>
                <w:szCs w:val="21"/>
                <w:highlight w:val="none"/>
              </w:rPr>
              <w:t>45.652746640</w:t>
            </w:r>
          </w:p>
        </w:tc>
        <w:tc>
          <w:tcPr>
            <w:tcW w:w="1276" w:type="dxa"/>
            <w:vMerge w:val="continue"/>
            <w:tcBorders>
              <w:tl2br w:val="nil"/>
              <w:tr2bl w:val="nil"/>
            </w:tcBorders>
            <w:vAlign w:val="center"/>
          </w:tcPr>
          <w:p w14:paraId="587C8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rPr>
                <w:rFonts w:hint="default" w:eastAsiaTheme="minorEastAsia"/>
                <w:sz w:val="21"/>
                <w:szCs w:val="21"/>
                <w:highlight w:val="none"/>
              </w:rPr>
            </w:pPr>
          </w:p>
        </w:tc>
        <w:tc>
          <w:tcPr>
            <w:tcW w:w="709" w:type="dxa"/>
            <w:vMerge w:val="continue"/>
            <w:tcBorders>
              <w:tl2br w:val="nil"/>
              <w:tr2bl w:val="nil"/>
            </w:tcBorders>
            <w:vAlign w:val="center"/>
          </w:tcPr>
          <w:p w14:paraId="38567BD1">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797" w:type="dxa"/>
            <w:vMerge w:val="continue"/>
            <w:tcBorders>
              <w:tl2br w:val="nil"/>
              <w:tr2bl w:val="nil"/>
            </w:tcBorders>
            <w:vAlign w:val="center"/>
          </w:tcPr>
          <w:p w14:paraId="78F46215">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val="0"/>
                <w:kern w:val="21"/>
                <w:sz w:val="21"/>
                <w:szCs w:val="21"/>
                <w:highlight w:val="none"/>
                <w:lang w:val="en-US" w:eastAsia="zh-CN" w:bidi="ar-SA"/>
              </w:rPr>
            </w:pPr>
          </w:p>
        </w:tc>
        <w:tc>
          <w:tcPr>
            <w:tcW w:w="654" w:type="dxa"/>
            <w:tcBorders>
              <w:tl2br w:val="nil"/>
              <w:tr2bl w:val="nil"/>
            </w:tcBorders>
            <w:vAlign w:val="center"/>
          </w:tcPr>
          <w:p w14:paraId="115AF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eastAsia="宋体"/>
                <w:sz w:val="21"/>
                <w:szCs w:val="21"/>
                <w:highlight w:val="none"/>
                <w:lang w:val="en-US" w:eastAsia="zh-CN"/>
              </w:rPr>
            </w:pPr>
            <w:r>
              <w:rPr>
                <w:rFonts w:hint="eastAsia"/>
                <w:sz w:val="21"/>
                <w:szCs w:val="21"/>
                <w:highlight w:val="none"/>
                <w:lang w:val="en-US" w:eastAsia="zh-CN"/>
              </w:rPr>
              <w:t>SE</w:t>
            </w:r>
          </w:p>
        </w:tc>
        <w:tc>
          <w:tcPr>
            <w:tcW w:w="911" w:type="dxa"/>
            <w:tcBorders>
              <w:tl2br w:val="nil"/>
              <w:tr2bl w:val="nil"/>
            </w:tcBorders>
            <w:shd w:val="clear" w:color="auto" w:fill="auto"/>
            <w:vAlign w:val="center"/>
          </w:tcPr>
          <w:p w14:paraId="12DF2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baseline"/>
              <w:rPr>
                <w:rFonts w:hint="default" w:eastAsia="宋体"/>
                <w:sz w:val="21"/>
                <w:szCs w:val="21"/>
                <w:highlight w:val="none"/>
                <w:lang w:val="en-US" w:eastAsia="zh-CN"/>
              </w:rPr>
            </w:pPr>
            <w:r>
              <w:rPr>
                <w:rFonts w:hint="eastAsia"/>
                <w:sz w:val="21"/>
                <w:szCs w:val="21"/>
                <w:highlight w:val="none"/>
                <w:lang w:val="en-US" w:eastAsia="zh-CN"/>
              </w:rPr>
              <w:t>2300</w:t>
            </w:r>
          </w:p>
        </w:tc>
      </w:tr>
      <w:tr w14:paraId="45C78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2C273E0A">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东大坝</w:t>
            </w:r>
          </w:p>
        </w:tc>
        <w:tc>
          <w:tcPr>
            <w:tcW w:w="1275" w:type="dxa"/>
            <w:tcBorders>
              <w:tl2br w:val="nil"/>
              <w:tr2bl w:val="nil"/>
            </w:tcBorders>
            <w:vAlign w:val="center"/>
          </w:tcPr>
          <w:p w14:paraId="608E1A09">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126.709751926</w:t>
            </w:r>
          </w:p>
        </w:tc>
        <w:tc>
          <w:tcPr>
            <w:tcW w:w="1134" w:type="dxa"/>
            <w:tcBorders>
              <w:tl2br w:val="nil"/>
              <w:tr2bl w:val="nil"/>
            </w:tcBorders>
            <w:vAlign w:val="center"/>
          </w:tcPr>
          <w:p w14:paraId="284B97A2">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45.646536698</w:t>
            </w:r>
          </w:p>
        </w:tc>
        <w:tc>
          <w:tcPr>
            <w:tcW w:w="1276" w:type="dxa"/>
            <w:vMerge w:val="continue"/>
            <w:tcBorders>
              <w:tl2br w:val="nil"/>
              <w:tr2bl w:val="nil"/>
            </w:tcBorders>
            <w:vAlign w:val="center"/>
          </w:tcPr>
          <w:p w14:paraId="7B003BCA">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709" w:type="dxa"/>
            <w:vMerge w:val="continue"/>
            <w:tcBorders>
              <w:tl2br w:val="nil"/>
              <w:tr2bl w:val="nil"/>
            </w:tcBorders>
            <w:vAlign w:val="center"/>
          </w:tcPr>
          <w:p w14:paraId="0C0C3AD8">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797" w:type="dxa"/>
            <w:vMerge w:val="continue"/>
            <w:tcBorders>
              <w:tl2br w:val="nil"/>
              <w:tr2bl w:val="nil"/>
            </w:tcBorders>
            <w:vAlign w:val="center"/>
          </w:tcPr>
          <w:p w14:paraId="185921CD">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654" w:type="dxa"/>
            <w:tcBorders>
              <w:tl2br w:val="nil"/>
              <w:tr2bl w:val="nil"/>
            </w:tcBorders>
            <w:vAlign w:val="center"/>
          </w:tcPr>
          <w:p w14:paraId="708CE5FC">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SW</w:t>
            </w:r>
          </w:p>
        </w:tc>
        <w:tc>
          <w:tcPr>
            <w:tcW w:w="911" w:type="dxa"/>
            <w:tcBorders>
              <w:tl2br w:val="nil"/>
              <w:tr2bl w:val="nil"/>
            </w:tcBorders>
            <w:shd w:val="clear" w:color="auto" w:fill="auto"/>
            <w:vAlign w:val="center"/>
          </w:tcPr>
          <w:p w14:paraId="490671C7">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2383</w:t>
            </w:r>
          </w:p>
        </w:tc>
      </w:tr>
      <w:tr w14:paraId="59CF5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7C37B3FF">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腰大坝</w:t>
            </w:r>
          </w:p>
        </w:tc>
        <w:tc>
          <w:tcPr>
            <w:tcW w:w="1275" w:type="dxa"/>
            <w:tcBorders>
              <w:tl2br w:val="nil"/>
              <w:tr2bl w:val="nil"/>
            </w:tcBorders>
            <w:vAlign w:val="center"/>
          </w:tcPr>
          <w:p w14:paraId="012337EB">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126.698636852</w:t>
            </w:r>
          </w:p>
        </w:tc>
        <w:tc>
          <w:tcPr>
            <w:tcW w:w="1134" w:type="dxa"/>
            <w:tcBorders>
              <w:top w:val="single" w:color="auto" w:sz="4" w:space="0"/>
              <w:tl2br w:val="nil"/>
              <w:tr2bl w:val="nil"/>
            </w:tcBorders>
            <w:vAlign w:val="center"/>
          </w:tcPr>
          <w:p w14:paraId="53981AF3">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45.649116758</w:t>
            </w:r>
          </w:p>
        </w:tc>
        <w:tc>
          <w:tcPr>
            <w:tcW w:w="1276" w:type="dxa"/>
            <w:vMerge w:val="continue"/>
            <w:tcBorders>
              <w:tl2br w:val="nil"/>
              <w:tr2bl w:val="nil"/>
            </w:tcBorders>
            <w:vAlign w:val="center"/>
          </w:tcPr>
          <w:p w14:paraId="5F396337">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709" w:type="dxa"/>
            <w:vMerge w:val="continue"/>
            <w:tcBorders>
              <w:tl2br w:val="nil"/>
              <w:tr2bl w:val="nil"/>
            </w:tcBorders>
            <w:vAlign w:val="center"/>
          </w:tcPr>
          <w:p w14:paraId="48AE06D4">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eastAsia" w:ascii="Times New Roman" w:cs="Times New Roman" w:hAnsiTheme="minorEastAsia" w:eastAsiaTheme="minorEastAsia"/>
                <w:snapToGrid w:val="0"/>
                <w:kern w:val="21"/>
                <w:sz w:val="21"/>
                <w:szCs w:val="21"/>
                <w:highlight w:val="none"/>
                <w:lang w:val="en-US" w:eastAsia="zh-CN" w:bidi="ar-SA"/>
              </w:rPr>
            </w:pPr>
          </w:p>
        </w:tc>
        <w:tc>
          <w:tcPr>
            <w:tcW w:w="797" w:type="dxa"/>
            <w:vMerge w:val="continue"/>
            <w:tcBorders>
              <w:tl2br w:val="nil"/>
              <w:tr2bl w:val="nil"/>
            </w:tcBorders>
            <w:vAlign w:val="center"/>
          </w:tcPr>
          <w:p w14:paraId="575F98A1">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654" w:type="dxa"/>
            <w:tcBorders>
              <w:tl2br w:val="nil"/>
              <w:tr2bl w:val="nil"/>
            </w:tcBorders>
            <w:vAlign w:val="center"/>
          </w:tcPr>
          <w:p w14:paraId="753945ED">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SW</w:t>
            </w:r>
          </w:p>
        </w:tc>
        <w:tc>
          <w:tcPr>
            <w:tcW w:w="911" w:type="dxa"/>
            <w:tcBorders>
              <w:tl2br w:val="nil"/>
              <w:tr2bl w:val="nil"/>
            </w:tcBorders>
            <w:shd w:val="clear" w:color="auto" w:fill="auto"/>
            <w:vAlign w:val="center"/>
          </w:tcPr>
          <w:p w14:paraId="03180E75">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2570</w:t>
            </w:r>
          </w:p>
        </w:tc>
      </w:tr>
      <w:tr w14:paraId="64C8E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55F3D9B2">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空军航空大学</w:t>
            </w:r>
          </w:p>
        </w:tc>
        <w:tc>
          <w:tcPr>
            <w:tcW w:w="1275" w:type="dxa"/>
            <w:tcBorders>
              <w:tl2br w:val="nil"/>
              <w:tr2bl w:val="nil"/>
            </w:tcBorders>
            <w:vAlign w:val="center"/>
          </w:tcPr>
          <w:p w14:paraId="3597F8EA">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126.695246540</w:t>
            </w:r>
          </w:p>
        </w:tc>
        <w:tc>
          <w:tcPr>
            <w:tcW w:w="1134" w:type="dxa"/>
            <w:tcBorders>
              <w:tl2br w:val="nil"/>
              <w:tr2bl w:val="nil"/>
            </w:tcBorders>
            <w:vAlign w:val="center"/>
          </w:tcPr>
          <w:p w14:paraId="0A82D233">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45.670622625</w:t>
            </w:r>
          </w:p>
        </w:tc>
        <w:tc>
          <w:tcPr>
            <w:tcW w:w="1276" w:type="dxa"/>
            <w:vMerge w:val="restart"/>
            <w:tcBorders>
              <w:tl2br w:val="nil"/>
              <w:tr2bl w:val="nil"/>
            </w:tcBorders>
            <w:vAlign w:val="center"/>
          </w:tcPr>
          <w:p w14:paraId="28BCDBE4">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eastAsiaTheme="minorEastAsia"/>
                <w:sz w:val="21"/>
                <w:szCs w:val="21"/>
                <w:highlight w:val="none"/>
              </w:rPr>
              <w:t>文化区</w:t>
            </w:r>
          </w:p>
        </w:tc>
        <w:tc>
          <w:tcPr>
            <w:tcW w:w="709" w:type="dxa"/>
            <w:vMerge w:val="restart"/>
            <w:tcBorders>
              <w:tl2br w:val="nil"/>
              <w:tr2bl w:val="nil"/>
            </w:tcBorders>
            <w:vAlign w:val="center"/>
          </w:tcPr>
          <w:p w14:paraId="1EB707E4">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ascii="Times New Roman" w:hAnsi="Times New Roman" w:cs="Times New Roman" w:eastAsiaTheme="minorEastAsia"/>
                <w:snapToGrid w:val="0"/>
                <w:kern w:val="21"/>
                <w:sz w:val="21"/>
                <w:szCs w:val="21"/>
                <w:highlight w:val="none"/>
                <w:lang w:val="en-US" w:eastAsia="zh-CN" w:bidi="ar-SA"/>
              </w:rPr>
              <w:t>师生</w:t>
            </w:r>
          </w:p>
        </w:tc>
        <w:tc>
          <w:tcPr>
            <w:tcW w:w="797" w:type="dxa"/>
            <w:vMerge w:val="continue"/>
            <w:tcBorders>
              <w:tl2br w:val="nil"/>
              <w:tr2bl w:val="nil"/>
            </w:tcBorders>
            <w:vAlign w:val="center"/>
          </w:tcPr>
          <w:p w14:paraId="0C339503">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654" w:type="dxa"/>
            <w:tcBorders>
              <w:tl2br w:val="nil"/>
              <w:tr2bl w:val="nil"/>
            </w:tcBorders>
            <w:vAlign w:val="center"/>
          </w:tcPr>
          <w:p w14:paraId="52B22B5D">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NW</w:t>
            </w:r>
          </w:p>
        </w:tc>
        <w:tc>
          <w:tcPr>
            <w:tcW w:w="911" w:type="dxa"/>
            <w:tcBorders>
              <w:tl2br w:val="nil"/>
              <w:tr2bl w:val="nil"/>
            </w:tcBorders>
            <w:shd w:val="clear" w:color="auto" w:fill="auto"/>
            <w:vAlign w:val="center"/>
          </w:tcPr>
          <w:p w14:paraId="06B22E3B">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2390</w:t>
            </w:r>
          </w:p>
        </w:tc>
      </w:tr>
      <w:tr w14:paraId="5BD55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3966B6C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黎明第一小学</w:t>
            </w:r>
          </w:p>
        </w:tc>
        <w:tc>
          <w:tcPr>
            <w:tcW w:w="1275" w:type="dxa"/>
            <w:tcBorders>
              <w:tl2br w:val="nil"/>
              <w:tr2bl w:val="nil"/>
            </w:tcBorders>
            <w:vAlign w:val="center"/>
          </w:tcPr>
          <w:p w14:paraId="1042CE85">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126.734095655</w:t>
            </w:r>
          </w:p>
        </w:tc>
        <w:tc>
          <w:tcPr>
            <w:tcW w:w="1134" w:type="dxa"/>
            <w:tcBorders>
              <w:tl2br w:val="nil"/>
              <w:tr2bl w:val="nil"/>
            </w:tcBorders>
            <w:vAlign w:val="center"/>
          </w:tcPr>
          <w:p w14:paraId="3AF6356F">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45.666551542</w:t>
            </w:r>
          </w:p>
        </w:tc>
        <w:tc>
          <w:tcPr>
            <w:tcW w:w="1276" w:type="dxa"/>
            <w:vMerge w:val="continue"/>
            <w:tcBorders>
              <w:tl2br w:val="nil"/>
              <w:tr2bl w:val="nil"/>
            </w:tcBorders>
            <w:vAlign w:val="center"/>
          </w:tcPr>
          <w:p w14:paraId="2F8CB52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709" w:type="dxa"/>
            <w:vMerge w:val="continue"/>
            <w:tcBorders>
              <w:tl2br w:val="nil"/>
              <w:tr2bl w:val="nil"/>
            </w:tcBorders>
            <w:vAlign w:val="center"/>
          </w:tcPr>
          <w:p w14:paraId="6D9B7D0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797" w:type="dxa"/>
            <w:vMerge w:val="continue"/>
            <w:tcBorders>
              <w:tl2br w:val="nil"/>
              <w:tr2bl w:val="nil"/>
            </w:tcBorders>
            <w:vAlign w:val="center"/>
          </w:tcPr>
          <w:p w14:paraId="68A08B1C">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654" w:type="dxa"/>
            <w:tcBorders>
              <w:tl2br w:val="nil"/>
              <w:tr2bl w:val="nil"/>
            </w:tcBorders>
            <w:vAlign w:val="center"/>
          </w:tcPr>
          <w:p w14:paraId="412789DF">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NEW</w:t>
            </w:r>
          </w:p>
        </w:tc>
        <w:tc>
          <w:tcPr>
            <w:tcW w:w="911" w:type="dxa"/>
            <w:tcBorders>
              <w:tl2br w:val="nil"/>
              <w:tr2bl w:val="nil"/>
            </w:tcBorders>
            <w:shd w:val="clear" w:color="auto" w:fill="auto"/>
            <w:vAlign w:val="center"/>
          </w:tcPr>
          <w:p w14:paraId="3D1CD789">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580</w:t>
            </w:r>
          </w:p>
        </w:tc>
      </w:tr>
      <w:tr w14:paraId="7C1AA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68" w:type="dxa"/>
            <w:tcBorders>
              <w:tl2br w:val="nil"/>
              <w:tr2bl w:val="nil"/>
            </w:tcBorders>
            <w:shd w:val="clear" w:color="auto" w:fill="auto"/>
            <w:vAlign w:val="center"/>
          </w:tcPr>
          <w:p w14:paraId="020CE6B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哈尔滨六十六中学</w:t>
            </w:r>
          </w:p>
        </w:tc>
        <w:tc>
          <w:tcPr>
            <w:tcW w:w="1275" w:type="dxa"/>
            <w:tcBorders>
              <w:tl2br w:val="nil"/>
              <w:tr2bl w:val="nil"/>
            </w:tcBorders>
            <w:vAlign w:val="center"/>
          </w:tcPr>
          <w:p w14:paraId="25B964B8">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126.741959892</w:t>
            </w:r>
          </w:p>
        </w:tc>
        <w:tc>
          <w:tcPr>
            <w:tcW w:w="1134" w:type="dxa"/>
            <w:tcBorders>
              <w:tl2br w:val="nil"/>
              <w:tr2bl w:val="nil"/>
            </w:tcBorders>
            <w:vAlign w:val="center"/>
          </w:tcPr>
          <w:p w14:paraId="7C1C3D36">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default" w:ascii="Times New Roman" w:cs="Times New Roman" w:hAnsiTheme="minorEastAsia" w:eastAsiaTheme="minorEastAsia"/>
                <w:snapToGrid w:val="0"/>
                <w:kern w:val="21"/>
                <w:sz w:val="21"/>
                <w:szCs w:val="21"/>
                <w:highlight w:val="none"/>
                <w:lang w:val="en-US" w:eastAsia="zh-CN" w:bidi="ar-SA"/>
              </w:rPr>
              <w:t>45.664159736</w:t>
            </w:r>
          </w:p>
        </w:tc>
        <w:tc>
          <w:tcPr>
            <w:tcW w:w="1276" w:type="dxa"/>
            <w:vMerge w:val="continue"/>
            <w:tcBorders>
              <w:tl2br w:val="nil"/>
              <w:tr2bl w:val="nil"/>
            </w:tcBorders>
            <w:vAlign w:val="center"/>
          </w:tcPr>
          <w:p w14:paraId="79154AC4">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709" w:type="dxa"/>
            <w:vMerge w:val="continue"/>
            <w:tcBorders>
              <w:tl2br w:val="nil"/>
              <w:tr2bl w:val="nil"/>
            </w:tcBorders>
            <w:vAlign w:val="center"/>
          </w:tcPr>
          <w:p w14:paraId="1164761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797" w:type="dxa"/>
            <w:vMerge w:val="continue"/>
            <w:tcBorders>
              <w:tl2br w:val="nil"/>
              <w:tr2bl w:val="nil"/>
            </w:tcBorders>
            <w:vAlign w:val="center"/>
          </w:tcPr>
          <w:p w14:paraId="22F0D475">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p>
        </w:tc>
        <w:tc>
          <w:tcPr>
            <w:tcW w:w="654" w:type="dxa"/>
            <w:tcBorders>
              <w:tl2br w:val="nil"/>
              <w:tr2bl w:val="nil"/>
            </w:tcBorders>
            <w:vAlign w:val="center"/>
          </w:tcPr>
          <w:p w14:paraId="6402BA5E">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E</w:t>
            </w:r>
          </w:p>
        </w:tc>
        <w:tc>
          <w:tcPr>
            <w:tcW w:w="911" w:type="dxa"/>
            <w:tcBorders>
              <w:tl2br w:val="nil"/>
              <w:tr2bl w:val="nil"/>
            </w:tcBorders>
            <w:shd w:val="clear" w:color="auto" w:fill="auto"/>
            <w:vAlign w:val="center"/>
          </w:tcPr>
          <w:p w14:paraId="3D8C1BE2">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1180</w:t>
            </w:r>
          </w:p>
        </w:tc>
      </w:tr>
    </w:tbl>
    <w:p w14:paraId="6AA3D02E">
      <w:pPr>
        <w:pStyle w:val="7"/>
        <w:bidi w:val="0"/>
        <w:rPr>
          <w:rFonts w:hint="default"/>
          <w:highlight w:val="none"/>
        </w:rPr>
      </w:pPr>
      <w:r>
        <w:rPr>
          <w:rFonts w:hint="default"/>
          <w:highlight w:val="none"/>
        </w:rPr>
        <w:t>表2-7-</w:t>
      </w:r>
      <w:r>
        <w:rPr>
          <w:rFonts w:hint="eastAsia"/>
          <w:highlight w:val="none"/>
          <w:lang w:val="en-US" w:eastAsia="zh-CN"/>
        </w:rPr>
        <w:t>2</w:t>
      </w:r>
      <w:r>
        <w:rPr>
          <w:rFonts w:hint="default"/>
          <w:highlight w:val="none"/>
        </w:rPr>
        <w:tab/>
      </w:r>
      <w:r>
        <w:rPr>
          <w:rFonts w:hint="eastAsia"/>
          <w:highlight w:val="none"/>
          <w:lang w:val="en-US" w:eastAsia="zh-CN"/>
        </w:rPr>
        <w:t>其他</w:t>
      </w:r>
      <w:r>
        <w:rPr>
          <w:rFonts w:hint="default"/>
          <w:highlight w:val="none"/>
        </w:rPr>
        <w:t>敏感保护目标一览表</w:t>
      </w:r>
    </w:p>
    <w:tbl>
      <w:tblPr>
        <w:tblStyle w:val="74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947"/>
        <w:gridCol w:w="1448"/>
        <w:gridCol w:w="1731"/>
        <w:gridCol w:w="4180"/>
      </w:tblGrid>
      <w:tr w14:paraId="376CF7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67" w:hRule="atLeast"/>
          <w:jc w:val="center"/>
        </w:trPr>
        <w:tc>
          <w:tcPr>
            <w:tcW w:w="947" w:type="dxa"/>
            <w:tcBorders>
              <w:tl2br w:val="nil"/>
              <w:tr2bl w:val="nil"/>
            </w:tcBorders>
            <w:shd w:val="clear" w:color="auto" w:fill="auto"/>
            <w:vAlign w:val="center"/>
          </w:tcPr>
          <w:p w14:paraId="24E55DD7">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eastAsia="en-US"/>
              </w:rPr>
              <w:t>环境要素</w:t>
            </w:r>
          </w:p>
        </w:tc>
        <w:tc>
          <w:tcPr>
            <w:tcW w:w="1448" w:type="dxa"/>
            <w:tcBorders>
              <w:tl2br w:val="nil"/>
              <w:tr2bl w:val="nil"/>
            </w:tcBorders>
            <w:shd w:val="clear" w:color="auto" w:fill="auto"/>
            <w:vAlign w:val="center"/>
          </w:tcPr>
          <w:p w14:paraId="1473DAC0">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保护目标名称</w:t>
            </w:r>
          </w:p>
        </w:tc>
        <w:tc>
          <w:tcPr>
            <w:tcW w:w="1731" w:type="dxa"/>
            <w:tcBorders>
              <w:tl2br w:val="nil"/>
              <w:tr2bl w:val="nil"/>
            </w:tcBorders>
            <w:shd w:val="clear" w:color="auto" w:fill="auto"/>
            <w:vAlign w:val="center"/>
          </w:tcPr>
          <w:p w14:paraId="303EF6BD">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eastAsia="en-US"/>
              </w:rPr>
              <w:t>与厂址</w:t>
            </w:r>
          </w:p>
          <w:p w14:paraId="35543800">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eastAsia="en-US"/>
              </w:rPr>
              <w:t>方位及距离</w:t>
            </w:r>
          </w:p>
        </w:tc>
        <w:tc>
          <w:tcPr>
            <w:tcW w:w="4180" w:type="dxa"/>
            <w:tcBorders>
              <w:tl2br w:val="nil"/>
              <w:tr2bl w:val="nil"/>
            </w:tcBorders>
            <w:shd w:val="clear" w:color="auto" w:fill="auto"/>
            <w:vAlign w:val="center"/>
          </w:tcPr>
          <w:p w14:paraId="6A4E2227">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环境功能区类别/执行标准</w:t>
            </w:r>
          </w:p>
        </w:tc>
      </w:tr>
      <w:tr w14:paraId="44F04E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47" w:type="dxa"/>
            <w:vMerge w:val="restart"/>
            <w:tcBorders>
              <w:tl2br w:val="nil"/>
              <w:tr2bl w:val="nil"/>
            </w:tcBorders>
            <w:shd w:val="clear" w:color="auto" w:fill="auto"/>
            <w:vAlign w:val="center"/>
          </w:tcPr>
          <w:p w14:paraId="6C41E9A7">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eastAsia="en-US"/>
              </w:rPr>
              <w:t>土壤</w:t>
            </w:r>
          </w:p>
        </w:tc>
        <w:tc>
          <w:tcPr>
            <w:tcW w:w="1448" w:type="dxa"/>
            <w:tcBorders>
              <w:tl2br w:val="nil"/>
              <w:tr2bl w:val="nil"/>
            </w:tcBorders>
            <w:shd w:val="clear" w:color="auto" w:fill="auto"/>
            <w:vAlign w:val="center"/>
          </w:tcPr>
          <w:p w14:paraId="3BE003FC">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东</w:t>
            </w:r>
            <w:r>
              <w:rPr>
                <w:rFonts w:hint="default"/>
                <w:snapToGrid w:val="0"/>
                <w:highlight w:val="none"/>
                <w:lang w:val="en-US" w:eastAsia="zh-CN"/>
              </w:rPr>
              <w:t>侧</w:t>
            </w:r>
            <w:r>
              <w:rPr>
                <w:rFonts w:hint="eastAsia"/>
                <w:snapToGrid w:val="0"/>
                <w:highlight w:val="none"/>
                <w:lang w:val="en-US" w:eastAsia="zh-CN"/>
              </w:rPr>
              <w:t>幸福村</w:t>
            </w:r>
          </w:p>
        </w:tc>
        <w:tc>
          <w:tcPr>
            <w:tcW w:w="1731" w:type="dxa"/>
            <w:tcBorders>
              <w:tl2br w:val="nil"/>
              <w:tr2bl w:val="nil"/>
            </w:tcBorders>
            <w:shd w:val="clear" w:color="auto" w:fill="auto"/>
            <w:vAlign w:val="center"/>
          </w:tcPr>
          <w:p w14:paraId="31BC6007">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N</w:t>
            </w:r>
            <w:r>
              <w:rPr>
                <w:rFonts w:hint="eastAsia"/>
                <w:snapToGrid w:val="0"/>
                <w:highlight w:val="none"/>
                <w:lang w:eastAsia="zh-CN"/>
              </w:rPr>
              <w:t>，</w:t>
            </w:r>
            <w:r>
              <w:rPr>
                <w:rFonts w:hint="eastAsia"/>
                <w:snapToGrid w:val="0"/>
                <w:highlight w:val="none"/>
                <w:lang w:val="en-US" w:eastAsia="zh-CN"/>
              </w:rPr>
              <w:t>450m</w:t>
            </w:r>
          </w:p>
        </w:tc>
        <w:tc>
          <w:tcPr>
            <w:tcW w:w="4180" w:type="dxa"/>
            <w:tcBorders>
              <w:tl2br w:val="nil"/>
              <w:tr2bl w:val="nil"/>
            </w:tcBorders>
            <w:shd w:val="clear" w:color="auto" w:fill="auto"/>
            <w:vAlign w:val="center"/>
          </w:tcPr>
          <w:p w14:paraId="0C3EDA5C">
            <w:pPr>
              <w:pStyle w:val="8"/>
              <w:suppressLineNumbers w:val="0"/>
              <w:bidi w:val="0"/>
              <w:spacing w:before="0" w:beforeAutospacing="0" w:after="0" w:afterAutospacing="0"/>
              <w:ind w:left="0" w:right="0"/>
              <w:rPr>
                <w:rFonts w:hint="default" w:ascii="Times New Roman" w:hAnsi="Times New Roman" w:eastAsia="宋体" w:cs="Times New Roman"/>
                <w:snapToGrid w:val="0"/>
                <w:highlight w:val="none"/>
                <w:lang w:eastAsia="en-US"/>
              </w:rPr>
            </w:pPr>
            <w:r>
              <w:rPr>
                <w:rFonts w:hint="default" w:ascii="Times New Roman" w:hAnsi="Times New Roman" w:eastAsia="宋体" w:cs="Times New Roman"/>
                <w:snapToGrid w:val="0"/>
                <w:highlight w:val="none"/>
              </w:rPr>
              <w:t>《土壤环境质量建设用地土壤污染风险管控标准（试行）》</w:t>
            </w:r>
            <w:r>
              <w:rPr>
                <w:rFonts w:hint="default" w:ascii="Times New Roman" w:hAnsi="Times New Roman" w:eastAsia="宋体" w:cs="Times New Roman"/>
                <w:snapToGrid w:val="0"/>
                <w:highlight w:val="none"/>
                <w:lang w:eastAsia="zh-CN"/>
              </w:rPr>
              <w:t>（</w:t>
            </w:r>
            <w:r>
              <w:rPr>
                <w:rFonts w:hint="default" w:ascii="Times New Roman" w:hAnsi="Times New Roman" w:eastAsia="宋体" w:cs="Times New Roman"/>
                <w:snapToGrid w:val="0"/>
                <w:highlight w:val="none"/>
                <w:lang w:val="en-US" w:eastAsia="zh-CN"/>
              </w:rPr>
              <w:t>G</w:t>
            </w:r>
            <w:r>
              <w:rPr>
                <w:rFonts w:hint="default" w:ascii="Times New Roman" w:hAnsi="Times New Roman" w:eastAsia="宋体" w:cs="Times New Roman"/>
                <w:snapToGrid w:val="0"/>
                <w:highlight w:val="none"/>
              </w:rPr>
              <w:t>B36600-2018）表1中第</w:t>
            </w:r>
            <w:r>
              <w:rPr>
                <w:rFonts w:hint="eastAsia" w:ascii="Times New Roman" w:hAnsi="Times New Roman" w:eastAsia="宋体" w:cs="Times New Roman"/>
                <w:snapToGrid w:val="0"/>
                <w:highlight w:val="none"/>
                <w:lang w:val="en-US" w:eastAsia="zh-CN"/>
              </w:rPr>
              <w:t>一</w:t>
            </w:r>
            <w:r>
              <w:rPr>
                <w:rFonts w:hint="default" w:ascii="Times New Roman" w:hAnsi="Times New Roman" w:eastAsia="宋体" w:cs="Times New Roman"/>
                <w:snapToGrid w:val="0"/>
                <w:highlight w:val="none"/>
              </w:rPr>
              <w:t>类</w:t>
            </w:r>
            <w:r>
              <w:rPr>
                <w:rFonts w:hint="default" w:ascii="Times New Roman" w:hAnsi="Times New Roman" w:eastAsia="宋体" w:cs="Times New Roman"/>
                <w:snapToGrid w:val="0"/>
                <w:highlight w:val="none"/>
                <w:lang w:eastAsia="en-US"/>
              </w:rPr>
              <w:t>用地标准限值</w:t>
            </w:r>
          </w:p>
        </w:tc>
      </w:tr>
      <w:tr w14:paraId="6A2CF3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47" w:type="dxa"/>
            <w:vMerge w:val="continue"/>
            <w:tcBorders>
              <w:tl2br w:val="nil"/>
              <w:tr2bl w:val="nil"/>
            </w:tcBorders>
            <w:shd w:val="clear" w:color="auto" w:fill="auto"/>
            <w:vAlign w:val="center"/>
          </w:tcPr>
          <w:p w14:paraId="19E06903">
            <w:pPr>
              <w:pStyle w:val="8"/>
              <w:suppressLineNumbers w:val="0"/>
              <w:bidi w:val="0"/>
              <w:spacing w:before="0" w:beforeAutospacing="0" w:after="0" w:afterAutospacing="0"/>
              <w:ind w:left="0" w:right="0"/>
              <w:rPr>
                <w:rFonts w:hint="default"/>
                <w:snapToGrid w:val="0"/>
                <w:highlight w:val="none"/>
                <w:lang w:eastAsia="en-US"/>
              </w:rPr>
            </w:pPr>
          </w:p>
        </w:tc>
        <w:tc>
          <w:tcPr>
            <w:tcW w:w="1448" w:type="dxa"/>
            <w:tcBorders>
              <w:tl2br w:val="nil"/>
              <w:tr2bl w:val="nil"/>
            </w:tcBorders>
            <w:shd w:val="clear" w:color="auto" w:fill="auto"/>
            <w:vAlign w:val="center"/>
          </w:tcPr>
          <w:p w14:paraId="095ED132">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东侧农田</w:t>
            </w:r>
          </w:p>
        </w:tc>
        <w:tc>
          <w:tcPr>
            <w:tcW w:w="1731" w:type="dxa"/>
            <w:tcBorders>
              <w:tl2br w:val="nil"/>
              <w:tr2bl w:val="nil"/>
            </w:tcBorders>
            <w:shd w:val="clear" w:color="auto" w:fill="auto"/>
            <w:vAlign w:val="center"/>
          </w:tcPr>
          <w:p w14:paraId="479B1FB7">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N，165m</w:t>
            </w:r>
          </w:p>
        </w:tc>
        <w:tc>
          <w:tcPr>
            <w:tcW w:w="4180" w:type="dxa"/>
            <w:tcBorders>
              <w:tl2br w:val="nil"/>
              <w:tr2bl w:val="nil"/>
            </w:tcBorders>
            <w:shd w:val="clear" w:color="auto" w:fill="auto"/>
            <w:vAlign w:val="center"/>
          </w:tcPr>
          <w:p w14:paraId="48E297F5">
            <w:pPr>
              <w:pStyle w:val="8"/>
              <w:suppressLineNumbers w:val="0"/>
              <w:bidi w:val="0"/>
              <w:spacing w:before="0" w:beforeAutospacing="0" w:after="0" w:afterAutospacing="0"/>
              <w:ind w:left="0" w:right="0"/>
              <w:rPr>
                <w:rFonts w:hint="default" w:ascii="Times New Roman" w:hAnsi="Times New Roman" w:eastAsia="宋体" w:cs="Times New Roman"/>
                <w:snapToGrid w:val="0"/>
                <w:highlight w:val="none"/>
              </w:rPr>
            </w:pPr>
            <w:r>
              <w:rPr>
                <w:rFonts w:hint="eastAsia" w:ascii="Times New Roman" w:hAnsi="Times New Roman" w:eastAsia="宋体" w:cs="Times New Roman"/>
                <w:snapToGrid w:val="0"/>
                <w:highlight w:val="none"/>
                <w:lang w:val="en-US" w:eastAsia="zh-CN"/>
              </w:rPr>
              <w:t>《土壤环境质量 农用地土壤污染风险管控标准（试行）(GB 15618—2018）》</w:t>
            </w:r>
          </w:p>
        </w:tc>
      </w:tr>
      <w:tr w14:paraId="52AB646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47" w:type="dxa"/>
            <w:tcBorders>
              <w:tl2br w:val="nil"/>
              <w:tr2bl w:val="nil"/>
            </w:tcBorders>
            <w:shd w:val="clear" w:color="auto" w:fill="auto"/>
            <w:vAlign w:val="center"/>
          </w:tcPr>
          <w:p w14:paraId="523B2305">
            <w:pPr>
              <w:pStyle w:val="8"/>
              <w:suppressLineNumbers w:val="0"/>
              <w:bidi w:val="0"/>
              <w:spacing w:before="0" w:beforeAutospacing="0" w:after="0" w:afterAutospacing="0"/>
              <w:ind w:left="0" w:leftChars="0" w:right="0" w:rightChars="0" w:firstLine="0" w:firstLineChars="0"/>
              <w:rPr>
                <w:rFonts w:hint="default"/>
                <w:snapToGrid w:val="0"/>
                <w:highlight w:val="none"/>
                <w:lang w:eastAsia="en-US"/>
              </w:rPr>
            </w:pPr>
            <w:r>
              <w:rPr>
                <w:rFonts w:hint="default"/>
                <w:snapToGrid w:val="0"/>
                <w:highlight w:val="none"/>
                <w:lang w:eastAsia="en-US"/>
              </w:rPr>
              <w:t>地下水</w:t>
            </w:r>
          </w:p>
        </w:tc>
        <w:tc>
          <w:tcPr>
            <w:tcW w:w="1448" w:type="dxa"/>
            <w:tcBorders>
              <w:tl2br w:val="nil"/>
              <w:tr2bl w:val="nil"/>
            </w:tcBorders>
            <w:shd w:val="clear" w:color="auto" w:fill="auto"/>
            <w:vAlign w:val="center"/>
          </w:tcPr>
          <w:p w14:paraId="0D1D2D03">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幸福村集中式饮用水井</w:t>
            </w:r>
          </w:p>
        </w:tc>
        <w:tc>
          <w:tcPr>
            <w:tcW w:w="1731" w:type="dxa"/>
            <w:tcBorders>
              <w:tl2br w:val="nil"/>
              <w:tr2bl w:val="nil"/>
            </w:tcBorders>
            <w:shd w:val="clear" w:color="auto" w:fill="auto"/>
            <w:vAlign w:val="center"/>
          </w:tcPr>
          <w:p w14:paraId="35AF6926">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N，3200m</w:t>
            </w:r>
          </w:p>
        </w:tc>
        <w:tc>
          <w:tcPr>
            <w:tcW w:w="4180" w:type="dxa"/>
            <w:tcBorders>
              <w:tl2br w:val="nil"/>
              <w:tr2bl w:val="nil"/>
            </w:tcBorders>
            <w:shd w:val="clear" w:color="auto" w:fill="auto"/>
            <w:vAlign w:val="center"/>
          </w:tcPr>
          <w:p w14:paraId="2C783228">
            <w:pPr>
              <w:pStyle w:val="8"/>
              <w:suppressLineNumbers w:val="0"/>
              <w:bidi w:val="0"/>
              <w:spacing w:before="0" w:beforeAutospacing="0" w:after="0" w:afterAutospacing="0"/>
              <w:ind w:left="0" w:leftChars="0" w:right="0" w:rightChars="0" w:firstLine="0" w:firstLineChars="0"/>
              <w:rPr>
                <w:rFonts w:hint="default"/>
                <w:snapToGrid w:val="0"/>
                <w:highlight w:val="none"/>
                <w:lang w:eastAsia="en-US"/>
              </w:rPr>
            </w:pPr>
            <w:r>
              <w:rPr>
                <w:rFonts w:hint="default"/>
                <w:snapToGrid w:val="0"/>
                <w:highlight w:val="none"/>
              </w:rPr>
              <w:t>《地下水质量标准》（GB/T14848-2017）Ⅲ类标准</w:t>
            </w:r>
          </w:p>
        </w:tc>
      </w:tr>
      <w:tr w14:paraId="46DD69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47" w:type="dxa"/>
            <w:tcBorders>
              <w:tl2br w:val="nil"/>
              <w:tr2bl w:val="nil"/>
            </w:tcBorders>
            <w:shd w:val="clear" w:color="auto" w:fill="auto"/>
            <w:vAlign w:val="center"/>
          </w:tcPr>
          <w:p w14:paraId="2C7A1A10">
            <w:pPr>
              <w:pStyle w:val="8"/>
              <w:suppressLineNumbers w:val="0"/>
              <w:bidi w:val="0"/>
              <w:spacing w:before="0" w:beforeAutospacing="0" w:after="0" w:afterAutospacing="0"/>
              <w:ind w:left="0" w:leftChars="0" w:right="0" w:rightChars="0" w:firstLine="0" w:firstLineChars="0"/>
              <w:rPr>
                <w:rFonts w:hint="default"/>
                <w:snapToGrid w:val="0"/>
                <w:highlight w:val="none"/>
                <w:lang w:eastAsia="en-US"/>
              </w:rPr>
            </w:pPr>
            <w:bookmarkStart w:id="200" w:name="_Toc23021"/>
            <w:bookmarkStart w:id="201" w:name="_Toc5507"/>
            <w:r>
              <w:rPr>
                <w:rFonts w:hint="default"/>
                <w:snapToGrid w:val="0"/>
                <w:highlight w:val="none"/>
                <w:lang w:eastAsia="en-US"/>
              </w:rPr>
              <w:t>环境风险</w:t>
            </w:r>
          </w:p>
        </w:tc>
        <w:tc>
          <w:tcPr>
            <w:tcW w:w="7359" w:type="dxa"/>
            <w:gridSpan w:val="3"/>
            <w:tcBorders>
              <w:tl2br w:val="nil"/>
              <w:tr2bl w:val="nil"/>
            </w:tcBorders>
            <w:shd w:val="clear" w:color="auto" w:fill="auto"/>
            <w:vAlign w:val="center"/>
          </w:tcPr>
          <w:p w14:paraId="4DF3D471">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420" w:firstLineChars="200"/>
              <w:jc w:val="left"/>
              <w:textAlignment w:val="auto"/>
              <w:rPr>
                <w:rFonts w:hint="default"/>
                <w:snapToGrid w:val="0"/>
                <w:highlight w:val="none"/>
              </w:rPr>
            </w:pPr>
            <w:r>
              <w:rPr>
                <w:rFonts w:hint="default"/>
                <w:snapToGrid w:val="0"/>
                <w:highlight w:val="none"/>
              </w:rPr>
              <w:t>本项目环境风险评价工作等级为简单分析，不给出环境风险评价范围</w:t>
            </w:r>
          </w:p>
        </w:tc>
      </w:tr>
    </w:tbl>
    <w:p w14:paraId="1AFFB991">
      <w:pPr>
        <w:rPr>
          <w:rFonts w:hint="default"/>
          <w:highlight w:val="none"/>
          <w:lang w:val="en-US" w:eastAsia="zh-CN"/>
        </w:rPr>
        <w:sectPr>
          <w:headerReference r:id="rId15"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p>
    <w:p w14:paraId="121BC3B1">
      <w:pPr>
        <w:pStyle w:val="3"/>
        <w:bidi w:val="0"/>
        <w:rPr>
          <w:highlight w:val="none"/>
        </w:rPr>
      </w:pPr>
      <w:bookmarkStart w:id="202" w:name="_Toc2548"/>
      <w:r>
        <w:rPr>
          <w:highlight w:val="none"/>
        </w:rPr>
        <w:t>3建设项目工程分析</w:t>
      </w:r>
      <w:bookmarkEnd w:id="200"/>
      <w:bookmarkEnd w:id="201"/>
      <w:bookmarkEnd w:id="202"/>
    </w:p>
    <w:p w14:paraId="7DD14863">
      <w:pPr>
        <w:pStyle w:val="4"/>
        <w:bidi w:val="0"/>
        <w:rPr>
          <w:rFonts w:hint="eastAsia"/>
          <w:highlight w:val="none"/>
          <w:lang w:val="en-US" w:eastAsia="zh-CN"/>
        </w:rPr>
      </w:pPr>
      <w:bookmarkStart w:id="203" w:name="_Toc11855"/>
      <w:bookmarkStart w:id="204" w:name="_Toc15593"/>
      <w:r>
        <w:rPr>
          <w:highlight w:val="none"/>
        </w:rPr>
        <w:t>3.</w:t>
      </w:r>
      <w:r>
        <w:rPr>
          <w:rFonts w:hint="eastAsia"/>
          <w:highlight w:val="none"/>
          <w:lang w:val="en-US" w:eastAsia="zh-CN"/>
        </w:rPr>
        <w:t>1项目概况</w:t>
      </w:r>
      <w:bookmarkEnd w:id="203"/>
      <w:bookmarkEnd w:id="204"/>
    </w:p>
    <w:p w14:paraId="4B2378AA">
      <w:pPr>
        <w:pStyle w:val="5"/>
        <w:bidi w:val="0"/>
        <w:rPr>
          <w:highlight w:val="none"/>
        </w:rPr>
      </w:pPr>
      <w:bookmarkStart w:id="205" w:name="_Toc113078920"/>
      <w:bookmarkStart w:id="206" w:name="_Toc112420350"/>
      <w:bookmarkStart w:id="207" w:name="_Toc182022280"/>
      <w:bookmarkStart w:id="208" w:name="_Toc118086779"/>
      <w:bookmarkStart w:id="209" w:name="_Toc11758487"/>
      <w:bookmarkStart w:id="210" w:name="_Toc11807"/>
      <w:bookmarkStart w:id="211" w:name="_Toc2941"/>
      <w:r>
        <w:rPr>
          <w:highlight w:val="none"/>
        </w:rPr>
        <w:t>3.</w:t>
      </w:r>
      <w:r>
        <w:rPr>
          <w:rFonts w:hint="eastAsia"/>
          <w:highlight w:val="none"/>
          <w:lang w:val="en-US" w:eastAsia="zh-CN"/>
        </w:rPr>
        <w:t>1</w:t>
      </w:r>
      <w:r>
        <w:rPr>
          <w:highlight w:val="none"/>
        </w:rPr>
        <w:t>.1</w:t>
      </w:r>
      <w:bookmarkEnd w:id="205"/>
      <w:bookmarkEnd w:id="206"/>
      <w:bookmarkEnd w:id="207"/>
      <w:bookmarkEnd w:id="208"/>
      <w:r>
        <w:rPr>
          <w:rFonts w:hint="eastAsia"/>
          <w:highlight w:val="none"/>
          <w:lang w:val="en-US" w:eastAsia="zh-CN"/>
        </w:rPr>
        <w:t>本</w:t>
      </w:r>
      <w:r>
        <w:rPr>
          <w:highlight w:val="none"/>
        </w:rPr>
        <w:t>项目名称及基本组成</w:t>
      </w:r>
      <w:bookmarkEnd w:id="209"/>
      <w:bookmarkEnd w:id="210"/>
      <w:bookmarkEnd w:id="211"/>
    </w:p>
    <w:p w14:paraId="14CCCD37">
      <w:pPr>
        <w:bidi w:val="0"/>
        <w:rPr>
          <w:rFonts w:hint="eastAsia"/>
          <w:highlight w:val="none"/>
          <w:lang w:eastAsia="zh-CN"/>
        </w:rPr>
      </w:pPr>
      <w:r>
        <w:rPr>
          <w:highlight w:val="none"/>
        </w:rPr>
        <w:t>项目名称：</w:t>
      </w:r>
      <w:r>
        <w:rPr>
          <w:rFonts w:hint="eastAsia"/>
          <w:highlight w:val="none"/>
          <w:lang w:eastAsia="zh-CN"/>
        </w:rPr>
        <w:t>黑龙江省奇福圆环保科技有限公司项目</w:t>
      </w:r>
    </w:p>
    <w:p w14:paraId="7A39F094">
      <w:pPr>
        <w:bidi w:val="0"/>
        <w:rPr>
          <w:rFonts w:hint="eastAsia"/>
          <w:highlight w:val="none"/>
          <w:lang w:eastAsia="zh-CN"/>
        </w:rPr>
      </w:pPr>
      <w:r>
        <w:rPr>
          <w:highlight w:val="none"/>
        </w:rPr>
        <w:t>项目建设单位：</w:t>
      </w:r>
      <w:r>
        <w:rPr>
          <w:rFonts w:hint="eastAsia"/>
          <w:highlight w:val="none"/>
          <w:lang w:eastAsia="zh-CN"/>
        </w:rPr>
        <w:t>黑龙江省奇福圆环保科技有限公司</w:t>
      </w:r>
    </w:p>
    <w:p w14:paraId="301B3833">
      <w:pPr>
        <w:bidi w:val="0"/>
        <w:rPr>
          <w:rFonts w:hint="eastAsia"/>
          <w:highlight w:val="none"/>
          <w:lang w:eastAsia="zh-CN"/>
        </w:rPr>
      </w:pPr>
      <w:r>
        <w:rPr>
          <w:highlight w:val="none"/>
        </w:rPr>
        <w:t>项目性质：</w:t>
      </w:r>
      <w:r>
        <w:rPr>
          <w:rFonts w:hint="eastAsia"/>
          <w:highlight w:val="none"/>
          <w:lang w:val="en-US" w:eastAsia="zh-CN"/>
        </w:rPr>
        <w:t>新建</w:t>
      </w:r>
    </w:p>
    <w:p w14:paraId="6F4EE943">
      <w:pPr>
        <w:bidi w:val="0"/>
        <w:rPr>
          <w:rFonts w:hint="eastAsia"/>
          <w:highlight w:val="none"/>
          <w:lang w:val="en-US" w:eastAsia="zh-CN"/>
        </w:rPr>
      </w:pPr>
      <w:r>
        <w:rPr>
          <w:highlight w:val="none"/>
        </w:rPr>
        <w:t>建设地点：</w:t>
      </w:r>
      <w:r>
        <w:rPr>
          <w:rFonts w:hint="eastAsia"/>
          <w:highlight w:val="none"/>
          <w:lang w:val="en-US" w:eastAsia="zh-CN"/>
        </w:rPr>
        <w:t>位于黑龙江省哈尔滨市香坊区黎明乡幸福村哈阿公路零公里处哈尔滨透平设备总厂院内</w:t>
      </w:r>
    </w:p>
    <w:p w14:paraId="200D4FC6">
      <w:pPr>
        <w:bidi w:val="0"/>
        <w:rPr>
          <w:highlight w:val="none"/>
        </w:rPr>
      </w:pPr>
      <w:r>
        <w:rPr>
          <w:highlight w:val="none"/>
        </w:rPr>
        <w:t>工程投资：</w:t>
      </w:r>
      <w:r>
        <w:rPr>
          <w:rFonts w:hint="eastAsia"/>
          <w:highlight w:val="none"/>
          <w:lang w:val="en-US" w:eastAsia="zh-CN"/>
        </w:rPr>
        <w:t>1000</w:t>
      </w:r>
      <w:r>
        <w:rPr>
          <w:highlight w:val="none"/>
        </w:rPr>
        <w:t>万元</w:t>
      </w:r>
    </w:p>
    <w:p w14:paraId="20F4A4C6">
      <w:pPr>
        <w:bidi w:val="0"/>
        <w:rPr>
          <w:highlight w:val="none"/>
        </w:rPr>
      </w:pPr>
      <w:r>
        <w:rPr>
          <w:highlight w:val="none"/>
        </w:rPr>
        <w:t>占地面积：</w:t>
      </w:r>
      <w:r>
        <w:rPr>
          <w:rFonts w:hint="eastAsia"/>
          <w:color w:val="000000" w:themeColor="text1"/>
          <w:kern w:val="0"/>
          <w:highlight w:val="none"/>
          <w:lang w:val="en-US" w:eastAsia="zh-CN"/>
          <w14:textFill>
            <w14:solidFill>
              <w14:schemeClr w14:val="tx1"/>
            </w14:solidFill>
          </w14:textFill>
        </w:rPr>
        <w:t>0.18</w:t>
      </w:r>
      <w:r>
        <w:rPr>
          <w:rFonts w:hint="eastAsia" w:ascii="Times New Roman" w:hAnsi="Times New Roman"/>
          <w:color w:val="000000" w:themeColor="text1"/>
          <w:kern w:val="0"/>
          <w:highlight w:val="none"/>
          <w14:textFill>
            <w14:solidFill>
              <w14:schemeClr w14:val="tx1"/>
            </w14:solidFill>
          </w14:textFill>
        </w:rPr>
        <w:t>hm</w:t>
      </w:r>
      <w:r>
        <w:rPr>
          <w:rFonts w:hint="eastAsia" w:ascii="Times New Roman" w:hAnsi="Times New Roman"/>
          <w:color w:val="000000" w:themeColor="text1"/>
          <w:kern w:val="0"/>
          <w:highlight w:val="none"/>
          <w:vertAlign w:val="superscript"/>
          <w14:textFill>
            <w14:solidFill>
              <w14:schemeClr w14:val="tx1"/>
            </w14:solidFill>
          </w14:textFill>
        </w:rPr>
        <w:t>2</w:t>
      </w:r>
    </w:p>
    <w:p w14:paraId="6114A989">
      <w:pPr>
        <w:bidi w:val="0"/>
        <w:rPr>
          <w:highlight w:val="none"/>
        </w:rPr>
      </w:pPr>
      <w:r>
        <w:rPr>
          <w:highlight w:val="none"/>
        </w:rPr>
        <w:t>占地类型：</w:t>
      </w:r>
      <w:r>
        <w:rPr>
          <w:rFonts w:hint="eastAsia"/>
          <w:highlight w:val="none"/>
          <w:lang w:val="en-US" w:eastAsia="zh-CN"/>
        </w:rPr>
        <w:t>工业</w:t>
      </w:r>
      <w:r>
        <w:rPr>
          <w:highlight w:val="none"/>
        </w:rPr>
        <w:t>用地</w:t>
      </w:r>
    </w:p>
    <w:p w14:paraId="0A0F9C0D">
      <w:pPr>
        <w:bidi w:val="0"/>
        <w:rPr>
          <w:rFonts w:hint="eastAsia"/>
          <w:highlight w:val="none"/>
          <w:shd w:val="clear"/>
          <w:lang w:val="en-US" w:eastAsia="zh-CN"/>
        </w:rPr>
      </w:pPr>
      <w:r>
        <w:rPr>
          <w:highlight w:val="none"/>
        </w:rPr>
        <w:t>劳动定员及工作制度</w:t>
      </w:r>
      <w:r>
        <w:rPr>
          <w:highlight w:val="none"/>
          <w:shd w:val="clear"/>
        </w:rPr>
        <w:t>：本项目劳动定员</w:t>
      </w:r>
      <w:r>
        <w:rPr>
          <w:rFonts w:hint="eastAsia"/>
          <w:highlight w:val="none"/>
          <w:shd w:val="clear"/>
          <w:lang w:val="en-US" w:eastAsia="zh-CN"/>
        </w:rPr>
        <w:t>4</w:t>
      </w:r>
      <w:r>
        <w:rPr>
          <w:highlight w:val="none"/>
          <w:shd w:val="clear"/>
        </w:rPr>
        <w:t>人，工作天数为</w:t>
      </w:r>
      <w:r>
        <w:rPr>
          <w:rFonts w:hint="eastAsia"/>
          <w:highlight w:val="none"/>
          <w:shd w:val="clear"/>
          <w:lang w:val="en-US" w:eastAsia="zh-CN"/>
        </w:rPr>
        <w:t>300</w:t>
      </w:r>
      <w:r>
        <w:rPr>
          <w:highlight w:val="none"/>
          <w:shd w:val="clear"/>
        </w:rPr>
        <w:t>天，</w:t>
      </w:r>
      <w:r>
        <w:rPr>
          <w:rFonts w:hint="eastAsia"/>
          <w:highlight w:val="none"/>
          <w:shd w:val="clear"/>
          <w:lang w:val="en-US" w:eastAsia="zh-CN"/>
        </w:rPr>
        <w:t>1</w:t>
      </w:r>
      <w:r>
        <w:rPr>
          <w:highlight w:val="none"/>
          <w:shd w:val="clear"/>
        </w:rPr>
        <w:t>班制，</w:t>
      </w:r>
      <w:r>
        <w:rPr>
          <w:rFonts w:hint="eastAsia"/>
          <w:highlight w:val="none"/>
          <w:shd w:val="clear"/>
          <w:lang w:val="en-US" w:eastAsia="zh-CN"/>
        </w:rPr>
        <w:t>8</w:t>
      </w:r>
      <w:r>
        <w:rPr>
          <w:highlight w:val="none"/>
          <w:shd w:val="clear"/>
        </w:rPr>
        <w:t>小时</w:t>
      </w:r>
      <w:r>
        <w:rPr>
          <w:rFonts w:hint="eastAsia"/>
          <w:highlight w:val="none"/>
          <w:shd w:val="clear"/>
          <w:lang w:val="en-US" w:eastAsia="zh-CN"/>
        </w:rPr>
        <w:t>。</w:t>
      </w:r>
    </w:p>
    <w:p w14:paraId="0E03F2BD">
      <w:pPr>
        <w:bidi w:val="0"/>
        <w:rPr>
          <w:rFonts w:hint="eastAsia" w:eastAsia="宋体"/>
          <w:highlight w:val="none"/>
          <w:lang w:val="en-US" w:eastAsia="zh-CN"/>
        </w:rPr>
      </w:pPr>
      <w:r>
        <w:rPr>
          <w:highlight w:val="none"/>
        </w:rPr>
        <w:t>建设周期：项目建设期</w:t>
      </w:r>
      <w:r>
        <w:rPr>
          <w:rFonts w:hint="eastAsia"/>
          <w:highlight w:val="none"/>
          <w:lang w:val="en-US" w:eastAsia="zh-CN"/>
        </w:rPr>
        <w:t>2</w:t>
      </w:r>
      <w:r>
        <w:rPr>
          <w:highlight w:val="none"/>
        </w:rPr>
        <w:t>个月，为202</w:t>
      </w:r>
      <w:r>
        <w:rPr>
          <w:rFonts w:hint="eastAsia"/>
          <w:highlight w:val="none"/>
          <w:lang w:val="en-US" w:eastAsia="zh-CN"/>
        </w:rPr>
        <w:t>6</w:t>
      </w:r>
      <w:r>
        <w:rPr>
          <w:highlight w:val="none"/>
        </w:rPr>
        <w:t>年</w:t>
      </w:r>
      <w:r>
        <w:rPr>
          <w:rFonts w:hint="eastAsia"/>
          <w:highlight w:val="none"/>
          <w:lang w:val="en-US" w:eastAsia="zh-CN"/>
        </w:rPr>
        <w:t>5</w:t>
      </w:r>
      <w:r>
        <w:rPr>
          <w:highlight w:val="none"/>
        </w:rPr>
        <w:t>月至202</w:t>
      </w:r>
      <w:r>
        <w:rPr>
          <w:rFonts w:hint="eastAsia"/>
          <w:highlight w:val="none"/>
          <w:lang w:val="en-US" w:eastAsia="zh-CN"/>
        </w:rPr>
        <w:t>6</w:t>
      </w:r>
      <w:r>
        <w:rPr>
          <w:highlight w:val="none"/>
        </w:rPr>
        <w:t>年</w:t>
      </w:r>
      <w:r>
        <w:rPr>
          <w:rFonts w:hint="eastAsia"/>
          <w:highlight w:val="none"/>
          <w:lang w:val="en-US" w:eastAsia="zh-CN"/>
        </w:rPr>
        <w:t>6</w:t>
      </w:r>
      <w:r>
        <w:rPr>
          <w:highlight w:val="none"/>
        </w:rPr>
        <w:t>月，计划于202</w:t>
      </w:r>
      <w:r>
        <w:rPr>
          <w:rFonts w:hint="eastAsia"/>
          <w:highlight w:val="none"/>
          <w:lang w:val="en-US" w:eastAsia="zh-CN"/>
        </w:rPr>
        <w:t>6</w:t>
      </w:r>
      <w:r>
        <w:rPr>
          <w:highlight w:val="none"/>
        </w:rPr>
        <w:t>年</w:t>
      </w:r>
      <w:r>
        <w:rPr>
          <w:rFonts w:hint="eastAsia"/>
          <w:highlight w:val="none"/>
          <w:lang w:val="en-US" w:eastAsia="zh-CN"/>
        </w:rPr>
        <w:t>7</w:t>
      </w:r>
      <w:r>
        <w:rPr>
          <w:highlight w:val="none"/>
        </w:rPr>
        <w:t>月投产</w:t>
      </w:r>
      <w:r>
        <w:rPr>
          <w:rFonts w:hint="eastAsia"/>
          <w:highlight w:val="none"/>
          <w:lang w:eastAsia="zh-CN"/>
        </w:rPr>
        <w:t>。</w:t>
      </w:r>
    </w:p>
    <w:p w14:paraId="44809581">
      <w:pPr>
        <w:pStyle w:val="5"/>
        <w:bidi w:val="0"/>
        <w:rPr>
          <w:highlight w:val="none"/>
        </w:rPr>
      </w:pPr>
      <w:bookmarkStart w:id="212" w:name="_Toc12363"/>
      <w:bookmarkStart w:id="213" w:name="_Toc15991641"/>
      <w:bookmarkStart w:id="214" w:name="_Toc6630"/>
      <w:r>
        <w:rPr>
          <w:highlight w:val="none"/>
        </w:rPr>
        <w:t>3.</w:t>
      </w:r>
      <w:r>
        <w:rPr>
          <w:rFonts w:hint="eastAsia"/>
          <w:highlight w:val="none"/>
          <w:lang w:val="en-US" w:eastAsia="zh-CN"/>
        </w:rPr>
        <w:t>1</w:t>
      </w:r>
      <w:r>
        <w:rPr>
          <w:highlight w:val="none"/>
        </w:rPr>
        <w:t>.2建设规模及建设内容</w:t>
      </w:r>
      <w:bookmarkEnd w:id="212"/>
      <w:bookmarkEnd w:id="213"/>
      <w:bookmarkEnd w:id="214"/>
    </w:p>
    <w:p w14:paraId="7F6973BD">
      <w:pPr>
        <w:spacing w:line="360" w:lineRule="auto"/>
        <w:ind w:firstLine="480" w:firstLineChars="200"/>
        <w:contextualSpacing/>
        <w:rPr>
          <w:rFonts w:hint="default" w:eastAsiaTheme="minorEastAsia"/>
          <w:color w:val="000000" w:themeColor="text1"/>
          <w:sz w:val="24"/>
          <w:highlight w:val="none"/>
          <w:lang w:val="en-US" w:eastAsia="zh-CN"/>
          <w14:textFill>
            <w14:solidFill>
              <w14:schemeClr w14:val="tx1"/>
            </w14:solidFill>
          </w14:textFill>
        </w:rPr>
      </w:pPr>
      <w:r>
        <w:rPr>
          <w:rFonts w:eastAsiaTheme="minorEastAsia"/>
          <w:color w:val="000000" w:themeColor="text1"/>
          <w:sz w:val="24"/>
          <w:highlight w:val="none"/>
          <w14:textFill>
            <w14:solidFill>
              <w14:schemeClr w14:val="tx1"/>
            </w14:solidFill>
          </w14:textFill>
        </w:rPr>
        <w:t>本项目为</w:t>
      </w:r>
      <w:r>
        <w:rPr>
          <w:rFonts w:hint="eastAsia"/>
          <w:highlight w:val="none"/>
          <w:lang w:eastAsia="zh-CN"/>
        </w:rPr>
        <w:t>黑龙江省奇福圆环保科技有限公司项目</w:t>
      </w:r>
      <w:r>
        <w:rPr>
          <w:rFonts w:eastAsiaTheme="minorEastAsia"/>
          <w:color w:val="000000" w:themeColor="text1"/>
          <w:sz w:val="24"/>
          <w:highlight w:val="none"/>
          <w14:textFill>
            <w14:solidFill>
              <w14:schemeClr w14:val="tx1"/>
            </w14:solidFill>
          </w14:textFill>
        </w:rPr>
        <w:t>，位于</w:t>
      </w:r>
      <w:r>
        <w:rPr>
          <w:rFonts w:hint="eastAsia" w:cs="Times New Roman" w:eastAsiaTheme="minorEastAsia"/>
          <w:sz w:val="24"/>
          <w:szCs w:val="24"/>
          <w:highlight w:val="none"/>
          <w:lang w:val="en-US" w:eastAsia="zh-CN"/>
        </w:rPr>
        <w:t>黑龙江省哈尔滨市香坊区黎明乡幸福村哈阿公路零公里处哈尔滨透平设备总厂院内</w:t>
      </w:r>
      <w:r>
        <w:rPr>
          <w:rFonts w:eastAsiaTheme="minorEastAsia"/>
          <w:color w:val="000000" w:themeColor="text1"/>
          <w:sz w:val="24"/>
          <w:highlight w:val="none"/>
          <w14:textFill>
            <w14:solidFill>
              <w14:schemeClr w14:val="tx1"/>
            </w14:solidFill>
          </w14:textFill>
        </w:rPr>
        <w:t>，占地面积为</w:t>
      </w:r>
      <w:r>
        <w:rPr>
          <w:rFonts w:hint="eastAsia"/>
          <w:highlight w:val="none"/>
          <w:lang w:val="en-US" w:eastAsia="zh-CN"/>
        </w:rPr>
        <w:t>1800</w:t>
      </w:r>
      <w:r>
        <w:rPr>
          <w:rFonts w:eastAsiaTheme="minorEastAsia"/>
          <w:color w:val="000000" w:themeColor="text1"/>
          <w:sz w:val="24"/>
          <w:highlight w:val="none"/>
          <w14:textFill>
            <w14:solidFill>
              <w14:schemeClr w14:val="tx1"/>
            </w14:solidFill>
          </w14:textFill>
        </w:rPr>
        <w:t>m</w:t>
      </w:r>
      <w:r>
        <w:rPr>
          <w:rFonts w:eastAsiaTheme="minorEastAsia"/>
          <w:color w:val="000000" w:themeColor="text1"/>
          <w:sz w:val="24"/>
          <w:highlight w:val="none"/>
          <w:vertAlign w:val="superscript"/>
          <w14:textFill>
            <w14:solidFill>
              <w14:schemeClr w14:val="tx1"/>
            </w14:solidFill>
          </w14:textFill>
        </w:rPr>
        <w:t>2</w:t>
      </w:r>
      <w:r>
        <w:rPr>
          <w:rFonts w:eastAsiaTheme="minorEastAsia"/>
          <w:color w:val="000000" w:themeColor="text1"/>
          <w:sz w:val="24"/>
          <w:highlight w:val="none"/>
          <w14:textFill>
            <w14:solidFill>
              <w14:schemeClr w14:val="tx1"/>
            </w14:solidFill>
          </w14:textFill>
        </w:rPr>
        <w:t>，</w:t>
      </w:r>
      <w:r>
        <w:rPr>
          <w:rFonts w:hint="eastAsia" w:eastAsiaTheme="minorEastAsia"/>
          <w:color w:val="000000" w:themeColor="text1"/>
          <w:sz w:val="24"/>
          <w:highlight w:val="none"/>
          <w:lang w:val="en-US" w:eastAsia="zh-CN"/>
          <w14:textFill>
            <w14:solidFill>
              <w14:schemeClr w14:val="tx1"/>
            </w14:solidFill>
          </w14:textFill>
        </w:rPr>
        <w:t>企业用地性质为工业用地；</w:t>
      </w:r>
      <w:r>
        <w:rPr>
          <w:rFonts w:hint="eastAsia" w:eastAsiaTheme="minorEastAsia"/>
          <w:snapToGrid w:val="0"/>
          <w:color w:val="000000" w:themeColor="text1"/>
          <w:kern w:val="0"/>
          <w:sz w:val="24"/>
          <w:highlight w:val="none"/>
          <w:lang w:val="en-US" w:eastAsia="zh-CN"/>
          <w14:textFill>
            <w14:solidFill>
              <w14:schemeClr w14:val="tx1"/>
            </w14:solidFill>
          </w14:textFill>
        </w:rPr>
        <w:t>设一座生产车间及危险废物</w:t>
      </w:r>
      <w:r>
        <w:rPr>
          <w:rFonts w:hint="eastAsia" w:ascii="Times New Roman" w:hAnsi="Times New Roman" w:cs="Times New Roman" w:eastAsiaTheme="minorEastAsia"/>
          <w:snapToGrid w:val="0"/>
          <w:color w:val="000000" w:themeColor="text1"/>
          <w:kern w:val="0"/>
          <w:sz w:val="24"/>
          <w:highlight w:val="none"/>
          <w:lang w:val="en-US" w:eastAsia="zh-CN"/>
          <w14:textFill>
            <w14:solidFill>
              <w14:schemeClr w14:val="tx1"/>
            </w14:solidFill>
          </w14:textFill>
        </w:rPr>
        <w:t>贮存库；含油废铁屑5000t/a（HW09 900-006-09），含油废铝屑3000t/a（HW09 900-006-09），废铁质油桶500t/a（HW08 900-249-08）；仅收集储存新能源锂电池600t/a。</w:t>
      </w:r>
    </w:p>
    <w:p w14:paraId="36C9681D">
      <w:pPr>
        <w:bidi w:val="0"/>
        <w:rPr>
          <w:highlight w:val="none"/>
        </w:rPr>
      </w:pPr>
      <w:r>
        <w:rPr>
          <w:highlight w:val="none"/>
        </w:rPr>
        <w:t>具体建设内容见表3-</w:t>
      </w:r>
      <w:r>
        <w:rPr>
          <w:rFonts w:hint="eastAsia"/>
          <w:highlight w:val="none"/>
          <w:lang w:val="en-US" w:eastAsia="zh-CN"/>
        </w:rPr>
        <w:t>2</w:t>
      </w:r>
      <w:r>
        <w:rPr>
          <w:highlight w:val="none"/>
        </w:rPr>
        <w:t>-1。</w:t>
      </w:r>
    </w:p>
    <w:p w14:paraId="4D2D07AD">
      <w:pPr>
        <w:pStyle w:val="7"/>
        <w:bidi w:val="0"/>
        <w:rPr>
          <w:highlight w:val="none"/>
        </w:rPr>
      </w:pPr>
      <w:r>
        <w:rPr>
          <w:highlight w:val="none"/>
        </w:rPr>
        <w:t>表3-</w:t>
      </w:r>
      <w:r>
        <w:rPr>
          <w:rFonts w:hint="eastAsia"/>
          <w:highlight w:val="none"/>
          <w:lang w:val="en-US" w:eastAsia="zh-CN"/>
        </w:rPr>
        <w:t>1</w:t>
      </w:r>
      <w:r>
        <w:rPr>
          <w:highlight w:val="none"/>
        </w:rPr>
        <w:t>-1工程组成一览表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113"/>
        <w:gridCol w:w="5854"/>
        <w:gridCol w:w="895"/>
      </w:tblGrid>
      <w:tr w14:paraId="6C273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87" w:type="pct"/>
            <w:vAlign w:val="center"/>
          </w:tcPr>
          <w:p w14:paraId="46CCB265">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bookmarkStart w:id="215" w:name="_Hlk527725606"/>
            <w:r>
              <w:rPr>
                <w:rFonts w:hint="default"/>
                <w:highlight w:val="none"/>
              </w:rPr>
              <w:t>工程类别</w:t>
            </w:r>
          </w:p>
        </w:tc>
        <w:tc>
          <w:tcPr>
            <w:tcW w:w="653" w:type="pct"/>
            <w:vAlign w:val="center"/>
          </w:tcPr>
          <w:p w14:paraId="73C7BA0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工程名称</w:t>
            </w:r>
          </w:p>
        </w:tc>
        <w:tc>
          <w:tcPr>
            <w:tcW w:w="3434" w:type="pct"/>
            <w:vAlign w:val="center"/>
          </w:tcPr>
          <w:p w14:paraId="338F38D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主要建设内容</w:t>
            </w:r>
          </w:p>
        </w:tc>
        <w:tc>
          <w:tcPr>
            <w:tcW w:w="525" w:type="pct"/>
            <w:vAlign w:val="center"/>
          </w:tcPr>
          <w:p w14:paraId="77C84DCB">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备注</w:t>
            </w:r>
          </w:p>
        </w:tc>
      </w:tr>
      <w:tr w14:paraId="13237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87" w:type="pct"/>
            <w:vAlign w:val="center"/>
          </w:tcPr>
          <w:p w14:paraId="342964E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主体工程</w:t>
            </w:r>
          </w:p>
        </w:tc>
        <w:tc>
          <w:tcPr>
            <w:tcW w:w="653" w:type="pct"/>
            <w:vAlign w:val="center"/>
          </w:tcPr>
          <w:p w14:paraId="1A8A2EC4">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lang w:val="en-US" w:eastAsia="zh-CN"/>
              </w:rPr>
            </w:pPr>
            <w:r>
              <w:rPr>
                <w:rFonts w:hint="eastAsia"/>
                <w:highlight w:val="none"/>
                <w:lang w:val="en-US" w:eastAsia="zh-CN"/>
              </w:rPr>
              <w:t>生产车间</w:t>
            </w:r>
          </w:p>
        </w:tc>
        <w:tc>
          <w:tcPr>
            <w:tcW w:w="3434" w:type="pct"/>
            <w:vAlign w:val="center"/>
          </w:tcPr>
          <w:p w14:paraId="4FB57AD2">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420" w:firstLineChars="200"/>
              <w:jc w:val="left"/>
              <w:textAlignment w:val="auto"/>
              <w:rPr>
                <w:rFonts w:hint="default"/>
                <w:highlight w:val="none"/>
                <w:lang w:val="en-US" w:eastAsia="zh-CN"/>
              </w:rPr>
            </w:pPr>
            <w:r>
              <w:rPr>
                <w:rFonts w:hint="eastAsia"/>
                <w:highlight w:val="none"/>
                <w:lang w:val="en-US" w:eastAsia="zh-CN"/>
              </w:rPr>
              <w:t>厂房建筑面积为1200m</w:t>
            </w:r>
            <w:r>
              <w:rPr>
                <w:rFonts w:hint="eastAsia"/>
                <w:highlight w:val="none"/>
                <w:vertAlign w:val="superscript"/>
                <w:lang w:val="en-US" w:eastAsia="zh-CN"/>
              </w:rPr>
              <w:t>2</w:t>
            </w:r>
            <w:r>
              <w:rPr>
                <w:rFonts w:hint="eastAsia"/>
                <w:highlight w:val="none"/>
                <w:lang w:val="en-US" w:eastAsia="zh-CN"/>
              </w:rPr>
              <w:t>，高度约8m，设置一条破碎脱油生产线，年加工含油金属屑8500t，储存新能源锂电池600t。</w:t>
            </w:r>
          </w:p>
        </w:tc>
        <w:tc>
          <w:tcPr>
            <w:tcW w:w="525" w:type="pct"/>
            <w:vMerge w:val="restart"/>
            <w:vAlign w:val="center"/>
          </w:tcPr>
          <w:p w14:paraId="43BB034D">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lang w:val="en-US" w:eastAsia="zh-CN"/>
              </w:rPr>
            </w:pPr>
            <w:r>
              <w:rPr>
                <w:rFonts w:hint="eastAsia"/>
                <w:highlight w:val="none"/>
                <w:lang w:val="en-US" w:eastAsia="zh-CN"/>
              </w:rPr>
              <w:t>新建</w:t>
            </w:r>
          </w:p>
        </w:tc>
      </w:tr>
      <w:tr w14:paraId="32AFD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87" w:type="pct"/>
            <w:vAlign w:val="center"/>
          </w:tcPr>
          <w:p w14:paraId="73853D33">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储运工程</w:t>
            </w:r>
          </w:p>
        </w:tc>
        <w:tc>
          <w:tcPr>
            <w:tcW w:w="653" w:type="pct"/>
            <w:vAlign w:val="center"/>
          </w:tcPr>
          <w:p w14:paraId="19C58EC9">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lang w:val="en-US" w:eastAsia="zh-CN"/>
              </w:rPr>
            </w:pPr>
            <w:r>
              <w:rPr>
                <w:rFonts w:hint="eastAsia"/>
                <w:highlight w:val="none"/>
                <w:lang w:val="en-US" w:eastAsia="zh-CN"/>
              </w:rPr>
              <w:t>贮存池1</w:t>
            </w:r>
          </w:p>
        </w:tc>
        <w:tc>
          <w:tcPr>
            <w:tcW w:w="3434" w:type="pct"/>
            <w:vAlign w:val="center"/>
          </w:tcPr>
          <w:p w14:paraId="30FE74FE">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highlight w:val="none"/>
                <w:lang w:val="en-US" w:eastAsia="zh-CN"/>
              </w:rPr>
            </w:pPr>
            <w:r>
              <w:rPr>
                <w:rFonts w:hint="eastAsia"/>
                <w:highlight w:val="none"/>
                <w:lang w:val="en-US" w:eastAsia="zh-CN"/>
              </w:rPr>
              <w:t>位于生产车间内西侧，建筑面积约为200m</w:t>
            </w:r>
            <w:r>
              <w:rPr>
                <w:rFonts w:hint="eastAsia"/>
                <w:highlight w:val="none"/>
                <w:vertAlign w:val="superscript"/>
                <w:lang w:val="en-US" w:eastAsia="zh-CN"/>
              </w:rPr>
              <w:t>2</w:t>
            </w:r>
            <w:r>
              <w:rPr>
                <w:rFonts w:hint="eastAsia"/>
                <w:highlight w:val="none"/>
                <w:lang w:val="en-US" w:eastAsia="zh-CN"/>
              </w:rPr>
              <w:t>，深6m，用于储存含油废铁屑、废油质铁桶，最大储存量1200t。</w:t>
            </w:r>
          </w:p>
        </w:tc>
        <w:tc>
          <w:tcPr>
            <w:tcW w:w="525" w:type="pct"/>
            <w:vMerge w:val="continue"/>
            <w:vAlign w:val="center"/>
          </w:tcPr>
          <w:p w14:paraId="3C72E899">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r>
      <w:tr w14:paraId="111E9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87" w:type="pct"/>
            <w:vAlign w:val="center"/>
          </w:tcPr>
          <w:p w14:paraId="3963DE5D">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653" w:type="pct"/>
            <w:vAlign w:val="center"/>
          </w:tcPr>
          <w:p w14:paraId="033AEF7C">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eastAsia"/>
                <w:highlight w:val="none"/>
                <w:lang w:val="en-US" w:eastAsia="zh-CN"/>
              </w:rPr>
            </w:pPr>
            <w:r>
              <w:rPr>
                <w:rFonts w:hint="eastAsia"/>
                <w:highlight w:val="none"/>
                <w:lang w:val="en-US" w:eastAsia="zh-CN"/>
              </w:rPr>
              <w:t>贮存池2</w:t>
            </w:r>
          </w:p>
        </w:tc>
        <w:tc>
          <w:tcPr>
            <w:tcW w:w="3434" w:type="pct"/>
            <w:vAlign w:val="center"/>
          </w:tcPr>
          <w:p w14:paraId="1A468893">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eastAsia"/>
                <w:highlight w:val="none"/>
                <w:lang w:val="en-US" w:eastAsia="zh-CN"/>
              </w:rPr>
            </w:pPr>
            <w:r>
              <w:rPr>
                <w:rFonts w:hint="eastAsia"/>
                <w:highlight w:val="none"/>
                <w:lang w:val="en-US" w:eastAsia="zh-CN"/>
              </w:rPr>
              <w:t>位于生产车间内西侧，建筑面积约为100m</w:t>
            </w:r>
            <w:r>
              <w:rPr>
                <w:rFonts w:hint="eastAsia"/>
                <w:highlight w:val="none"/>
                <w:vertAlign w:val="superscript"/>
                <w:lang w:val="en-US" w:eastAsia="zh-CN"/>
              </w:rPr>
              <w:t>2</w:t>
            </w:r>
            <w:r>
              <w:rPr>
                <w:rFonts w:hint="eastAsia"/>
                <w:highlight w:val="none"/>
                <w:lang w:val="en-US" w:eastAsia="zh-CN"/>
              </w:rPr>
              <w:t>，深6m，用于储存含油废铝屑，最大储存量600t。</w:t>
            </w:r>
          </w:p>
        </w:tc>
        <w:tc>
          <w:tcPr>
            <w:tcW w:w="525" w:type="pct"/>
            <w:vMerge w:val="continue"/>
            <w:vAlign w:val="center"/>
          </w:tcPr>
          <w:p w14:paraId="0A5EEE8E">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r>
      <w:tr w14:paraId="31A43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87" w:type="pct"/>
            <w:vAlign w:val="center"/>
          </w:tcPr>
          <w:p w14:paraId="30D49422">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653" w:type="pct"/>
            <w:vAlign w:val="center"/>
          </w:tcPr>
          <w:p w14:paraId="491D11A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eastAsia"/>
                <w:highlight w:val="none"/>
                <w:lang w:val="en-US" w:eastAsia="zh-CN"/>
              </w:rPr>
            </w:pPr>
            <w:r>
              <w:rPr>
                <w:rFonts w:hint="eastAsia"/>
                <w:highlight w:val="none"/>
                <w:lang w:val="en-US" w:eastAsia="zh-CN"/>
              </w:rPr>
              <w:t>贮存间</w:t>
            </w:r>
          </w:p>
        </w:tc>
        <w:tc>
          <w:tcPr>
            <w:tcW w:w="3434" w:type="pct"/>
            <w:vAlign w:val="center"/>
          </w:tcPr>
          <w:p w14:paraId="501CDA3E">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eastAsia"/>
                <w:highlight w:val="none"/>
                <w:lang w:val="en-US" w:eastAsia="zh-CN"/>
              </w:rPr>
            </w:pPr>
            <w:r>
              <w:rPr>
                <w:rFonts w:hint="eastAsia"/>
                <w:highlight w:val="none"/>
                <w:lang w:val="en-US" w:eastAsia="zh-CN"/>
              </w:rPr>
              <w:t>位于生产车间内西侧，建筑面积约为100m</w:t>
            </w:r>
            <w:r>
              <w:rPr>
                <w:rFonts w:hint="eastAsia"/>
                <w:highlight w:val="none"/>
                <w:vertAlign w:val="superscript"/>
                <w:lang w:val="en-US" w:eastAsia="zh-CN"/>
              </w:rPr>
              <w:t>2</w:t>
            </w:r>
            <w:r>
              <w:rPr>
                <w:rFonts w:hint="eastAsia"/>
                <w:highlight w:val="none"/>
                <w:lang w:val="en-US" w:eastAsia="zh-CN"/>
              </w:rPr>
              <w:t>，用于储</w:t>
            </w:r>
            <w:r>
              <w:rPr>
                <w:rFonts w:hint="eastAsia"/>
                <w:sz w:val="21"/>
                <w:szCs w:val="21"/>
                <w:highlight w:val="none"/>
                <w:lang w:val="en-US" w:eastAsia="zh-CN"/>
              </w:rPr>
              <w:t>存</w:t>
            </w:r>
            <w:r>
              <w:rPr>
                <w:rFonts w:hint="eastAsia" w:ascii="Times New Roman" w:hAnsi="Times New Roman" w:cs="Times New Roman" w:eastAsiaTheme="minorEastAsia"/>
                <w:snapToGrid w:val="0"/>
                <w:color w:val="000000" w:themeColor="text1"/>
                <w:kern w:val="0"/>
                <w:sz w:val="21"/>
                <w:szCs w:val="21"/>
                <w:highlight w:val="none"/>
                <w:lang w:val="en-US" w:eastAsia="zh-CN"/>
                <w14:textFill>
                  <w14:solidFill>
                    <w14:schemeClr w14:val="tx1"/>
                  </w14:solidFill>
                </w14:textFill>
              </w:rPr>
              <w:t>废</w:t>
            </w:r>
            <w:r>
              <w:rPr>
                <w:rFonts w:hint="eastAsia" w:cs="Times New Roman" w:eastAsiaTheme="minorEastAsia"/>
                <w:snapToGrid w:val="0"/>
                <w:color w:val="000000" w:themeColor="text1"/>
                <w:kern w:val="0"/>
                <w:sz w:val="21"/>
                <w:szCs w:val="21"/>
                <w:highlight w:val="none"/>
                <w:lang w:val="en-US" w:eastAsia="zh-CN"/>
                <w14:textFill>
                  <w14:solidFill>
                    <w14:schemeClr w14:val="tx1"/>
                  </w14:solidFill>
                </w14:textFill>
              </w:rPr>
              <w:t>新能源锂电池</w:t>
            </w:r>
            <w:r>
              <w:rPr>
                <w:rFonts w:hint="eastAsia"/>
                <w:highlight w:val="none"/>
                <w:lang w:val="en-US" w:eastAsia="zh-CN"/>
              </w:rPr>
              <w:t>，最大储存量1500t</w:t>
            </w:r>
            <w:r>
              <w:rPr>
                <w:rFonts w:hint="eastAsia"/>
                <w:sz w:val="21"/>
                <w:szCs w:val="21"/>
                <w:highlight w:val="none"/>
                <w:lang w:val="en-US" w:eastAsia="zh-CN"/>
              </w:rPr>
              <w:t>。</w:t>
            </w:r>
          </w:p>
        </w:tc>
        <w:tc>
          <w:tcPr>
            <w:tcW w:w="525" w:type="pct"/>
            <w:vMerge w:val="continue"/>
            <w:vAlign w:val="center"/>
          </w:tcPr>
          <w:p w14:paraId="5FBE7BC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r>
      <w:tr w14:paraId="6A7A3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87" w:type="pct"/>
            <w:vAlign w:val="center"/>
          </w:tcPr>
          <w:p w14:paraId="6712D1D5">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653" w:type="pct"/>
            <w:vAlign w:val="center"/>
          </w:tcPr>
          <w:p w14:paraId="74592AD1">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lang w:val="en-US" w:eastAsia="zh-CN"/>
              </w:rPr>
            </w:pPr>
            <w:r>
              <w:rPr>
                <w:rFonts w:hint="eastAsia"/>
                <w:highlight w:val="none"/>
                <w:lang w:val="en-US" w:eastAsia="zh-CN"/>
              </w:rPr>
              <w:t>成品贮存区</w:t>
            </w:r>
          </w:p>
        </w:tc>
        <w:tc>
          <w:tcPr>
            <w:tcW w:w="3434" w:type="pct"/>
            <w:vAlign w:val="center"/>
          </w:tcPr>
          <w:p w14:paraId="540C833D">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eastAsia"/>
                <w:highlight w:val="none"/>
                <w:lang w:val="en-US" w:eastAsia="zh-CN"/>
              </w:rPr>
            </w:pPr>
            <w:r>
              <w:rPr>
                <w:rFonts w:hint="eastAsia"/>
                <w:highlight w:val="none"/>
                <w:lang w:val="en-US" w:eastAsia="zh-CN"/>
              </w:rPr>
              <w:t>位于生产车间内东侧，建筑面积约为200m</w:t>
            </w:r>
            <w:r>
              <w:rPr>
                <w:rFonts w:hint="eastAsia"/>
                <w:highlight w:val="none"/>
                <w:vertAlign w:val="superscript"/>
                <w:lang w:val="en-US" w:eastAsia="zh-CN"/>
              </w:rPr>
              <w:t>2</w:t>
            </w:r>
            <w:r>
              <w:rPr>
                <w:rFonts w:hint="eastAsia"/>
                <w:highlight w:val="none"/>
                <w:lang w:val="en-US" w:eastAsia="zh-CN"/>
              </w:rPr>
              <w:t>，用于储存脱油金属屑。</w:t>
            </w:r>
          </w:p>
        </w:tc>
        <w:tc>
          <w:tcPr>
            <w:tcW w:w="525" w:type="pct"/>
            <w:vMerge w:val="continue"/>
            <w:vAlign w:val="center"/>
          </w:tcPr>
          <w:p w14:paraId="40BA9992">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r>
      <w:tr w14:paraId="3B00F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87" w:type="pct"/>
            <w:vAlign w:val="center"/>
          </w:tcPr>
          <w:p w14:paraId="27CF510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储运工程</w:t>
            </w:r>
          </w:p>
        </w:tc>
        <w:tc>
          <w:tcPr>
            <w:tcW w:w="653" w:type="pct"/>
            <w:vAlign w:val="center"/>
          </w:tcPr>
          <w:p w14:paraId="000878F9">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危险废物贮存库</w:t>
            </w:r>
          </w:p>
        </w:tc>
        <w:tc>
          <w:tcPr>
            <w:tcW w:w="3434" w:type="pct"/>
            <w:vAlign w:val="center"/>
          </w:tcPr>
          <w:p w14:paraId="7546D36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位于生产车间南侧，建筑面积约为1000m</w:t>
            </w:r>
            <w:r>
              <w:rPr>
                <w:rFonts w:hint="eastAsia" w:ascii="Times New Roman" w:hAnsi="Times New Roman" w:eastAsia="宋体" w:cs="Times New Roman"/>
                <w:highlight w:val="none"/>
                <w:vertAlign w:val="superscript"/>
                <w:lang w:val="en-US" w:eastAsia="zh-CN"/>
              </w:rPr>
              <w:t>2</w:t>
            </w:r>
            <w:r>
              <w:rPr>
                <w:rFonts w:hint="eastAsia" w:ascii="Times New Roman" w:hAnsi="Times New Roman" w:eastAsia="宋体" w:cs="Times New Roman"/>
                <w:highlight w:val="none"/>
                <w:lang w:val="en-US" w:eastAsia="zh-CN"/>
              </w:rPr>
              <w:t>，高约6m，用于储存废液、废过滤材料、废活性炭、废电解液和电池。</w:t>
            </w:r>
          </w:p>
        </w:tc>
        <w:tc>
          <w:tcPr>
            <w:tcW w:w="525" w:type="pct"/>
            <w:vMerge w:val="continue"/>
            <w:vAlign w:val="center"/>
          </w:tcPr>
          <w:p w14:paraId="1DF07D1D">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r>
      <w:tr w14:paraId="42984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restart"/>
            <w:vAlign w:val="center"/>
          </w:tcPr>
          <w:p w14:paraId="32C2869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公用工程</w:t>
            </w:r>
          </w:p>
        </w:tc>
        <w:tc>
          <w:tcPr>
            <w:tcW w:w="653" w:type="pct"/>
            <w:vAlign w:val="center"/>
          </w:tcPr>
          <w:p w14:paraId="454A6A3C">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给水</w:t>
            </w:r>
          </w:p>
        </w:tc>
        <w:tc>
          <w:tcPr>
            <w:tcW w:w="3434" w:type="pct"/>
            <w:vAlign w:val="center"/>
          </w:tcPr>
          <w:p w14:paraId="252A77E2">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用水由市政自来水提供</w:t>
            </w:r>
          </w:p>
        </w:tc>
        <w:tc>
          <w:tcPr>
            <w:tcW w:w="525" w:type="pct"/>
            <w:vMerge w:val="restart"/>
            <w:vAlign w:val="center"/>
          </w:tcPr>
          <w:p w14:paraId="2741DB20">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eastAsia" w:eastAsia="宋体"/>
                <w:highlight w:val="none"/>
                <w:lang w:val="en-US" w:eastAsia="zh-CN"/>
              </w:rPr>
            </w:pPr>
            <w:r>
              <w:rPr>
                <w:rFonts w:hint="eastAsia"/>
                <w:highlight w:val="none"/>
                <w:lang w:val="en-US" w:eastAsia="zh-CN"/>
              </w:rPr>
              <w:t>依托</w:t>
            </w:r>
          </w:p>
        </w:tc>
      </w:tr>
      <w:tr w14:paraId="09178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vAlign w:val="center"/>
          </w:tcPr>
          <w:p w14:paraId="7F875DFC">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653" w:type="pct"/>
            <w:vAlign w:val="center"/>
          </w:tcPr>
          <w:p w14:paraId="6E76919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排水</w:t>
            </w:r>
          </w:p>
        </w:tc>
        <w:tc>
          <w:tcPr>
            <w:tcW w:w="3434" w:type="pct"/>
            <w:vAlign w:val="center"/>
          </w:tcPr>
          <w:p w14:paraId="4467AC63">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lang w:val="en-US" w:eastAsia="zh-CN"/>
              </w:rPr>
              <w:t>本项目不产生生产废水，</w:t>
            </w:r>
            <w:r>
              <w:rPr>
                <w:rFonts w:hint="eastAsia" w:ascii="Times New Roman" w:hAnsi="Times New Roman" w:eastAsia="宋体" w:cs="Times New Roman"/>
                <w:highlight w:val="none"/>
              </w:rPr>
              <w:t>生活污水</w:t>
            </w:r>
            <w:r>
              <w:rPr>
                <w:rFonts w:hint="eastAsia" w:cs="Times New Roman"/>
                <w:highlight w:val="none"/>
                <w:lang w:eastAsia="zh-CN"/>
              </w:rPr>
              <w:t>依托周边企业</w:t>
            </w:r>
            <w:r>
              <w:rPr>
                <w:rFonts w:hint="eastAsia" w:ascii="Times New Roman" w:hAnsi="Times New Roman" w:eastAsia="宋体" w:cs="Times New Roman"/>
                <w:highlight w:val="none"/>
              </w:rPr>
              <w:t>防渗旱厕，定期清掏，外运堆肥</w:t>
            </w:r>
            <w:r>
              <w:rPr>
                <w:rFonts w:hint="eastAsia" w:ascii="Times New Roman" w:hAnsi="Times New Roman" w:eastAsia="宋体" w:cs="Times New Roman"/>
                <w:highlight w:val="none"/>
                <w:lang w:val="en-US" w:eastAsia="zh-CN"/>
              </w:rPr>
              <w:t>；</w:t>
            </w:r>
          </w:p>
        </w:tc>
        <w:tc>
          <w:tcPr>
            <w:tcW w:w="525" w:type="pct"/>
            <w:vMerge w:val="continue"/>
            <w:vAlign w:val="center"/>
          </w:tcPr>
          <w:p w14:paraId="2857A01B">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r>
      <w:tr w14:paraId="6BAB3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vAlign w:val="center"/>
          </w:tcPr>
          <w:p w14:paraId="7C619AB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653" w:type="pct"/>
            <w:vAlign w:val="center"/>
          </w:tcPr>
          <w:p w14:paraId="541F6C42">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供电</w:t>
            </w:r>
          </w:p>
        </w:tc>
        <w:tc>
          <w:tcPr>
            <w:tcW w:w="3434" w:type="pct"/>
            <w:vAlign w:val="center"/>
          </w:tcPr>
          <w:p w14:paraId="715F564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highlight w:val="none"/>
              </w:rPr>
            </w:pPr>
            <w:r>
              <w:rPr>
                <w:rFonts w:hint="default"/>
                <w:highlight w:val="none"/>
              </w:rPr>
              <w:t>供电由哈尔滨市电业局供给</w:t>
            </w:r>
          </w:p>
        </w:tc>
        <w:tc>
          <w:tcPr>
            <w:tcW w:w="525" w:type="pct"/>
            <w:vMerge w:val="continue"/>
            <w:vAlign w:val="center"/>
          </w:tcPr>
          <w:p w14:paraId="02932E3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r>
      <w:tr w14:paraId="4CB5B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tcBorders>
              <w:tl2br w:val="nil"/>
              <w:tr2bl w:val="nil"/>
            </w:tcBorders>
            <w:vAlign w:val="center"/>
          </w:tcPr>
          <w:p w14:paraId="38DB7FEB">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653" w:type="pct"/>
            <w:tcBorders>
              <w:tl2br w:val="nil"/>
              <w:tr2bl w:val="nil"/>
            </w:tcBorders>
            <w:vAlign w:val="center"/>
          </w:tcPr>
          <w:p w14:paraId="7620EE8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供热</w:t>
            </w:r>
          </w:p>
        </w:tc>
        <w:tc>
          <w:tcPr>
            <w:tcW w:w="3434" w:type="pct"/>
            <w:tcBorders>
              <w:tl2br w:val="nil"/>
              <w:tr2bl w:val="nil"/>
            </w:tcBorders>
            <w:vAlign w:val="center"/>
          </w:tcPr>
          <w:p w14:paraId="0CF7BF20">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highlight w:val="none"/>
                <w:lang w:val="en-US" w:eastAsia="zh-CN"/>
              </w:rPr>
            </w:pPr>
            <w:r>
              <w:rPr>
                <w:rFonts w:hint="eastAsia"/>
                <w:highlight w:val="none"/>
                <w:lang w:val="en-US" w:eastAsia="zh-CN"/>
              </w:rPr>
              <w:t>厂房内生产区域冬季取暖为电取暖</w:t>
            </w:r>
          </w:p>
        </w:tc>
        <w:tc>
          <w:tcPr>
            <w:tcW w:w="525" w:type="pct"/>
            <w:tcBorders>
              <w:tl2br w:val="nil"/>
              <w:tr2bl w:val="nil"/>
            </w:tcBorders>
            <w:vAlign w:val="center"/>
          </w:tcPr>
          <w:p w14:paraId="1EA9524B">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新建</w:t>
            </w:r>
          </w:p>
        </w:tc>
      </w:tr>
      <w:tr w14:paraId="70940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restart"/>
            <w:tcBorders>
              <w:tl2br w:val="nil"/>
              <w:tr2bl w:val="nil"/>
            </w:tcBorders>
            <w:vAlign w:val="center"/>
          </w:tcPr>
          <w:p w14:paraId="23E29739">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环保工程</w:t>
            </w:r>
          </w:p>
        </w:tc>
        <w:tc>
          <w:tcPr>
            <w:tcW w:w="653" w:type="pct"/>
            <w:tcBorders>
              <w:tl2br w:val="nil"/>
              <w:tr2bl w:val="nil"/>
            </w:tcBorders>
            <w:vAlign w:val="center"/>
          </w:tcPr>
          <w:p w14:paraId="200A0E8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0" w:firstLineChars="0"/>
              <w:textAlignment w:val="auto"/>
              <w:rPr>
                <w:rFonts w:hint="default"/>
                <w:highlight w:val="none"/>
              </w:rPr>
            </w:pPr>
            <w:r>
              <w:rPr>
                <w:rFonts w:hint="default"/>
                <w:highlight w:val="none"/>
              </w:rPr>
              <w:t>废气处理</w:t>
            </w:r>
          </w:p>
        </w:tc>
        <w:tc>
          <w:tcPr>
            <w:tcW w:w="3434" w:type="pct"/>
            <w:tcBorders>
              <w:tl2br w:val="nil"/>
              <w:tr2bl w:val="nil"/>
            </w:tcBorders>
            <w:vAlign w:val="center"/>
          </w:tcPr>
          <w:p w14:paraId="5C7BF65B">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eastAsia="宋体"/>
                <w:highlight w:val="none"/>
                <w:lang w:val="en-US" w:eastAsia="zh-CN"/>
              </w:rPr>
            </w:pPr>
            <w:r>
              <w:rPr>
                <w:rFonts w:hint="eastAsia"/>
                <w:highlight w:val="none"/>
                <w:lang w:val="en-US" w:eastAsia="zh-CN"/>
              </w:rPr>
              <w:t>本项目生产车间废气收集后，经油雾净化器+活性炭吸附装置处理后经1根15m高排气筒（DA001）排放；危险废物贮存库废气收集后经活性炭吸附装置处理后排气筒（DA002）排放</w:t>
            </w:r>
          </w:p>
        </w:tc>
        <w:tc>
          <w:tcPr>
            <w:tcW w:w="525" w:type="pct"/>
            <w:tcBorders>
              <w:tl2br w:val="nil"/>
              <w:tr2bl w:val="nil"/>
            </w:tcBorders>
            <w:vAlign w:val="center"/>
          </w:tcPr>
          <w:p w14:paraId="3A517F60">
            <w:pPr>
              <w:pStyle w:val="8"/>
              <w:suppressLineNumbers w:val="0"/>
              <w:bidi w:val="0"/>
              <w:spacing w:before="0" w:beforeAutospacing="0" w:after="0" w:afterAutospacing="0"/>
              <w:ind w:left="0" w:right="0"/>
              <w:rPr>
                <w:rFonts w:hint="default"/>
                <w:highlight w:val="none"/>
              </w:rPr>
            </w:pPr>
            <w:r>
              <w:rPr>
                <w:rFonts w:hint="default"/>
                <w:highlight w:val="none"/>
              </w:rPr>
              <w:t>新建</w:t>
            </w:r>
          </w:p>
        </w:tc>
      </w:tr>
      <w:tr w14:paraId="399E2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tcBorders>
              <w:tl2br w:val="nil"/>
              <w:tr2bl w:val="nil"/>
            </w:tcBorders>
            <w:vAlign w:val="center"/>
          </w:tcPr>
          <w:p w14:paraId="2FAD3AF5">
            <w:pPr>
              <w:pStyle w:val="8"/>
              <w:suppressLineNumbers w:val="0"/>
              <w:bidi w:val="0"/>
              <w:spacing w:before="0" w:beforeAutospacing="0" w:after="0" w:afterAutospacing="0"/>
              <w:ind w:left="0" w:right="0"/>
              <w:rPr>
                <w:rFonts w:hint="default"/>
                <w:highlight w:val="none"/>
              </w:rPr>
            </w:pPr>
          </w:p>
        </w:tc>
        <w:tc>
          <w:tcPr>
            <w:tcW w:w="653" w:type="pct"/>
            <w:tcBorders>
              <w:tl2br w:val="nil"/>
              <w:tr2bl w:val="nil"/>
            </w:tcBorders>
            <w:vAlign w:val="center"/>
          </w:tcPr>
          <w:p w14:paraId="481021E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噪声处理</w:t>
            </w:r>
          </w:p>
        </w:tc>
        <w:tc>
          <w:tcPr>
            <w:tcW w:w="3434" w:type="pct"/>
            <w:tcBorders>
              <w:tl2br w:val="nil"/>
              <w:tr2bl w:val="nil"/>
            </w:tcBorders>
            <w:vAlign w:val="center"/>
          </w:tcPr>
          <w:p w14:paraId="10A066DD">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highlight w:val="none"/>
              </w:rPr>
            </w:pPr>
            <w:r>
              <w:rPr>
                <w:rFonts w:hint="default"/>
                <w:highlight w:val="none"/>
              </w:rPr>
              <w:t>选用低噪声设备，定期对设备进行维护，保证设备处于良好的运行状态；项目采用厂房隔声、基础减振</w:t>
            </w:r>
            <w:r>
              <w:rPr>
                <w:rFonts w:hint="eastAsia"/>
                <w:highlight w:val="none"/>
                <w:lang w:eastAsia="zh-CN"/>
              </w:rPr>
              <w:t>、</w:t>
            </w:r>
            <w:r>
              <w:rPr>
                <w:rFonts w:hint="eastAsia"/>
                <w:highlight w:val="none"/>
                <w:lang w:val="en-US" w:eastAsia="zh-CN"/>
              </w:rPr>
              <w:t>夜间不生产</w:t>
            </w:r>
            <w:r>
              <w:rPr>
                <w:rFonts w:hint="default"/>
                <w:highlight w:val="none"/>
              </w:rPr>
              <w:t>等措施降低噪声</w:t>
            </w:r>
          </w:p>
        </w:tc>
        <w:tc>
          <w:tcPr>
            <w:tcW w:w="525" w:type="pct"/>
            <w:tcBorders>
              <w:tl2br w:val="nil"/>
              <w:tr2bl w:val="nil"/>
            </w:tcBorders>
            <w:vAlign w:val="center"/>
          </w:tcPr>
          <w:p w14:paraId="1A6CC25B">
            <w:pPr>
              <w:pStyle w:val="8"/>
              <w:suppressLineNumbers w:val="0"/>
              <w:bidi w:val="0"/>
              <w:spacing w:before="0" w:beforeAutospacing="0" w:after="0" w:afterAutospacing="0"/>
              <w:ind w:left="0" w:right="0"/>
              <w:rPr>
                <w:rFonts w:hint="default"/>
                <w:highlight w:val="none"/>
              </w:rPr>
            </w:pPr>
            <w:r>
              <w:rPr>
                <w:rFonts w:hint="default"/>
                <w:highlight w:val="none"/>
              </w:rPr>
              <w:t>新建</w:t>
            </w:r>
          </w:p>
        </w:tc>
      </w:tr>
      <w:tr w14:paraId="30AE6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tcBorders>
              <w:tl2br w:val="nil"/>
              <w:tr2bl w:val="nil"/>
            </w:tcBorders>
            <w:vAlign w:val="center"/>
          </w:tcPr>
          <w:p w14:paraId="6BB8FF86">
            <w:pPr>
              <w:pStyle w:val="8"/>
              <w:suppressLineNumbers w:val="0"/>
              <w:bidi w:val="0"/>
              <w:spacing w:before="0" w:beforeAutospacing="0" w:after="0" w:afterAutospacing="0"/>
              <w:ind w:left="0" w:right="0"/>
              <w:rPr>
                <w:rFonts w:hint="default"/>
                <w:highlight w:val="none"/>
              </w:rPr>
            </w:pPr>
          </w:p>
        </w:tc>
        <w:tc>
          <w:tcPr>
            <w:tcW w:w="653" w:type="pct"/>
            <w:vMerge w:val="restart"/>
            <w:tcBorders>
              <w:tl2br w:val="nil"/>
              <w:tr2bl w:val="nil"/>
            </w:tcBorders>
            <w:vAlign w:val="center"/>
          </w:tcPr>
          <w:p w14:paraId="7A796D77">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固废</w:t>
            </w:r>
          </w:p>
          <w:p w14:paraId="1DD6FD57">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处理</w:t>
            </w:r>
          </w:p>
        </w:tc>
        <w:tc>
          <w:tcPr>
            <w:tcW w:w="3434" w:type="pct"/>
            <w:tcBorders>
              <w:tl2br w:val="nil"/>
              <w:tr2bl w:val="nil"/>
            </w:tcBorders>
            <w:vAlign w:val="center"/>
          </w:tcPr>
          <w:p w14:paraId="1A2D43AD">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highlight w:val="none"/>
              </w:rPr>
            </w:pPr>
            <w:r>
              <w:rPr>
                <w:rFonts w:hint="default"/>
                <w:highlight w:val="none"/>
              </w:rPr>
              <w:t>生活垃圾：由市政部门统一处理</w:t>
            </w:r>
          </w:p>
        </w:tc>
        <w:tc>
          <w:tcPr>
            <w:tcW w:w="525" w:type="pct"/>
            <w:tcBorders>
              <w:tl2br w:val="nil"/>
              <w:tr2bl w:val="nil"/>
            </w:tcBorders>
            <w:vAlign w:val="center"/>
          </w:tcPr>
          <w:p w14:paraId="0A3839C5">
            <w:pPr>
              <w:pStyle w:val="8"/>
              <w:suppressLineNumbers w:val="0"/>
              <w:bidi w:val="0"/>
              <w:spacing w:before="0" w:beforeAutospacing="0" w:after="0" w:afterAutospacing="0"/>
              <w:ind w:left="0" w:right="0"/>
              <w:rPr>
                <w:rFonts w:hint="default"/>
                <w:highlight w:val="none"/>
              </w:rPr>
            </w:pPr>
            <w:r>
              <w:rPr>
                <w:rFonts w:hint="default"/>
                <w:highlight w:val="none"/>
              </w:rPr>
              <w:t>新建</w:t>
            </w:r>
          </w:p>
        </w:tc>
      </w:tr>
      <w:tr w14:paraId="10609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tcBorders>
              <w:tl2br w:val="nil"/>
              <w:tr2bl w:val="nil"/>
            </w:tcBorders>
            <w:vAlign w:val="center"/>
          </w:tcPr>
          <w:p w14:paraId="157C5DF8">
            <w:pPr>
              <w:pStyle w:val="8"/>
              <w:suppressLineNumbers w:val="0"/>
              <w:bidi w:val="0"/>
              <w:spacing w:before="0" w:beforeAutospacing="0" w:after="0" w:afterAutospacing="0"/>
              <w:ind w:left="0" w:right="0"/>
              <w:rPr>
                <w:rFonts w:hint="default"/>
                <w:highlight w:val="none"/>
              </w:rPr>
            </w:pPr>
          </w:p>
        </w:tc>
        <w:tc>
          <w:tcPr>
            <w:tcW w:w="653" w:type="pct"/>
            <w:vMerge w:val="continue"/>
            <w:tcBorders>
              <w:tl2br w:val="nil"/>
              <w:tr2bl w:val="nil"/>
            </w:tcBorders>
            <w:vAlign w:val="center"/>
          </w:tcPr>
          <w:p w14:paraId="69117AE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3434" w:type="pct"/>
            <w:tcBorders>
              <w:tl2br w:val="nil"/>
              <w:tr2bl w:val="nil"/>
            </w:tcBorders>
            <w:vAlign w:val="center"/>
          </w:tcPr>
          <w:p w14:paraId="5131DF54">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highlight w:val="none"/>
                <w:lang w:val="en-US" w:eastAsia="zh-CN"/>
              </w:rPr>
            </w:pPr>
            <w:r>
              <w:rPr>
                <w:rFonts w:hint="eastAsia"/>
                <w:highlight w:val="none"/>
                <w:lang w:val="en-US" w:eastAsia="zh-CN"/>
              </w:rPr>
              <w:t>脱油</w:t>
            </w:r>
            <w:r>
              <w:rPr>
                <w:rFonts w:hint="eastAsia"/>
                <w:highlight w:val="none"/>
                <w:lang w:eastAsia="zh-CN"/>
              </w:rPr>
              <w:t>铁</w:t>
            </w:r>
            <w:r>
              <w:rPr>
                <w:rFonts w:hint="default"/>
                <w:highlight w:val="none"/>
              </w:rPr>
              <w:t>屑</w:t>
            </w:r>
            <w:r>
              <w:rPr>
                <w:rFonts w:hint="eastAsia"/>
                <w:highlight w:val="none"/>
                <w:lang w:eastAsia="zh-CN"/>
              </w:rPr>
              <w:t>、铝屑</w:t>
            </w:r>
            <w:r>
              <w:rPr>
                <w:rFonts w:hint="default"/>
                <w:highlight w:val="none"/>
              </w:rPr>
              <w:t>收集</w:t>
            </w:r>
            <w:r>
              <w:rPr>
                <w:rFonts w:hint="eastAsia"/>
                <w:highlight w:val="none"/>
                <w:lang w:eastAsia="zh-CN"/>
              </w:rPr>
              <w:t>仍按照危险废物管理，作为原料</w:t>
            </w:r>
            <w:r>
              <w:rPr>
                <w:rFonts w:hint="eastAsia"/>
                <w:highlight w:val="none"/>
                <w:lang w:val="en-US" w:eastAsia="zh-CN"/>
              </w:rPr>
              <w:t>外售金属冶炼企业</w:t>
            </w:r>
          </w:p>
        </w:tc>
        <w:tc>
          <w:tcPr>
            <w:tcW w:w="525" w:type="pct"/>
            <w:tcBorders>
              <w:tl2br w:val="nil"/>
              <w:tr2bl w:val="nil"/>
            </w:tcBorders>
            <w:vAlign w:val="center"/>
          </w:tcPr>
          <w:p w14:paraId="33156F59">
            <w:pPr>
              <w:pStyle w:val="8"/>
              <w:suppressLineNumbers w:val="0"/>
              <w:bidi w:val="0"/>
              <w:spacing w:before="0" w:beforeAutospacing="0" w:after="0" w:afterAutospacing="0"/>
              <w:ind w:left="0" w:right="0"/>
              <w:rPr>
                <w:rFonts w:hint="default"/>
                <w:highlight w:val="none"/>
              </w:rPr>
            </w:pPr>
            <w:r>
              <w:rPr>
                <w:rFonts w:hint="default"/>
                <w:highlight w:val="none"/>
              </w:rPr>
              <w:t>新建</w:t>
            </w:r>
          </w:p>
        </w:tc>
      </w:tr>
      <w:tr w14:paraId="5C9AA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tcBorders>
              <w:tl2br w:val="nil"/>
              <w:tr2bl w:val="nil"/>
            </w:tcBorders>
            <w:vAlign w:val="center"/>
          </w:tcPr>
          <w:p w14:paraId="1E461D47">
            <w:pPr>
              <w:pStyle w:val="8"/>
              <w:suppressLineNumbers w:val="0"/>
              <w:bidi w:val="0"/>
              <w:spacing w:before="0" w:beforeAutospacing="0" w:after="0" w:afterAutospacing="0"/>
              <w:ind w:left="0" w:right="0"/>
              <w:rPr>
                <w:rFonts w:hint="default"/>
                <w:highlight w:val="none"/>
              </w:rPr>
            </w:pPr>
          </w:p>
        </w:tc>
        <w:tc>
          <w:tcPr>
            <w:tcW w:w="653" w:type="pct"/>
            <w:vMerge w:val="continue"/>
            <w:tcBorders>
              <w:tl2br w:val="nil"/>
              <w:tr2bl w:val="nil"/>
            </w:tcBorders>
            <w:vAlign w:val="center"/>
          </w:tcPr>
          <w:p w14:paraId="1D073E42">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3434" w:type="pct"/>
            <w:tcBorders>
              <w:tl2br w:val="nil"/>
              <w:tr2bl w:val="nil"/>
            </w:tcBorders>
            <w:vAlign w:val="center"/>
          </w:tcPr>
          <w:p w14:paraId="7D5E0FF7">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highlight w:val="none"/>
                <w:lang w:val="en-US" w:eastAsia="zh-CN"/>
              </w:rPr>
            </w:pPr>
            <w:r>
              <w:rPr>
                <w:rFonts w:hint="eastAsia"/>
                <w:highlight w:val="none"/>
                <w:lang w:val="en-US" w:eastAsia="zh-CN"/>
              </w:rPr>
              <w:t>生产过程产生的</w:t>
            </w:r>
            <w:r>
              <w:rPr>
                <w:rFonts w:hint="default"/>
                <w:highlight w:val="none"/>
                <w:lang w:val="en-US" w:eastAsia="zh-CN"/>
              </w:rPr>
              <w:t>废</w:t>
            </w:r>
            <w:r>
              <w:rPr>
                <w:rFonts w:hint="eastAsia"/>
                <w:highlight w:val="none"/>
                <w:lang w:val="en-US" w:eastAsia="zh-CN"/>
              </w:rPr>
              <w:t>液</w:t>
            </w:r>
            <w:r>
              <w:rPr>
                <w:rFonts w:hint="default"/>
                <w:highlight w:val="none"/>
                <w:lang w:val="en-US" w:eastAsia="zh-CN"/>
              </w:rPr>
              <w:t>（类别：HW08，代码：900-249-08</w:t>
            </w:r>
            <w:r>
              <w:rPr>
                <w:rFonts w:hint="eastAsia"/>
                <w:highlight w:val="none"/>
                <w:lang w:val="en-US" w:eastAsia="zh-CN"/>
              </w:rPr>
              <w:t>、类别：HW09，代码900-007-09</w:t>
            </w:r>
            <w:r>
              <w:rPr>
                <w:rFonts w:hint="default"/>
                <w:highlight w:val="none"/>
                <w:lang w:val="en-US" w:eastAsia="zh-CN"/>
              </w:rPr>
              <w:t>）</w:t>
            </w:r>
            <w:r>
              <w:rPr>
                <w:rFonts w:hint="eastAsia"/>
                <w:highlight w:val="none"/>
                <w:lang w:val="en-US" w:eastAsia="zh-CN"/>
              </w:rPr>
              <w:t>、油雾净化器产生的废过滤材料</w:t>
            </w:r>
            <w:r>
              <w:rPr>
                <w:rFonts w:hint="default"/>
                <w:highlight w:val="none"/>
                <w:lang w:val="en-US" w:eastAsia="zh-CN"/>
              </w:rPr>
              <w:t>（类别：HW49，代码：900-041-49）</w:t>
            </w:r>
            <w:r>
              <w:rPr>
                <w:rFonts w:hint="eastAsia"/>
                <w:highlight w:val="none"/>
                <w:lang w:val="en-US" w:eastAsia="zh-CN"/>
              </w:rPr>
              <w:t>、废活性炭（</w:t>
            </w:r>
            <w:r>
              <w:rPr>
                <w:rFonts w:hint="default"/>
                <w:highlight w:val="none"/>
                <w:lang w:val="en-US" w:eastAsia="zh-CN"/>
              </w:rPr>
              <w:t>类别：HW49，代码：900-</w:t>
            </w:r>
            <w:r>
              <w:rPr>
                <w:rFonts w:hint="eastAsia"/>
                <w:highlight w:val="none"/>
                <w:lang w:val="en-US" w:eastAsia="zh-CN"/>
              </w:rPr>
              <w:t>039</w:t>
            </w:r>
            <w:r>
              <w:rPr>
                <w:rFonts w:hint="default"/>
                <w:highlight w:val="none"/>
                <w:lang w:val="en-US" w:eastAsia="zh-CN"/>
              </w:rPr>
              <w:t>-49</w:t>
            </w:r>
            <w:r>
              <w:rPr>
                <w:rFonts w:hint="eastAsia"/>
                <w:highlight w:val="none"/>
                <w:lang w:val="en-US" w:eastAsia="zh-CN"/>
              </w:rPr>
              <w:t>）、废电解液和电池（</w:t>
            </w:r>
            <w:r>
              <w:rPr>
                <w:rFonts w:hint="default"/>
                <w:highlight w:val="none"/>
                <w:lang w:val="en-US" w:eastAsia="zh-CN"/>
              </w:rPr>
              <w:t>类别：HW49，代码：900-04</w:t>
            </w:r>
            <w:r>
              <w:rPr>
                <w:rFonts w:hint="eastAsia"/>
                <w:highlight w:val="none"/>
                <w:lang w:val="en-US" w:eastAsia="zh-CN"/>
              </w:rPr>
              <w:t>5</w:t>
            </w:r>
            <w:r>
              <w:rPr>
                <w:rFonts w:hint="default"/>
                <w:highlight w:val="none"/>
                <w:lang w:val="en-US" w:eastAsia="zh-CN"/>
              </w:rPr>
              <w:t>-49</w:t>
            </w:r>
            <w:r>
              <w:rPr>
                <w:rFonts w:hint="eastAsia"/>
                <w:highlight w:val="none"/>
                <w:lang w:val="en-US" w:eastAsia="zh-CN"/>
              </w:rPr>
              <w:t>）分类暂存于危险废物贮存库中，定期交由有资质单位处置；</w:t>
            </w:r>
          </w:p>
        </w:tc>
        <w:tc>
          <w:tcPr>
            <w:tcW w:w="525" w:type="pct"/>
            <w:tcBorders>
              <w:tl2br w:val="nil"/>
              <w:tr2bl w:val="nil"/>
            </w:tcBorders>
            <w:vAlign w:val="center"/>
          </w:tcPr>
          <w:p w14:paraId="3E6A46D8">
            <w:pPr>
              <w:pStyle w:val="8"/>
              <w:suppressLineNumbers w:val="0"/>
              <w:bidi w:val="0"/>
              <w:spacing w:before="0" w:beforeAutospacing="0" w:after="0" w:afterAutospacing="0"/>
              <w:ind w:left="0" w:right="0"/>
              <w:rPr>
                <w:rFonts w:hint="default"/>
                <w:highlight w:val="none"/>
              </w:rPr>
            </w:pPr>
            <w:r>
              <w:rPr>
                <w:rFonts w:hint="default"/>
                <w:highlight w:val="none"/>
              </w:rPr>
              <w:t>新建</w:t>
            </w:r>
          </w:p>
        </w:tc>
      </w:tr>
      <w:tr w14:paraId="37AFF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tcBorders>
              <w:tl2br w:val="nil"/>
              <w:tr2bl w:val="nil"/>
            </w:tcBorders>
            <w:vAlign w:val="center"/>
          </w:tcPr>
          <w:p w14:paraId="3E28ED8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653" w:type="pct"/>
            <w:vMerge w:val="restart"/>
            <w:tcBorders>
              <w:tl2br w:val="nil"/>
              <w:tr2bl w:val="nil"/>
            </w:tcBorders>
            <w:vAlign w:val="center"/>
          </w:tcPr>
          <w:p w14:paraId="125EBEED">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防渗</w:t>
            </w:r>
          </w:p>
          <w:p w14:paraId="51695B82">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r>
              <w:rPr>
                <w:rFonts w:hint="default"/>
                <w:highlight w:val="none"/>
              </w:rPr>
              <w:t>工程</w:t>
            </w:r>
          </w:p>
        </w:tc>
        <w:tc>
          <w:tcPr>
            <w:tcW w:w="3434" w:type="pct"/>
            <w:tcBorders>
              <w:tl2br w:val="nil"/>
              <w:tr2bl w:val="nil"/>
            </w:tcBorders>
            <w:vAlign w:val="center"/>
          </w:tcPr>
          <w:p w14:paraId="7A2C0B6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eastAsia"/>
                <w:highlight w:val="none"/>
                <w:lang w:val="en-US" w:eastAsia="zh-CN"/>
              </w:rPr>
            </w:pPr>
            <w:r>
              <w:rPr>
                <w:rFonts w:hint="eastAsia"/>
                <w:highlight w:val="none"/>
                <w:lang w:val="en-US" w:eastAsia="zh-CN"/>
              </w:rPr>
              <w:t>本项目考虑到生产全过程涉及油类物质，故生产车间、危险废物贮存库地面均为重点防渗区，防渗执行《危险废物贮存污染控制标准》（GB</w:t>
            </w:r>
            <w:r>
              <w:rPr>
                <w:rFonts w:hint="default"/>
                <w:highlight w:val="none"/>
                <w:lang w:val="en-US" w:eastAsia="zh-CN"/>
              </w:rPr>
              <w:t> 18597-2023）</w:t>
            </w:r>
            <w:r>
              <w:rPr>
                <w:rFonts w:hint="eastAsia"/>
                <w:highlight w:val="none"/>
                <w:lang w:val="en-US" w:eastAsia="zh-CN"/>
              </w:rPr>
              <w:t>中相关要求。</w:t>
            </w:r>
          </w:p>
        </w:tc>
        <w:tc>
          <w:tcPr>
            <w:tcW w:w="525" w:type="pct"/>
            <w:vMerge w:val="restart"/>
            <w:tcBorders>
              <w:tl2br w:val="nil"/>
              <w:tr2bl w:val="nil"/>
            </w:tcBorders>
            <w:vAlign w:val="center"/>
          </w:tcPr>
          <w:p w14:paraId="02B62DF6">
            <w:pPr>
              <w:pStyle w:val="8"/>
              <w:suppressLineNumbers w:val="0"/>
              <w:bidi w:val="0"/>
              <w:spacing w:before="0" w:beforeAutospacing="0" w:after="0" w:afterAutospacing="0"/>
              <w:ind w:left="0" w:right="0"/>
              <w:rPr>
                <w:rFonts w:hint="default"/>
                <w:highlight w:val="none"/>
              </w:rPr>
            </w:pPr>
            <w:r>
              <w:rPr>
                <w:rFonts w:hint="default"/>
                <w:highlight w:val="none"/>
              </w:rPr>
              <w:t>新建</w:t>
            </w:r>
          </w:p>
        </w:tc>
      </w:tr>
      <w:tr w14:paraId="2EAD9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pct"/>
            <w:vMerge w:val="continue"/>
            <w:tcBorders>
              <w:tl2br w:val="nil"/>
              <w:tr2bl w:val="nil"/>
            </w:tcBorders>
            <w:vAlign w:val="center"/>
          </w:tcPr>
          <w:p w14:paraId="2B6A3CE0">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653" w:type="pct"/>
            <w:vMerge w:val="continue"/>
            <w:tcBorders>
              <w:tl2br w:val="nil"/>
              <w:tr2bl w:val="nil"/>
            </w:tcBorders>
            <w:vAlign w:val="center"/>
          </w:tcPr>
          <w:p w14:paraId="3DC15F0C">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highlight w:val="none"/>
              </w:rPr>
            </w:pPr>
          </w:p>
        </w:tc>
        <w:tc>
          <w:tcPr>
            <w:tcW w:w="3434" w:type="pct"/>
            <w:tcBorders>
              <w:tl2br w:val="nil"/>
              <w:tr2bl w:val="nil"/>
            </w:tcBorders>
            <w:vAlign w:val="center"/>
          </w:tcPr>
          <w:p w14:paraId="40BAE6B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eastAsia"/>
                <w:highlight w:val="none"/>
                <w:lang w:val="en-US" w:eastAsia="zh-CN"/>
              </w:rPr>
            </w:pPr>
            <w:r>
              <w:rPr>
                <w:rFonts w:hint="eastAsia"/>
                <w:highlight w:val="none"/>
                <w:lang w:val="en-US" w:eastAsia="zh-CN"/>
              </w:rPr>
              <w:t>贮存间执行</w:t>
            </w:r>
            <w:r>
              <w:rPr>
                <w:rFonts w:hint="eastAsia"/>
                <w:lang w:val="zh-CN"/>
              </w:rPr>
              <w:t>《一般工业固体废物贮存和填埋污染控制标准》(GB18599-2020)中相关要求。</w:t>
            </w:r>
          </w:p>
        </w:tc>
        <w:tc>
          <w:tcPr>
            <w:tcW w:w="525" w:type="pct"/>
            <w:vMerge w:val="continue"/>
            <w:tcBorders>
              <w:tl2br w:val="nil"/>
              <w:tr2bl w:val="nil"/>
            </w:tcBorders>
            <w:vAlign w:val="center"/>
          </w:tcPr>
          <w:p w14:paraId="273D9594">
            <w:pPr>
              <w:pStyle w:val="8"/>
              <w:suppressLineNumbers w:val="0"/>
              <w:bidi w:val="0"/>
              <w:spacing w:before="0" w:beforeAutospacing="0" w:after="0" w:afterAutospacing="0"/>
              <w:ind w:left="0" w:right="0"/>
              <w:rPr>
                <w:rFonts w:hint="default"/>
                <w:highlight w:val="none"/>
              </w:rPr>
            </w:pPr>
          </w:p>
        </w:tc>
      </w:tr>
    </w:tbl>
    <w:p w14:paraId="7480C2AB">
      <w:pPr>
        <w:pStyle w:val="8"/>
        <w:bidi w:val="0"/>
        <w:rPr>
          <w:rFonts w:hint="eastAsia"/>
          <w:highlight w:val="none"/>
          <w:lang w:val="en-US" w:eastAsia="zh-CN"/>
        </w:rPr>
      </w:pPr>
    </w:p>
    <w:bookmarkEnd w:id="215"/>
    <w:p w14:paraId="487153CB">
      <w:pPr>
        <w:pStyle w:val="5"/>
        <w:bidi w:val="0"/>
        <w:rPr>
          <w:highlight w:val="none"/>
        </w:rPr>
      </w:pPr>
      <w:bookmarkStart w:id="216" w:name="_Toc17488"/>
      <w:bookmarkStart w:id="217" w:name="_Toc11101"/>
      <w:bookmarkStart w:id="218" w:name="_Hlk479506277"/>
      <w:r>
        <w:rPr>
          <w:highlight w:val="none"/>
        </w:rPr>
        <w:t>3.</w:t>
      </w:r>
      <w:r>
        <w:rPr>
          <w:rFonts w:hint="eastAsia"/>
          <w:highlight w:val="none"/>
          <w:lang w:val="en-US" w:eastAsia="zh-CN"/>
        </w:rPr>
        <w:t>1</w:t>
      </w:r>
      <w:r>
        <w:rPr>
          <w:highlight w:val="none"/>
        </w:rPr>
        <w:t>.3设备清单</w:t>
      </w:r>
      <w:bookmarkEnd w:id="216"/>
      <w:bookmarkEnd w:id="217"/>
    </w:p>
    <w:p w14:paraId="2C1F2E7F">
      <w:pPr>
        <w:pStyle w:val="87"/>
        <w:spacing w:line="360" w:lineRule="auto"/>
        <w:ind w:firstLine="480" w:firstLineChars="200"/>
        <w:jc w:val="both"/>
        <w:rPr>
          <w:rFonts w:eastAsiaTheme="minorEastAsia"/>
          <w:sz w:val="24"/>
          <w:szCs w:val="24"/>
          <w:highlight w:val="none"/>
        </w:rPr>
      </w:pPr>
      <w:r>
        <w:rPr>
          <w:rFonts w:eastAsiaTheme="minorEastAsia"/>
          <w:sz w:val="24"/>
          <w:szCs w:val="24"/>
          <w:highlight w:val="none"/>
        </w:rPr>
        <w:t>本项目主要设备见下表。</w:t>
      </w:r>
    </w:p>
    <w:p w14:paraId="049B35B7">
      <w:pPr>
        <w:pStyle w:val="7"/>
        <w:bidi w:val="0"/>
        <w:rPr>
          <w:rFonts w:hint="eastAsia"/>
          <w:highlight w:val="none"/>
        </w:rPr>
      </w:pPr>
      <w:bookmarkStart w:id="219" w:name="_Hlk93944434"/>
      <w:r>
        <w:rPr>
          <w:rFonts w:hint="eastAsia"/>
          <w:highlight w:val="none"/>
        </w:rPr>
        <w:t>表3-</w:t>
      </w:r>
      <w:r>
        <w:rPr>
          <w:rFonts w:hint="eastAsia"/>
          <w:highlight w:val="none"/>
          <w:lang w:val="en-US" w:eastAsia="zh-CN"/>
        </w:rPr>
        <w:t>1</w:t>
      </w:r>
      <w:r>
        <w:rPr>
          <w:rFonts w:hint="eastAsia"/>
          <w:highlight w:val="none"/>
        </w:rPr>
        <w:t>-2主要设备一览表</w:t>
      </w:r>
    </w:p>
    <w:bookmarkEnd w:id="218"/>
    <w:bookmarkEnd w:id="219"/>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3"/>
        <w:gridCol w:w="1883"/>
        <w:gridCol w:w="1809"/>
        <w:gridCol w:w="1007"/>
        <w:gridCol w:w="926"/>
        <w:gridCol w:w="1394"/>
      </w:tblGrid>
      <w:tr w14:paraId="23E37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1A668ECB">
            <w:pPr>
              <w:pStyle w:val="8"/>
              <w:suppressLineNumbers w:val="0"/>
              <w:bidi w:val="0"/>
              <w:spacing w:before="0" w:beforeAutospacing="0" w:after="0" w:afterAutospacing="0"/>
              <w:ind w:left="0" w:right="0"/>
              <w:rPr>
                <w:rFonts w:hint="default"/>
                <w:highlight w:val="none"/>
                <w:lang w:val="en-US"/>
              </w:rPr>
            </w:pPr>
            <w:bookmarkStart w:id="220" w:name="_Toc2646"/>
            <w:bookmarkStart w:id="221" w:name="_Toc28312"/>
            <w:r>
              <w:rPr>
                <w:rFonts w:hint="eastAsia"/>
                <w:highlight w:val="none"/>
                <w:lang w:val="en-US" w:eastAsia="zh-CN"/>
              </w:rPr>
              <w:t>序号</w:t>
            </w:r>
          </w:p>
        </w:tc>
        <w:tc>
          <w:tcPr>
            <w:tcW w:w="1846" w:type="dxa"/>
            <w:tcBorders>
              <w:tl2br w:val="nil"/>
              <w:tr2bl w:val="nil"/>
            </w:tcBorders>
            <w:shd w:val="clear" w:color="auto" w:fill="auto"/>
            <w:vAlign w:val="top"/>
          </w:tcPr>
          <w:p w14:paraId="3C0BA440">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eastAsia="zh-CN"/>
              </w:rPr>
              <w:t>设备名称</w:t>
            </w:r>
          </w:p>
        </w:tc>
        <w:tc>
          <w:tcPr>
            <w:tcW w:w="1773" w:type="dxa"/>
            <w:tcBorders>
              <w:tl2br w:val="nil"/>
              <w:tr2bl w:val="nil"/>
            </w:tcBorders>
            <w:shd w:val="clear" w:color="auto" w:fill="auto"/>
            <w:vAlign w:val="top"/>
          </w:tcPr>
          <w:p w14:paraId="7572B1B2">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eastAsia="zh-CN"/>
              </w:rPr>
              <w:t>型号</w:t>
            </w:r>
          </w:p>
        </w:tc>
        <w:tc>
          <w:tcPr>
            <w:tcW w:w="987" w:type="dxa"/>
            <w:tcBorders>
              <w:tl2br w:val="nil"/>
              <w:tr2bl w:val="nil"/>
            </w:tcBorders>
            <w:shd w:val="clear" w:color="auto" w:fill="auto"/>
            <w:noWrap/>
            <w:vAlign w:val="center"/>
          </w:tcPr>
          <w:p w14:paraId="5F2DFD86">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eastAsia="zh-CN"/>
              </w:rPr>
              <w:t>单位</w:t>
            </w:r>
          </w:p>
        </w:tc>
        <w:tc>
          <w:tcPr>
            <w:tcW w:w="908" w:type="dxa"/>
            <w:tcBorders>
              <w:tl2br w:val="nil"/>
              <w:tr2bl w:val="nil"/>
            </w:tcBorders>
            <w:shd w:val="clear" w:color="auto" w:fill="auto"/>
            <w:vAlign w:val="top"/>
          </w:tcPr>
          <w:p w14:paraId="3F390592">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eastAsia="zh-CN"/>
              </w:rPr>
              <w:t>数量</w:t>
            </w:r>
          </w:p>
        </w:tc>
        <w:tc>
          <w:tcPr>
            <w:tcW w:w="1366" w:type="dxa"/>
            <w:tcBorders>
              <w:tl2br w:val="nil"/>
              <w:tr2bl w:val="nil"/>
            </w:tcBorders>
            <w:shd w:val="clear" w:color="auto" w:fill="auto"/>
            <w:vAlign w:val="top"/>
          </w:tcPr>
          <w:p w14:paraId="7919BC4B">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eastAsia="zh-CN"/>
              </w:rPr>
              <w:t>备注</w:t>
            </w:r>
          </w:p>
        </w:tc>
      </w:tr>
      <w:tr w14:paraId="405D6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590A958E">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1</w:t>
            </w:r>
          </w:p>
        </w:tc>
        <w:tc>
          <w:tcPr>
            <w:tcW w:w="1846" w:type="dxa"/>
            <w:tcBorders>
              <w:tl2br w:val="nil"/>
              <w:tr2bl w:val="nil"/>
            </w:tcBorders>
            <w:shd w:val="clear" w:color="auto" w:fill="auto"/>
            <w:vAlign w:val="center"/>
          </w:tcPr>
          <w:p w14:paraId="1E0CC4F9">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金属上料输送机</w:t>
            </w:r>
          </w:p>
        </w:tc>
        <w:tc>
          <w:tcPr>
            <w:tcW w:w="1773" w:type="dxa"/>
            <w:tcBorders>
              <w:tl2br w:val="nil"/>
              <w:tr2bl w:val="nil"/>
            </w:tcBorders>
            <w:shd w:val="clear" w:color="auto" w:fill="auto"/>
            <w:vAlign w:val="center"/>
          </w:tcPr>
          <w:p w14:paraId="5D3AD3E5">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w:t>
            </w:r>
          </w:p>
        </w:tc>
        <w:tc>
          <w:tcPr>
            <w:tcW w:w="987" w:type="dxa"/>
            <w:tcBorders>
              <w:tl2br w:val="nil"/>
              <w:tr2bl w:val="nil"/>
            </w:tcBorders>
            <w:shd w:val="clear" w:color="auto" w:fill="auto"/>
            <w:noWrap/>
            <w:vAlign w:val="center"/>
          </w:tcPr>
          <w:p w14:paraId="50519508">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eastAsia="zh-CN"/>
              </w:rPr>
              <w:t>台</w:t>
            </w:r>
          </w:p>
        </w:tc>
        <w:tc>
          <w:tcPr>
            <w:tcW w:w="908" w:type="dxa"/>
            <w:tcBorders>
              <w:tl2br w:val="nil"/>
              <w:tr2bl w:val="nil"/>
            </w:tcBorders>
            <w:shd w:val="clear" w:color="auto" w:fill="auto"/>
            <w:vAlign w:val="center"/>
          </w:tcPr>
          <w:p w14:paraId="078A146C">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1</w:t>
            </w:r>
          </w:p>
        </w:tc>
        <w:tc>
          <w:tcPr>
            <w:tcW w:w="1366" w:type="dxa"/>
            <w:tcBorders>
              <w:tl2br w:val="nil"/>
              <w:tr2bl w:val="nil"/>
            </w:tcBorders>
            <w:shd w:val="clear" w:color="auto" w:fill="auto"/>
            <w:vAlign w:val="top"/>
          </w:tcPr>
          <w:p w14:paraId="4CAE14FE">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新建</w:t>
            </w:r>
          </w:p>
        </w:tc>
      </w:tr>
      <w:tr w14:paraId="41C46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56D579DA">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2</w:t>
            </w:r>
          </w:p>
        </w:tc>
        <w:tc>
          <w:tcPr>
            <w:tcW w:w="1846" w:type="dxa"/>
            <w:tcBorders>
              <w:tl2br w:val="nil"/>
              <w:tr2bl w:val="nil"/>
            </w:tcBorders>
            <w:shd w:val="clear" w:color="auto" w:fill="auto"/>
            <w:vAlign w:val="center"/>
          </w:tcPr>
          <w:p w14:paraId="5B1A395A">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rPr>
              <w:t>金属屑粉碎机</w:t>
            </w:r>
          </w:p>
        </w:tc>
        <w:tc>
          <w:tcPr>
            <w:tcW w:w="1773" w:type="dxa"/>
            <w:tcBorders>
              <w:tl2br w:val="nil"/>
              <w:tr2bl w:val="nil"/>
            </w:tcBorders>
            <w:shd w:val="clear" w:color="auto" w:fill="auto"/>
            <w:vAlign w:val="center"/>
          </w:tcPr>
          <w:p w14:paraId="3A6F59A2">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w:t>
            </w:r>
          </w:p>
        </w:tc>
        <w:tc>
          <w:tcPr>
            <w:tcW w:w="987" w:type="dxa"/>
            <w:tcBorders>
              <w:tl2br w:val="nil"/>
              <w:tr2bl w:val="nil"/>
            </w:tcBorders>
            <w:shd w:val="clear" w:color="auto" w:fill="auto"/>
            <w:noWrap/>
            <w:vAlign w:val="center"/>
          </w:tcPr>
          <w:p w14:paraId="1603A657">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eastAsia="zh-CN"/>
              </w:rPr>
              <w:t>台</w:t>
            </w:r>
          </w:p>
        </w:tc>
        <w:tc>
          <w:tcPr>
            <w:tcW w:w="908" w:type="dxa"/>
            <w:tcBorders>
              <w:tl2br w:val="nil"/>
              <w:tr2bl w:val="nil"/>
            </w:tcBorders>
            <w:shd w:val="clear" w:color="auto" w:fill="auto"/>
            <w:vAlign w:val="center"/>
          </w:tcPr>
          <w:p w14:paraId="31E06D6F">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1</w:t>
            </w:r>
          </w:p>
        </w:tc>
        <w:tc>
          <w:tcPr>
            <w:tcW w:w="1366" w:type="dxa"/>
            <w:tcBorders>
              <w:tl2br w:val="nil"/>
              <w:tr2bl w:val="nil"/>
            </w:tcBorders>
            <w:shd w:val="clear" w:color="auto" w:fill="auto"/>
            <w:vAlign w:val="top"/>
          </w:tcPr>
          <w:p w14:paraId="736DB608">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新建</w:t>
            </w:r>
          </w:p>
        </w:tc>
      </w:tr>
      <w:tr w14:paraId="51CE8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3DECB408">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3</w:t>
            </w:r>
          </w:p>
        </w:tc>
        <w:tc>
          <w:tcPr>
            <w:tcW w:w="1846" w:type="dxa"/>
            <w:tcBorders>
              <w:tl2br w:val="nil"/>
              <w:tr2bl w:val="nil"/>
            </w:tcBorders>
            <w:shd w:val="clear" w:color="auto" w:fill="auto"/>
            <w:vAlign w:val="center"/>
          </w:tcPr>
          <w:p w14:paraId="3F2FE421">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rPr>
              <w:t>金属屑输送机</w:t>
            </w:r>
          </w:p>
        </w:tc>
        <w:tc>
          <w:tcPr>
            <w:tcW w:w="1773" w:type="dxa"/>
            <w:tcBorders>
              <w:tl2br w:val="nil"/>
              <w:tr2bl w:val="nil"/>
            </w:tcBorders>
            <w:shd w:val="clear" w:color="auto" w:fill="auto"/>
            <w:vAlign w:val="center"/>
          </w:tcPr>
          <w:p w14:paraId="0F64B70E">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w:t>
            </w:r>
          </w:p>
        </w:tc>
        <w:tc>
          <w:tcPr>
            <w:tcW w:w="987" w:type="dxa"/>
            <w:tcBorders>
              <w:tl2br w:val="nil"/>
              <w:tr2bl w:val="nil"/>
            </w:tcBorders>
            <w:shd w:val="clear" w:color="auto" w:fill="auto"/>
            <w:noWrap/>
            <w:vAlign w:val="center"/>
          </w:tcPr>
          <w:p w14:paraId="17925435">
            <w:pPr>
              <w:pStyle w:val="8"/>
              <w:suppressLineNumbers w:val="0"/>
              <w:bidi w:val="0"/>
              <w:spacing w:before="0" w:beforeAutospacing="0" w:after="0" w:afterAutospacing="0"/>
              <w:ind w:left="0" w:right="0"/>
              <w:rPr>
                <w:rFonts w:hint="default"/>
                <w:highlight w:val="none"/>
                <w:lang w:val="en-US"/>
              </w:rPr>
            </w:pPr>
            <w:r>
              <w:rPr>
                <w:rFonts w:hint="default"/>
                <w:highlight w:val="none"/>
                <w:lang w:val="en-US" w:eastAsia="zh-CN"/>
              </w:rPr>
              <w:t>台</w:t>
            </w:r>
          </w:p>
        </w:tc>
        <w:tc>
          <w:tcPr>
            <w:tcW w:w="908" w:type="dxa"/>
            <w:tcBorders>
              <w:tl2br w:val="nil"/>
              <w:tr2bl w:val="nil"/>
            </w:tcBorders>
            <w:shd w:val="clear" w:color="auto" w:fill="auto"/>
            <w:vAlign w:val="center"/>
          </w:tcPr>
          <w:p w14:paraId="0656A2B8">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1</w:t>
            </w:r>
          </w:p>
        </w:tc>
        <w:tc>
          <w:tcPr>
            <w:tcW w:w="1366" w:type="dxa"/>
            <w:tcBorders>
              <w:tl2br w:val="nil"/>
              <w:tr2bl w:val="nil"/>
            </w:tcBorders>
            <w:shd w:val="clear" w:color="auto" w:fill="auto"/>
            <w:vAlign w:val="top"/>
          </w:tcPr>
          <w:p w14:paraId="76C874BF">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新建</w:t>
            </w:r>
          </w:p>
        </w:tc>
      </w:tr>
      <w:tr w14:paraId="6A8C7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43FD4803">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w:t>
            </w:r>
          </w:p>
        </w:tc>
        <w:tc>
          <w:tcPr>
            <w:tcW w:w="1846" w:type="dxa"/>
            <w:tcBorders>
              <w:tl2br w:val="nil"/>
              <w:tr2bl w:val="nil"/>
            </w:tcBorders>
            <w:shd w:val="clear" w:color="auto" w:fill="auto"/>
            <w:vAlign w:val="center"/>
          </w:tcPr>
          <w:p w14:paraId="292F1295">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金属屑脱油机</w:t>
            </w:r>
          </w:p>
        </w:tc>
        <w:tc>
          <w:tcPr>
            <w:tcW w:w="1773" w:type="dxa"/>
            <w:tcBorders>
              <w:tl2br w:val="nil"/>
              <w:tr2bl w:val="nil"/>
            </w:tcBorders>
            <w:shd w:val="clear" w:color="auto" w:fill="auto"/>
            <w:vAlign w:val="center"/>
          </w:tcPr>
          <w:p w14:paraId="6D4D07F8">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w:t>
            </w:r>
          </w:p>
        </w:tc>
        <w:tc>
          <w:tcPr>
            <w:tcW w:w="987" w:type="dxa"/>
            <w:tcBorders>
              <w:tl2br w:val="nil"/>
              <w:tr2bl w:val="nil"/>
            </w:tcBorders>
            <w:shd w:val="clear" w:color="auto" w:fill="auto"/>
            <w:noWrap/>
            <w:vAlign w:val="center"/>
          </w:tcPr>
          <w:p w14:paraId="252DE648">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default"/>
                <w:highlight w:val="none"/>
                <w:lang w:val="en-US" w:eastAsia="zh-CN"/>
              </w:rPr>
              <w:t>台</w:t>
            </w:r>
          </w:p>
        </w:tc>
        <w:tc>
          <w:tcPr>
            <w:tcW w:w="908" w:type="dxa"/>
            <w:tcBorders>
              <w:tl2br w:val="nil"/>
              <w:tr2bl w:val="nil"/>
            </w:tcBorders>
            <w:shd w:val="clear" w:color="auto" w:fill="auto"/>
            <w:vAlign w:val="center"/>
          </w:tcPr>
          <w:p w14:paraId="33E0EF6E">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1</w:t>
            </w:r>
          </w:p>
        </w:tc>
        <w:tc>
          <w:tcPr>
            <w:tcW w:w="1366" w:type="dxa"/>
            <w:tcBorders>
              <w:tl2br w:val="nil"/>
              <w:tr2bl w:val="nil"/>
            </w:tcBorders>
            <w:shd w:val="clear" w:color="auto" w:fill="auto"/>
            <w:vAlign w:val="top"/>
          </w:tcPr>
          <w:p w14:paraId="3B650A1E">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新建</w:t>
            </w:r>
          </w:p>
        </w:tc>
      </w:tr>
      <w:tr w14:paraId="21813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7E5A29A0">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5</w:t>
            </w:r>
          </w:p>
        </w:tc>
        <w:tc>
          <w:tcPr>
            <w:tcW w:w="1846" w:type="dxa"/>
            <w:tcBorders>
              <w:tl2br w:val="nil"/>
              <w:tr2bl w:val="nil"/>
            </w:tcBorders>
            <w:shd w:val="clear" w:color="auto" w:fill="auto"/>
            <w:vAlign w:val="center"/>
          </w:tcPr>
          <w:p w14:paraId="09DD9B60">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金属屑排屑机</w:t>
            </w:r>
          </w:p>
        </w:tc>
        <w:tc>
          <w:tcPr>
            <w:tcW w:w="1773" w:type="dxa"/>
            <w:tcBorders>
              <w:tl2br w:val="nil"/>
              <w:tr2bl w:val="nil"/>
            </w:tcBorders>
            <w:shd w:val="clear" w:color="auto" w:fill="auto"/>
            <w:vAlign w:val="center"/>
          </w:tcPr>
          <w:p w14:paraId="44EEB311">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w:t>
            </w:r>
          </w:p>
        </w:tc>
        <w:tc>
          <w:tcPr>
            <w:tcW w:w="987" w:type="dxa"/>
            <w:tcBorders>
              <w:tl2br w:val="nil"/>
              <w:tr2bl w:val="nil"/>
            </w:tcBorders>
            <w:shd w:val="clear" w:color="auto" w:fill="auto"/>
            <w:noWrap/>
            <w:vAlign w:val="center"/>
          </w:tcPr>
          <w:p w14:paraId="7DC5AABD">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default"/>
                <w:highlight w:val="none"/>
                <w:lang w:val="en-US" w:eastAsia="zh-CN"/>
              </w:rPr>
              <w:t>台</w:t>
            </w:r>
          </w:p>
        </w:tc>
        <w:tc>
          <w:tcPr>
            <w:tcW w:w="908" w:type="dxa"/>
            <w:tcBorders>
              <w:tl2br w:val="nil"/>
              <w:tr2bl w:val="nil"/>
            </w:tcBorders>
            <w:shd w:val="clear" w:color="auto" w:fill="auto"/>
            <w:vAlign w:val="center"/>
          </w:tcPr>
          <w:p w14:paraId="5D4333C8">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1</w:t>
            </w:r>
          </w:p>
        </w:tc>
        <w:tc>
          <w:tcPr>
            <w:tcW w:w="1366" w:type="dxa"/>
            <w:tcBorders>
              <w:tl2br w:val="nil"/>
              <w:tr2bl w:val="nil"/>
            </w:tcBorders>
            <w:shd w:val="clear" w:color="auto" w:fill="auto"/>
            <w:vAlign w:val="top"/>
          </w:tcPr>
          <w:p w14:paraId="6CA8A62F">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新建</w:t>
            </w:r>
          </w:p>
        </w:tc>
      </w:tr>
      <w:tr w14:paraId="6CECD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49D26E40">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w:t>
            </w:r>
          </w:p>
        </w:tc>
        <w:tc>
          <w:tcPr>
            <w:tcW w:w="1846" w:type="dxa"/>
            <w:tcBorders>
              <w:tl2br w:val="nil"/>
              <w:tr2bl w:val="nil"/>
            </w:tcBorders>
            <w:shd w:val="clear" w:color="auto" w:fill="auto"/>
            <w:vAlign w:val="center"/>
          </w:tcPr>
          <w:p w14:paraId="06C3ACD4">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废液回收装置</w:t>
            </w:r>
          </w:p>
        </w:tc>
        <w:tc>
          <w:tcPr>
            <w:tcW w:w="1773" w:type="dxa"/>
            <w:tcBorders>
              <w:tl2br w:val="nil"/>
              <w:tr2bl w:val="nil"/>
            </w:tcBorders>
            <w:shd w:val="clear" w:color="auto" w:fill="auto"/>
            <w:vAlign w:val="center"/>
          </w:tcPr>
          <w:p w14:paraId="4299292A">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w:t>
            </w:r>
          </w:p>
        </w:tc>
        <w:tc>
          <w:tcPr>
            <w:tcW w:w="987" w:type="dxa"/>
            <w:tcBorders>
              <w:tl2br w:val="nil"/>
              <w:tr2bl w:val="nil"/>
            </w:tcBorders>
            <w:shd w:val="clear" w:color="auto" w:fill="auto"/>
            <w:noWrap/>
            <w:vAlign w:val="center"/>
          </w:tcPr>
          <w:p w14:paraId="73E9D30B">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default"/>
                <w:highlight w:val="none"/>
                <w:lang w:val="en-US" w:eastAsia="zh-CN"/>
              </w:rPr>
              <w:t>台</w:t>
            </w:r>
          </w:p>
        </w:tc>
        <w:tc>
          <w:tcPr>
            <w:tcW w:w="908" w:type="dxa"/>
            <w:tcBorders>
              <w:tl2br w:val="nil"/>
              <w:tr2bl w:val="nil"/>
            </w:tcBorders>
            <w:shd w:val="clear" w:color="auto" w:fill="auto"/>
            <w:vAlign w:val="center"/>
          </w:tcPr>
          <w:p w14:paraId="627ECAAC">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1</w:t>
            </w:r>
          </w:p>
        </w:tc>
        <w:tc>
          <w:tcPr>
            <w:tcW w:w="1366" w:type="dxa"/>
            <w:tcBorders>
              <w:tl2br w:val="nil"/>
              <w:tr2bl w:val="nil"/>
            </w:tcBorders>
            <w:shd w:val="clear" w:color="auto" w:fill="auto"/>
            <w:vAlign w:val="top"/>
          </w:tcPr>
          <w:p w14:paraId="5ACA801D">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新建</w:t>
            </w:r>
          </w:p>
        </w:tc>
      </w:tr>
      <w:tr w14:paraId="05539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087BCAD3">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7</w:t>
            </w:r>
          </w:p>
        </w:tc>
        <w:tc>
          <w:tcPr>
            <w:tcW w:w="1846" w:type="dxa"/>
            <w:tcBorders>
              <w:tl2br w:val="nil"/>
              <w:tr2bl w:val="nil"/>
            </w:tcBorders>
            <w:shd w:val="clear" w:color="auto" w:fill="auto"/>
            <w:vAlign w:val="center"/>
          </w:tcPr>
          <w:p w14:paraId="46F6C559">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风机</w:t>
            </w:r>
          </w:p>
        </w:tc>
        <w:tc>
          <w:tcPr>
            <w:tcW w:w="1773" w:type="dxa"/>
            <w:tcBorders>
              <w:tl2br w:val="nil"/>
              <w:tr2bl w:val="nil"/>
            </w:tcBorders>
            <w:shd w:val="clear" w:color="auto" w:fill="auto"/>
            <w:vAlign w:val="center"/>
          </w:tcPr>
          <w:p w14:paraId="7F6AAA61">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w:t>
            </w:r>
          </w:p>
        </w:tc>
        <w:tc>
          <w:tcPr>
            <w:tcW w:w="987" w:type="dxa"/>
            <w:tcBorders>
              <w:tl2br w:val="nil"/>
              <w:tr2bl w:val="nil"/>
            </w:tcBorders>
            <w:shd w:val="clear" w:color="auto" w:fill="auto"/>
            <w:noWrap/>
            <w:vAlign w:val="center"/>
          </w:tcPr>
          <w:p w14:paraId="4F229CB6">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default"/>
                <w:highlight w:val="none"/>
                <w:lang w:val="en-US" w:eastAsia="zh-CN"/>
              </w:rPr>
              <w:t>台</w:t>
            </w:r>
          </w:p>
        </w:tc>
        <w:tc>
          <w:tcPr>
            <w:tcW w:w="908" w:type="dxa"/>
            <w:tcBorders>
              <w:tl2br w:val="nil"/>
              <w:tr2bl w:val="nil"/>
            </w:tcBorders>
            <w:shd w:val="clear" w:color="auto" w:fill="auto"/>
            <w:vAlign w:val="center"/>
          </w:tcPr>
          <w:p w14:paraId="5AF1DB2B">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2</w:t>
            </w:r>
          </w:p>
        </w:tc>
        <w:tc>
          <w:tcPr>
            <w:tcW w:w="1366" w:type="dxa"/>
            <w:tcBorders>
              <w:tl2br w:val="nil"/>
              <w:tr2bl w:val="nil"/>
            </w:tcBorders>
            <w:shd w:val="clear" w:color="auto" w:fill="auto"/>
            <w:vAlign w:val="top"/>
          </w:tcPr>
          <w:p w14:paraId="06F8726B">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新建</w:t>
            </w:r>
          </w:p>
        </w:tc>
      </w:tr>
      <w:tr w14:paraId="502DA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41BCBAF9">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8</w:t>
            </w:r>
          </w:p>
        </w:tc>
        <w:tc>
          <w:tcPr>
            <w:tcW w:w="1846" w:type="dxa"/>
            <w:tcBorders>
              <w:tl2br w:val="nil"/>
              <w:tr2bl w:val="nil"/>
            </w:tcBorders>
            <w:shd w:val="clear" w:color="auto" w:fill="auto"/>
            <w:vAlign w:val="center"/>
          </w:tcPr>
          <w:p w14:paraId="71007236">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油雾净化器</w:t>
            </w:r>
          </w:p>
        </w:tc>
        <w:tc>
          <w:tcPr>
            <w:tcW w:w="1773" w:type="dxa"/>
            <w:tcBorders>
              <w:tl2br w:val="nil"/>
              <w:tr2bl w:val="nil"/>
            </w:tcBorders>
            <w:shd w:val="clear" w:color="auto" w:fill="auto"/>
            <w:vAlign w:val="center"/>
          </w:tcPr>
          <w:p w14:paraId="6B170981">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w:t>
            </w:r>
          </w:p>
        </w:tc>
        <w:tc>
          <w:tcPr>
            <w:tcW w:w="987" w:type="dxa"/>
            <w:tcBorders>
              <w:tl2br w:val="nil"/>
              <w:tr2bl w:val="nil"/>
            </w:tcBorders>
            <w:shd w:val="clear" w:color="auto" w:fill="auto"/>
            <w:noWrap/>
            <w:vAlign w:val="center"/>
          </w:tcPr>
          <w:p w14:paraId="1690BF7F">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default"/>
                <w:highlight w:val="none"/>
                <w:lang w:val="en-US" w:eastAsia="zh-CN"/>
              </w:rPr>
              <w:t>台</w:t>
            </w:r>
          </w:p>
        </w:tc>
        <w:tc>
          <w:tcPr>
            <w:tcW w:w="908" w:type="dxa"/>
            <w:tcBorders>
              <w:tl2br w:val="nil"/>
              <w:tr2bl w:val="nil"/>
            </w:tcBorders>
            <w:shd w:val="clear" w:color="auto" w:fill="auto"/>
            <w:vAlign w:val="center"/>
          </w:tcPr>
          <w:p w14:paraId="23A3BFE5">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1</w:t>
            </w:r>
          </w:p>
        </w:tc>
        <w:tc>
          <w:tcPr>
            <w:tcW w:w="1366" w:type="dxa"/>
            <w:tcBorders>
              <w:tl2br w:val="nil"/>
              <w:tr2bl w:val="nil"/>
            </w:tcBorders>
            <w:shd w:val="clear" w:color="auto" w:fill="auto"/>
            <w:vAlign w:val="top"/>
          </w:tcPr>
          <w:p w14:paraId="23A6CA74">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新建</w:t>
            </w:r>
          </w:p>
        </w:tc>
      </w:tr>
      <w:tr w14:paraId="5C054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73" w:type="dxa"/>
            <w:tcBorders>
              <w:tl2br w:val="nil"/>
              <w:tr2bl w:val="nil"/>
            </w:tcBorders>
            <w:shd w:val="clear" w:color="auto" w:fill="auto"/>
            <w:noWrap/>
            <w:vAlign w:val="center"/>
          </w:tcPr>
          <w:p w14:paraId="1C003F17">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9</w:t>
            </w:r>
          </w:p>
        </w:tc>
        <w:tc>
          <w:tcPr>
            <w:tcW w:w="1846" w:type="dxa"/>
            <w:tcBorders>
              <w:tl2br w:val="nil"/>
              <w:tr2bl w:val="nil"/>
            </w:tcBorders>
            <w:shd w:val="clear" w:color="auto" w:fill="auto"/>
            <w:vAlign w:val="center"/>
          </w:tcPr>
          <w:p w14:paraId="1801F43A">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活性炭吸附装置</w:t>
            </w:r>
          </w:p>
        </w:tc>
        <w:tc>
          <w:tcPr>
            <w:tcW w:w="1773" w:type="dxa"/>
            <w:tcBorders>
              <w:tl2br w:val="nil"/>
              <w:tr2bl w:val="nil"/>
            </w:tcBorders>
            <w:shd w:val="clear" w:color="auto" w:fill="auto"/>
            <w:vAlign w:val="center"/>
          </w:tcPr>
          <w:p w14:paraId="44333EE5">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w:t>
            </w:r>
          </w:p>
        </w:tc>
        <w:tc>
          <w:tcPr>
            <w:tcW w:w="987" w:type="dxa"/>
            <w:tcBorders>
              <w:tl2br w:val="nil"/>
              <w:tr2bl w:val="nil"/>
            </w:tcBorders>
            <w:shd w:val="clear" w:color="auto" w:fill="auto"/>
            <w:noWrap/>
            <w:vAlign w:val="center"/>
          </w:tcPr>
          <w:p w14:paraId="077373BB">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台</w:t>
            </w:r>
          </w:p>
        </w:tc>
        <w:tc>
          <w:tcPr>
            <w:tcW w:w="908" w:type="dxa"/>
            <w:tcBorders>
              <w:tl2br w:val="nil"/>
              <w:tr2bl w:val="nil"/>
            </w:tcBorders>
            <w:shd w:val="clear" w:color="auto" w:fill="auto"/>
            <w:vAlign w:val="center"/>
          </w:tcPr>
          <w:p w14:paraId="54FE934D">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2</w:t>
            </w:r>
          </w:p>
        </w:tc>
        <w:tc>
          <w:tcPr>
            <w:tcW w:w="1366" w:type="dxa"/>
            <w:tcBorders>
              <w:tl2br w:val="nil"/>
              <w:tr2bl w:val="nil"/>
            </w:tcBorders>
            <w:shd w:val="clear" w:color="auto" w:fill="auto"/>
            <w:vAlign w:val="top"/>
          </w:tcPr>
          <w:p w14:paraId="7DA8A45F">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新建</w:t>
            </w:r>
          </w:p>
        </w:tc>
      </w:tr>
    </w:tbl>
    <w:p w14:paraId="2B223623">
      <w:pPr>
        <w:pStyle w:val="5"/>
        <w:bidi w:val="0"/>
        <w:rPr>
          <w:highlight w:val="none"/>
        </w:rPr>
      </w:pPr>
      <w:r>
        <w:rPr>
          <w:highlight w:val="none"/>
        </w:rPr>
        <w:t>3.</w:t>
      </w:r>
      <w:r>
        <w:rPr>
          <w:rFonts w:hint="eastAsia"/>
          <w:highlight w:val="none"/>
          <w:lang w:val="en-US" w:eastAsia="zh-CN"/>
        </w:rPr>
        <w:t>1</w:t>
      </w:r>
      <w:r>
        <w:rPr>
          <w:highlight w:val="none"/>
        </w:rPr>
        <w:t>.4项目原辅料消耗</w:t>
      </w:r>
      <w:bookmarkEnd w:id="220"/>
      <w:bookmarkEnd w:id="221"/>
    </w:p>
    <w:p w14:paraId="1440A97A">
      <w:pPr>
        <w:keepNext w:val="0"/>
        <w:keepLines w:val="0"/>
        <w:widowControl/>
        <w:suppressLineNumbers w:val="0"/>
        <w:jc w:val="left"/>
      </w:pPr>
      <w:r>
        <w:rPr>
          <w:rFonts w:hint="eastAsia" w:hAnsiTheme="minorEastAsia" w:eastAsiaTheme="minorEastAsia"/>
          <w:sz w:val="24"/>
          <w:highlight w:val="none"/>
          <w:lang w:val="en-US" w:eastAsia="zh-CN"/>
        </w:rPr>
        <w:t>本项目原料来源于周边企业产生的含油金属屑、废铁质油桶、废新能源锂电池，</w:t>
      </w:r>
      <w:r>
        <w:rPr>
          <w:rFonts w:hint="eastAsia" w:ascii="宋体" w:hAnsi="宋体" w:eastAsia="宋体" w:cs="宋体"/>
          <w:color w:val="000000"/>
          <w:kern w:val="0"/>
          <w:sz w:val="24"/>
          <w:szCs w:val="24"/>
          <w:lang w:val="en-US" w:eastAsia="zh-CN" w:bidi="ar"/>
        </w:rPr>
        <w:t>本项目仅对进场的废锂电池进行分类存放，不涉及废锂电池拆解和深加工。</w:t>
      </w:r>
    </w:p>
    <w:p w14:paraId="3CD19660">
      <w:pPr>
        <w:spacing w:line="360" w:lineRule="auto"/>
        <w:ind w:firstLine="480" w:firstLineChars="200"/>
        <w:rPr>
          <w:rFonts w:eastAsiaTheme="minorEastAsia"/>
          <w:sz w:val="24"/>
          <w:highlight w:val="none"/>
        </w:rPr>
      </w:pPr>
      <w:r>
        <w:rPr>
          <w:rFonts w:hAnsiTheme="minorEastAsia" w:eastAsiaTheme="minorEastAsia"/>
          <w:sz w:val="24"/>
          <w:highlight w:val="none"/>
        </w:rPr>
        <w:t>本项目原辅料用量见下表。</w:t>
      </w:r>
    </w:p>
    <w:p w14:paraId="1482F989">
      <w:pPr>
        <w:pStyle w:val="7"/>
        <w:bidi w:val="0"/>
        <w:rPr>
          <w:rFonts w:hint="eastAsia"/>
          <w:highlight w:val="none"/>
        </w:rPr>
      </w:pPr>
      <w:r>
        <w:rPr>
          <w:rFonts w:hint="eastAsia"/>
          <w:highlight w:val="none"/>
        </w:rPr>
        <w:t>表3-</w:t>
      </w:r>
      <w:r>
        <w:rPr>
          <w:rFonts w:hint="eastAsia"/>
          <w:highlight w:val="none"/>
          <w:lang w:val="en-US" w:eastAsia="zh-CN"/>
        </w:rPr>
        <w:t>1</w:t>
      </w:r>
      <w:r>
        <w:rPr>
          <w:rFonts w:hint="eastAsia"/>
          <w:highlight w:val="none"/>
        </w:rPr>
        <w:t>-3本项目原辅料组成表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8"/>
        <w:gridCol w:w="1782"/>
        <w:gridCol w:w="687"/>
        <w:gridCol w:w="912"/>
        <w:gridCol w:w="1351"/>
        <w:gridCol w:w="3142"/>
      </w:tblGrid>
      <w:tr w14:paraId="433FE7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2" w:hRule="atLeast"/>
          <w:tblHeader/>
          <w:jc w:val="center"/>
        </w:trPr>
        <w:tc>
          <w:tcPr>
            <w:tcW w:w="380" w:type="pct"/>
            <w:vAlign w:val="center"/>
          </w:tcPr>
          <w:p w14:paraId="199F64C6">
            <w:pPr>
              <w:pStyle w:val="8"/>
              <w:suppressLineNumbers w:val="0"/>
              <w:bidi w:val="0"/>
              <w:spacing w:before="0" w:beforeAutospacing="0" w:after="0" w:afterAutospacing="0"/>
              <w:ind w:left="0" w:right="0"/>
              <w:rPr>
                <w:rFonts w:hint="default"/>
                <w:highlight w:val="none"/>
              </w:rPr>
            </w:pPr>
            <w:bookmarkStart w:id="222" w:name="_Toc29938"/>
            <w:bookmarkStart w:id="223" w:name="_Toc31985"/>
            <w:bookmarkStart w:id="224" w:name="_Toc456590362"/>
            <w:r>
              <w:rPr>
                <w:rFonts w:hint="default"/>
                <w:highlight w:val="none"/>
              </w:rPr>
              <w:t>序号</w:t>
            </w:r>
          </w:p>
        </w:tc>
        <w:tc>
          <w:tcPr>
            <w:tcW w:w="1045" w:type="pct"/>
            <w:vAlign w:val="center"/>
          </w:tcPr>
          <w:p w14:paraId="6789E54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材料名称</w:t>
            </w:r>
          </w:p>
        </w:tc>
        <w:tc>
          <w:tcPr>
            <w:tcW w:w="403" w:type="pct"/>
            <w:vAlign w:val="center"/>
          </w:tcPr>
          <w:p w14:paraId="0504E966">
            <w:pPr>
              <w:pStyle w:val="8"/>
              <w:suppressLineNumbers w:val="0"/>
              <w:bidi w:val="0"/>
              <w:spacing w:before="0" w:beforeAutospacing="0" w:after="0" w:afterAutospacing="0"/>
              <w:ind w:left="0" w:right="0"/>
              <w:rPr>
                <w:rFonts w:hint="default"/>
                <w:highlight w:val="none"/>
              </w:rPr>
            </w:pPr>
            <w:r>
              <w:rPr>
                <w:rFonts w:hint="default"/>
                <w:highlight w:val="none"/>
              </w:rPr>
              <w:t>单位</w:t>
            </w:r>
          </w:p>
        </w:tc>
        <w:tc>
          <w:tcPr>
            <w:tcW w:w="535" w:type="pct"/>
            <w:vAlign w:val="center"/>
          </w:tcPr>
          <w:p w14:paraId="6608EDC3">
            <w:pPr>
              <w:pStyle w:val="8"/>
              <w:suppressLineNumbers w:val="0"/>
              <w:bidi w:val="0"/>
              <w:spacing w:before="0" w:beforeAutospacing="0" w:after="0" w:afterAutospacing="0"/>
              <w:ind w:left="0" w:right="0"/>
              <w:rPr>
                <w:rFonts w:hint="default"/>
                <w:highlight w:val="none"/>
              </w:rPr>
            </w:pPr>
            <w:r>
              <w:rPr>
                <w:rFonts w:hint="default"/>
                <w:highlight w:val="none"/>
              </w:rPr>
              <w:t>年耗量</w:t>
            </w:r>
          </w:p>
        </w:tc>
        <w:tc>
          <w:tcPr>
            <w:tcW w:w="792" w:type="pct"/>
            <w:vAlign w:val="center"/>
          </w:tcPr>
          <w:p w14:paraId="2EC48396">
            <w:pPr>
              <w:pStyle w:val="8"/>
              <w:suppressLineNumbers w:val="0"/>
              <w:bidi w:val="0"/>
              <w:spacing w:before="0" w:beforeAutospacing="0" w:after="0" w:afterAutospacing="0"/>
              <w:ind w:left="0" w:right="0"/>
              <w:rPr>
                <w:rFonts w:hint="eastAsia" w:eastAsia="宋体"/>
                <w:highlight w:val="none"/>
                <w:lang w:eastAsia="zh-CN"/>
              </w:rPr>
            </w:pPr>
            <w:r>
              <w:rPr>
                <w:rFonts w:hint="eastAsia"/>
                <w:highlight w:val="none"/>
                <w:lang w:val="en-US" w:eastAsia="zh-CN"/>
              </w:rPr>
              <w:t>最大储存量</w:t>
            </w:r>
          </w:p>
        </w:tc>
        <w:tc>
          <w:tcPr>
            <w:tcW w:w="1842" w:type="pct"/>
            <w:vAlign w:val="center"/>
          </w:tcPr>
          <w:p w14:paraId="59C5AF82">
            <w:pPr>
              <w:pStyle w:val="8"/>
              <w:suppressLineNumbers w:val="0"/>
              <w:bidi w:val="0"/>
              <w:spacing w:before="0" w:beforeAutospacing="0" w:after="0" w:afterAutospacing="0"/>
              <w:ind w:left="0" w:right="0" w:firstLine="0" w:firstLineChars="0"/>
              <w:rPr>
                <w:rFonts w:hint="default"/>
                <w:highlight w:val="none"/>
              </w:rPr>
            </w:pPr>
            <w:r>
              <w:rPr>
                <w:rFonts w:hint="default"/>
                <w:highlight w:val="none"/>
              </w:rPr>
              <w:t>备注</w:t>
            </w:r>
          </w:p>
        </w:tc>
      </w:tr>
      <w:tr w14:paraId="056532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380" w:type="pct"/>
            <w:vAlign w:val="center"/>
          </w:tcPr>
          <w:p w14:paraId="2305BABB">
            <w:pPr>
              <w:pStyle w:val="8"/>
              <w:suppressLineNumbers w:val="0"/>
              <w:bidi w:val="0"/>
              <w:spacing w:before="0" w:beforeAutospacing="0" w:after="0" w:afterAutospacing="0"/>
              <w:ind w:left="0" w:right="0"/>
              <w:rPr>
                <w:rFonts w:hint="default"/>
                <w:highlight w:val="none"/>
              </w:rPr>
            </w:pPr>
            <w:r>
              <w:rPr>
                <w:rFonts w:hint="default"/>
                <w:highlight w:val="none"/>
              </w:rPr>
              <w:t>1</w:t>
            </w:r>
          </w:p>
        </w:tc>
        <w:tc>
          <w:tcPr>
            <w:tcW w:w="1045" w:type="pct"/>
            <w:vAlign w:val="center"/>
          </w:tcPr>
          <w:p w14:paraId="78885B20">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highlight w:val="none"/>
                <w:lang w:val="en-US" w:eastAsia="zh-CN"/>
              </w:rPr>
              <w:t>含油废铁屑</w:t>
            </w:r>
          </w:p>
        </w:tc>
        <w:tc>
          <w:tcPr>
            <w:tcW w:w="403" w:type="pct"/>
            <w:vAlign w:val="center"/>
          </w:tcPr>
          <w:p w14:paraId="1C75CC9B">
            <w:pPr>
              <w:pStyle w:val="8"/>
              <w:suppressLineNumbers w:val="0"/>
              <w:bidi w:val="0"/>
              <w:spacing w:before="0" w:beforeAutospacing="0" w:after="0" w:afterAutospacing="0"/>
              <w:ind w:left="0" w:right="0"/>
              <w:rPr>
                <w:rFonts w:hint="default"/>
                <w:highlight w:val="none"/>
              </w:rPr>
            </w:pPr>
            <w:r>
              <w:rPr>
                <w:rFonts w:hint="default"/>
                <w:highlight w:val="none"/>
              </w:rPr>
              <w:t>t</w:t>
            </w:r>
          </w:p>
        </w:tc>
        <w:tc>
          <w:tcPr>
            <w:tcW w:w="535" w:type="pct"/>
            <w:vAlign w:val="center"/>
          </w:tcPr>
          <w:p w14:paraId="1E24CD57">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5000</w:t>
            </w:r>
          </w:p>
        </w:tc>
        <w:tc>
          <w:tcPr>
            <w:tcW w:w="792" w:type="pct"/>
            <w:vAlign w:val="center"/>
          </w:tcPr>
          <w:p w14:paraId="4E4E6E02">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960</w:t>
            </w:r>
          </w:p>
        </w:tc>
        <w:tc>
          <w:tcPr>
            <w:tcW w:w="1842" w:type="pct"/>
            <w:vAlign w:val="center"/>
          </w:tcPr>
          <w:p w14:paraId="32A584DA">
            <w:pPr>
              <w:pStyle w:val="8"/>
              <w:suppressLineNumbers w:val="0"/>
              <w:bidi w:val="0"/>
              <w:spacing w:before="0" w:beforeAutospacing="0" w:after="0" w:afterAutospacing="0"/>
              <w:ind w:left="0" w:right="0" w:firstLine="0" w:firstLineChars="0"/>
              <w:rPr>
                <w:rFonts w:hint="default"/>
                <w:highlight w:val="none"/>
              </w:rPr>
            </w:pPr>
            <w:r>
              <w:rPr>
                <w:rFonts w:hint="eastAsia" w:ascii="Times New Roman" w:hAnsi="Times New Roman" w:eastAsia="宋体" w:cs="Times New Roman"/>
                <w:b w:val="0"/>
                <w:bCs w:val="0"/>
                <w:color w:val="auto"/>
                <w:sz w:val="21"/>
                <w:szCs w:val="21"/>
                <w:highlight w:val="none"/>
                <w:lang w:val="en-US" w:eastAsia="zh-CN"/>
              </w:rPr>
              <w:t>类别HW08，代码：900-200-08</w:t>
            </w:r>
          </w:p>
        </w:tc>
      </w:tr>
      <w:tr w14:paraId="06AECD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380" w:type="pct"/>
            <w:vAlign w:val="center"/>
          </w:tcPr>
          <w:p w14:paraId="058D18E6">
            <w:pPr>
              <w:pStyle w:val="8"/>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2</w:t>
            </w:r>
          </w:p>
        </w:tc>
        <w:tc>
          <w:tcPr>
            <w:tcW w:w="1045" w:type="pct"/>
            <w:vAlign w:val="center"/>
          </w:tcPr>
          <w:p w14:paraId="1DA53D83">
            <w:pPr>
              <w:pStyle w:val="8"/>
              <w:suppressLineNumbers w:val="0"/>
              <w:bidi w:val="0"/>
              <w:spacing w:before="0" w:beforeAutospacing="0" w:after="0" w:afterAutospacing="0"/>
              <w:ind w:left="0" w:right="0"/>
              <w:rPr>
                <w:rFonts w:hint="eastAsia" w:ascii="Times New Roman" w:hAnsi="Times New Roman" w:eastAsia="宋体" w:cs="Times New Roman"/>
                <w:highlight w:val="none"/>
                <w:lang w:val="en-US" w:eastAsia="zh-CN"/>
              </w:rPr>
            </w:pPr>
            <w:r>
              <w:rPr>
                <w:rFonts w:hint="eastAsia"/>
                <w:highlight w:val="none"/>
                <w:lang w:val="en-US" w:eastAsia="zh-CN"/>
              </w:rPr>
              <w:t>含油废铝屑</w:t>
            </w:r>
          </w:p>
        </w:tc>
        <w:tc>
          <w:tcPr>
            <w:tcW w:w="403" w:type="pct"/>
            <w:vAlign w:val="center"/>
          </w:tcPr>
          <w:p w14:paraId="1AE75EC1">
            <w:pPr>
              <w:pStyle w:val="8"/>
              <w:suppressLineNumbers w:val="0"/>
              <w:bidi w:val="0"/>
              <w:spacing w:before="0" w:beforeAutospacing="0" w:after="0" w:afterAutospacing="0"/>
              <w:ind w:left="0" w:leftChars="0" w:right="0" w:rightChars="0" w:firstLine="0" w:firstLineChars="0"/>
              <w:rPr>
                <w:rFonts w:hint="default"/>
                <w:highlight w:val="none"/>
              </w:rPr>
            </w:pPr>
            <w:r>
              <w:rPr>
                <w:rFonts w:hint="default"/>
                <w:highlight w:val="none"/>
              </w:rPr>
              <w:t>t</w:t>
            </w:r>
          </w:p>
        </w:tc>
        <w:tc>
          <w:tcPr>
            <w:tcW w:w="535" w:type="pct"/>
            <w:vAlign w:val="center"/>
          </w:tcPr>
          <w:p w14:paraId="3A113099">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3000</w:t>
            </w:r>
          </w:p>
        </w:tc>
        <w:tc>
          <w:tcPr>
            <w:tcW w:w="792" w:type="pct"/>
            <w:vAlign w:val="center"/>
          </w:tcPr>
          <w:p w14:paraId="00B2EC16">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480</w:t>
            </w:r>
          </w:p>
        </w:tc>
        <w:tc>
          <w:tcPr>
            <w:tcW w:w="1842" w:type="pct"/>
            <w:vAlign w:val="center"/>
          </w:tcPr>
          <w:p w14:paraId="0554D06C">
            <w:pPr>
              <w:pStyle w:val="8"/>
              <w:suppressLineNumbers w:val="0"/>
              <w:bidi w:val="0"/>
              <w:spacing w:before="0" w:beforeAutospacing="0" w:after="0" w:afterAutospacing="0"/>
              <w:ind w:left="0" w:right="0" w:firstLine="0"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类别HW08，代码：900-200-08</w:t>
            </w:r>
          </w:p>
        </w:tc>
      </w:tr>
      <w:tr w14:paraId="2C15C5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380" w:type="pct"/>
            <w:vAlign w:val="center"/>
          </w:tcPr>
          <w:p w14:paraId="0885EA0F">
            <w:pPr>
              <w:pStyle w:val="8"/>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3</w:t>
            </w:r>
          </w:p>
        </w:tc>
        <w:tc>
          <w:tcPr>
            <w:tcW w:w="1045" w:type="pct"/>
            <w:vAlign w:val="center"/>
          </w:tcPr>
          <w:p w14:paraId="2DACEAAA">
            <w:pPr>
              <w:pStyle w:val="8"/>
              <w:suppressLineNumbers w:val="0"/>
              <w:bidi w:val="0"/>
              <w:spacing w:before="0" w:beforeAutospacing="0" w:after="0" w:afterAutospacing="0"/>
              <w:ind w:left="0" w:right="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废铁质油桶</w:t>
            </w:r>
          </w:p>
        </w:tc>
        <w:tc>
          <w:tcPr>
            <w:tcW w:w="403" w:type="pct"/>
            <w:vAlign w:val="center"/>
          </w:tcPr>
          <w:p w14:paraId="55349B3D">
            <w:pPr>
              <w:pStyle w:val="8"/>
              <w:suppressLineNumbers w:val="0"/>
              <w:bidi w:val="0"/>
              <w:spacing w:before="0" w:beforeAutospacing="0" w:after="0" w:afterAutospacing="0"/>
              <w:ind w:left="0" w:leftChars="0" w:right="0" w:rightChars="0" w:firstLine="0" w:firstLineChars="0"/>
              <w:rPr>
                <w:rFonts w:hint="default"/>
                <w:highlight w:val="none"/>
              </w:rPr>
            </w:pPr>
            <w:r>
              <w:rPr>
                <w:rFonts w:hint="default"/>
                <w:highlight w:val="none"/>
              </w:rPr>
              <w:t>t</w:t>
            </w:r>
          </w:p>
        </w:tc>
        <w:tc>
          <w:tcPr>
            <w:tcW w:w="535" w:type="pct"/>
            <w:vAlign w:val="center"/>
          </w:tcPr>
          <w:p w14:paraId="7235FD35">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500</w:t>
            </w:r>
          </w:p>
        </w:tc>
        <w:tc>
          <w:tcPr>
            <w:tcW w:w="792" w:type="pct"/>
            <w:vAlign w:val="center"/>
          </w:tcPr>
          <w:p w14:paraId="1A324FDB">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80</w:t>
            </w:r>
          </w:p>
        </w:tc>
        <w:tc>
          <w:tcPr>
            <w:tcW w:w="1842" w:type="pct"/>
            <w:vAlign w:val="center"/>
          </w:tcPr>
          <w:p w14:paraId="3E3BD582">
            <w:pPr>
              <w:pStyle w:val="8"/>
              <w:suppressLineNumbers w:val="0"/>
              <w:bidi w:val="0"/>
              <w:spacing w:before="0" w:beforeAutospacing="0" w:after="0" w:afterAutospacing="0"/>
              <w:ind w:left="0" w:right="0" w:firstLine="0"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类别HW09，代码：900-006-09</w:t>
            </w:r>
          </w:p>
        </w:tc>
      </w:tr>
      <w:tr w14:paraId="323257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380" w:type="pct"/>
            <w:vAlign w:val="center"/>
          </w:tcPr>
          <w:p w14:paraId="7CB13EA2">
            <w:pPr>
              <w:pStyle w:val="8"/>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4</w:t>
            </w:r>
          </w:p>
        </w:tc>
        <w:tc>
          <w:tcPr>
            <w:tcW w:w="1045" w:type="pct"/>
            <w:vAlign w:val="center"/>
          </w:tcPr>
          <w:p w14:paraId="771E1B1C">
            <w:pPr>
              <w:pStyle w:val="8"/>
              <w:suppressLineNumbers w:val="0"/>
              <w:bidi w:val="0"/>
              <w:spacing w:before="0" w:beforeAutospacing="0" w:after="0" w:afterAutospacing="0"/>
              <w:ind w:left="0" w:right="0"/>
              <w:rPr>
                <w:rFonts w:hint="eastAsia" w:ascii="Times New Roman" w:hAnsi="Times New Roman" w:eastAsia="宋体" w:cs="Times New Roman"/>
                <w:highlight w:val="none"/>
                <w:lang w:val="en-US" w:eastAsia="zh-CN"/>
              </w:rPr>
            </w:pPr>
            <w:r>
              <w:rPr>
                <w:rFonts w:hint="eastAsia" w:cs="Times New Roman"/>
                <w:highlight w:val="none"/>
                <w:lang w:val="en-US" w:eastAsia="zh-CN"/>
              </w:rPr>
              <w:t>废</w:t>
            </w:r>
            <w:r>
              <w:rPr>
                <w:rFonts w:hint="eastAsia" w:ascii="Times New Roman" w:hAnsi="Times New Roman" w:eastAsia="宋体" w:cs="Times New Roman"/>
                <w:highlight w:val="none"/>
                <w:lang w:val="en-US" w:eastAsia="zh-CN"/>
              </w:rPr>
              <w:t>新能源锂电池</w:t>
            </w:r>
          </w:p>
        </w:tc>
        <w:tc>
          <w:tcPr>
            <w:tcW w:w="403" w:type="pct"/>
            <w:vAlign w:val="center"/>
          </w:tcPr>
          <w:p w14:paraId="0325A897">
            <w:pPr>
              <w:pStyle w:val="8"/>
              <w:suppressLineNumbers w:val="0"/>
              <w:bidi w:val="0"/>
              <w:spacing w:before="0" w:beforeAutospacing="0" w:after="0" w:afterAutospacing="0"/>
              <w:ind w:left="0" w:leftChars="0" w:right="0" w:rightChars="0" w:firstLine="0" w:firstLineChars="0"/>
              <w:rPr>
                <w:rFonts w:hint="default"/>
                <w:highlight w:val="none"/>
              </w:rPr>
            </w:pPr>
            <w:r>
              <w:rPr>
                <w:rFonts w:hint="default"/>
                <w:highlight w:val="none"/>
              </w:rPr>
              <w:t>t</w:t>
            </w:r>
          </w:p>
        </w:tc>
        <w:tc>
          <w:tcPr>
            <w:tcW w:w="535" w:type="pct"/>
            <w:vAlign w:val="center"/>
          </w:tcPr>
          <w:p w14:paraId="7CB9B6E4">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600</w:t>
            </w:r>
          </w:p>
        </w:tc>
        <w:tc>
          <w:tcPr>
            <w:tcW w:w="792" w:type="pct"/>
            <w:vAlign w:val="center"/>
          </w:tcPr>
          <w:p w14:paraId="44312D4E">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150</w:t>
            </w:r>
          </w:p>
        </w:tc>
        <w:tc>
          <w:tcPr>
            <w:tcW w:w="1842" w:type="pct"/>
            <w:vAlign w:val="center"/>
          </w:tcPr>
          <w:p w14:paraId="5B040019">
            <w:pPr>
              <w:pStyle w:val="8"/>
              <w:suppressLineNumbers w:val="0"/>
              <w:bidi w:val="0"/>
              <w:spacing w:before="0" w:beforeAutospacing="0" w:after="0" w:afterAutospacing="0"/>
              <w:ind w:left="0" w:right="0" w:firstLine="0" w:firstLineChars="0"/>
              <w:rPr>
                <w:rFonts w:hint="default" w:ascii="Times New Roman" w:hAnsi="Times New Roman" w:eastAsia="宋体" w:cs="Times New Roman"/>
                <w:highlight w:val="none"/>
                <w:lang w:val="en-US" w:eastAsia="zh-CN"/>
              </w:rPr>
            </w:pPr>
            <w:r>
              <w:rPr>
                <w:rFonts w:hint="eastAsia" w:cs="Times New Roman"/>
                <w:highlight w:val="none"/>
                <w:lang w:val="en-US" w:eastAsia="zh-CN"/>
              </w:rPr>
              <w:t>仅储存，属于一般工业固体废物</w:t>
            </w:r>
          </w:p>
        </w:tc>
      </w:tr>
    </w:tbl>
    <w:p w14:paraId="5A890F1A">
      <w:pPr>
        <w:bidi w:val="0"/>
        <w:rPr>
          <w:rFonts w:hAnsiTheme="minorEastAsia" w:eastAsiaTheme="minorEastAsia"/>
          <w:kern w:val="0"/>
          <w:sz w:val="24"/>
          <w:highlight w:val="none"/>
        </w:rPr>
      </w:pPr>
      <w:r>
        <w:rPr>
          <w:rFonts w:hint="eastAsia"/>
          <w:highlight w:val="none"/>
          <w:lang w:val="en-US" w:eastAsia="zh-CN"/>
        </w:rPr>
        <w:t>本项目处理含油金属屑最大量为28.3t/d，本项目类比《浙江飞能环保科技有限公司年处理1万吨含油金属屑新建项目》可知含油金属屑含湿率约为8%。根据2022年大连</w:t>
      </w:r>
      <w:r>
        <w:rPr>
          <w:highlight w:val="none"/>
          <w:lang w:val="en-US" w:eastAsia="zh-CN"/>
        </w:rPr>
        <w:t>德迈仕</w:t>
      </w:r>
      <w:r>
        <w:rPr>
          <w:rFonts w:hint="eastAsia"/>
          <w:highlight w:val="none"/>
          <w:lang w:val="en-US" w:eastAsia="zh-CN"/>
        </w:rPr>
        <w:t>公司的</w:t>
      </w:r>
      <w:r>
        <w:rPr>
          <w:highlight w:val="none"/>
          <w:lang w:val="en-US" w:eastAsia="zh-CN"/>
        </w:rPr>
        <w:t>提升-粉碎-脱油</w:t>
      </w:r>
      <w:r>
        <w:rPr>
          <w:rFonts w:hint="eastAsia"/>
          <w:highlight w:val="none"/>
          <w:lang w:val="en-US" w:eastAsia="zh-CN"/>
        </w:rPr>
        <w:t>实例可知，其脱油率约为99%，脱油过程中，油类物质损耗约1%，本项目按损耗部分全部挥发计。</w:t>
      </w:r>
    </w:p>
    <w:p w14:paraId="2D57FB3B">
      <w:pPr>
        <w:spacing w:line="360" w:lineRule="auto"/>
        <w:ind w:firstLine="480" w:firstLineChars="200"/>
        <w:rPr>
          <w:rFonts w:hAnsiTheme="minorEastAsia" w:eastAsiaTheme="minorEastAsia"/>
          <w:kern w:val="0"/>
          <w:sz w:val="24"/>
          <w:highlight w:val="none"/>
        </w:rPr>
      </w:pPr>
      <w:r>
        <w:rPr>
          <w:rFonts w:hAnsiTheme="minorEastAsia" w:eastAsiaTheme="minorEastAsia"/>
          <w:kern w:val="0"/>
          <w:sz w:val="24"/>
          <w:highlight w:val="none"/>
        </w:rPr>
        <w:t>挥发性有机物的物料平衡：根据原辅材料中有机物所占的比例，估算非甲烷总烃的挥发量，具体见下表</w:t>
      </w:r>
      <w:r>
        <w:rPr>
          <w:rFonts w:eastAsiaTheme="minorEastAsia"/>
          <w:kern w:val="0"/>
          <w:sz w:val="24"/>
          <w:highlight w:val="none"/>
        </w:rPr>
        <w:t>3-</w:t>
      </w:r>
      <w:r>
        <w:rPr>
          <w:rFonts w:hint="eastAsia" w:eastAsiaTheme="minorEastAsia"/>
          <w:kern w:val="0"/>
          <w:sz w:val="24"/>
          <w:highlight w:val="none"/>
          <w:lang w:val="en-US" w:eastAsia="zh-CN"/>
        </w:rPr>
        <w:t>2</w:t>
      </w:r>
      <w:r>
        <w:rPr>
          <w:rFonts w:eastAsiaTheme="minorEastAsia"/>
          <w:kern w:val="0"/>
          <w:sz w:val="24"/>
          <w:highlight w:val="none"/>
        </w:rPr>
        <w:t>-5</w:t>
      </w:r>
      <w:r>
        <w:rPr>
          <w:rFonts w:hAnsiTheme="minorEastAsia" w:eastAsiaTheme="minorEastAsia"/>
          <w:kern w:val="0"/>
          <w:sz w:val="24"/>
          <w:highlight w:val="none"/>
        </w:rPr>
        <w:t>。</w:t>
      </w:r>
    </w:p>
    <w:p w14:paraId="39BC75C5">
      <w:pPr>
        <w:pStyle w:val="7"/>
        <w:bidi w:val="0"/>
        <w:rPr>
          <w:highlight w:val="none"/>
        </w:rPr>
      </w:pPr>
      <w:r>
        <w:rPr>
          <w:highlight w:val="none"/>
        </w:rPr>
        <w:t>表3-</w:t>
      </w:r>
      <w:r>
        <w:rPr>
          <w:rFonts w:hint="eastAsia"/>
          <w:highlight w:val="none"/>
          <w:lang w:val="en-US" w:eastAsia="zh-CN"/>
        </w:rPr>
        <w:t>1</w:t>
      </w:r>
      <w:r>
        <w:rPr>
          <w:highlight w:val="none"/>
        </w:rPr>
        <w:t>-</w:t>
      </w:r>
      <w:r>
        <w:rPr>
          <w:rFonts w:hint="eastAsia"/>
          <w:highlight w:val="none"/>
          <w:lang w:val="en-US" w:eastAsia="zh-CN"/>
        </w:rPr>
        <w:t>4</w:t>
      </w:r>
      <w:r>
        <w:rPr>
          <w:highlight w:val="none"/>
        </w:rPr>
        <w:t>挥发性有机物平衡表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58"/>
        <w:gridCol w:w="1570"/>
        <w:gridCol w:w="2227"/>
        <w:gridCol w:w="1850"/>
      </w:tblGrid>
      <w:tr w14:paraId="4DB17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pct"/>
            <w:vMerge w:val="restart"/>
            <w:tcBorders>
              <w:top w:val="single" w:color="auto" w:sz="12" w:space="0"/>
            </w:tcBorders>
            <w:vAlign w:val="center"/>
          </w:tcPr>
          <w:p w14:paraId="262452AB">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r>
              <w:rPr>
                <w:rFonts w:hint="eastAsia" w:eastAsia="宋体" w:cs="Times New Roman"/>
                <w:bCs w:val="0"/>
                <w:color w:val="000000"/>
                <w:kern w:val="0"/>
                <w:sz w:val="21"/>
                <w:szCs w:val="24"/>
                <w:highlight w:val="none"/>
                <w:lang w:val="en-US" w:eastAsia="zh-CN" w:bidi="ar-SA"/>
              </w:rPr>
              <w:t>工序</w:t>
            </w:r>
          </w:p>
        </w:tc>
        <w:tc>
          <w:tcPr>
            <w:tcW w:w="1776" w:type="pct"/>
            <w:gridSpan w:val="2"/>
            <w:tcBorders>
              <w:top w:val="single" w:color="auto" w:sz="12" w:space="0"/>
            </w:tcBorders>
            <w:vAlign w:val="center"/>
          </w:tcPr>
          <w:p w14:paraId="55F36995">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r>
              <w:rPr>
                <w:rFonts w:hint="default" w:ascii="Times New Roman" w:hAnsi="Times New Roman" w:eastAsia="宋体" w:cs="Times New Roman"/>
                <w:bCs w:val="0"/>
                <w:color w:val="000000"/>
                <w:kern w:val="0"/>
                <w:sz w:val="21"/>
                <w:szCs w:val="24"/>
                <w:highlight w:val="none"/>
                <w:lang w:val="en-US" w:eastAsia="zh-CN" w:bidi="ar-SA"/>
              </w:rPr>
              <w:t>投入</w:t>
            </w:r>
          </w:p>
        </w:tc>
        <w:tc>
          <w:tcPr>
            <w:tcW w:w="2391" w:type="pct"/>
            <w:gridSpan w:val="2"/>
            <w:tcBorders>
              <w:top w:val="single" w:color="auto" w:sz="12" w:space="0"/>
            </w:tcBorders>
            <w:vAlign w:val="center"/>
          </w:tcPr>
          <w:p w14:paraId="5B111BF5">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r>
              <w:rPr>
                <w:rFonts w:hint="default" w:ascii="Times New Roman" w:hAnsi="Times New Roman" w:eastAsia="宋体" w:cs="Times New Roman"/>
                <w:bCs w:val="0"/>
                <w:color w:val="000000"/>
                <w:kern w:val="0"/>
                <w:sz w:val="21"/>
                <w:szCs w:val="24"/>
                <w:highlight w:val="none"/>
                <w:lang w:val="en-US" w:eastAsia="zh-CN" w:bidi="ar-SA"/>
              </w:rPr>
              <w:t>产出</w:t>
            </w:r>
          </w:p>
        </w:tc>
      </w:tr>
      <w:tr w14:paraId="77E8B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pct"/>
            <w:vMerge w:val="continue"/>
            <w:vAlign w:val="center"/>
          </w:tcPr>
          <w:p w14:paraId="300D4CD7">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p>
        </w:tc>
        <w:tc>
          <w:tcPr>
            <w:tcW w:w="855" w:type="pct"/>
            <w:vAlign w:val="center"/>
          </w:tcPr>
          <w:p w14:paraId="7D6634D8">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r>
              <w:rPr>
                <w:rFonts w:hint="default" w:ascii="Times New Roman" w:hAnsi="Times New Roman" w:eastAsia="宋体" w:cs="Times New Roman"/>
                <w:bCs w:val="0"/>
                <w:color w:val="000000"/>
                <w:kern w:val="0"/>
                <w:sz w:val="21"/>
                <w:szCs w:val="24"/>
                <w:highlight w:val="none"/>
                <w:lang w:val="en-US" w:eastAsia="zh-CN" w:bidi="ar-SA"/>
              </w:rPr>
              <w:t>名称</w:t>
            </w:r>
          </w:p>
        </w:tc>
        <w:tc>
          <w:tcPr>
            <w:tcW w:w="921" w:type="pct"/>
            <w:vAlign w:val="center"/>
          </w:tcPr>
          <w:p w14:paraId="72DF6D14">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r>
              <w:rPr>
                <w:rFonts w:hint="default" w:ascii="Times New Roman" w:hAnsi="Times New Roman" w:eastAsia="宋体" w:cs="Times New Roman"/>
                <w:bCs w:val="0"/>
                <w:color w:val="000000"/>
                <w:kern w:val="0"/>
                <w:sz w:val="21"/>
                <w:szCs w:val="24"/>
                <w:highlight w:val="none"/>
                <w:lang w:val="en-US" w:eastAsia="zh-CN" w:bidi="ar-SA"/>
              </w:rPr>
              <w:t>数量（t/a）</w:t>
            </w:r>
          </w:p>
        </w:tc>
        <w:tc>
          <w:tcPr>
            <w:tcW w:w="1306" w:type="pct"/>
            <w:vAlign w:val="center"/>
          </w:tcPr>
          <w:p w14:paraId="1762269F">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r>
              <w:rPr>
                <w:rFonts w:hint="default" w:ascii="Times New Roman" w:hAnsi="Times New Roman" w:eastAsia="宋体" w:cs="Times New Roman"/>
                <w:bCs w:val="0"/>
                <w:color w:val="000000"/>
                <w:kern w:val="0"/>
                <w:sz w:val="21"/>
                <w:szCs w:val="24"/>
                <w:highlight w:val="none"/>
                <w:lang w:val="en-US" w:eastAsia="zh-CN" w:bidi="ar-SA"/>
              </w:rPr>
              <w:t>名称</w:t>
            </w:r>
          </w:p>
        </w:tc>
        <w:tc>
          <w:tcPr>
            <w:tcW w:w="1084" w:type="pct"/>
            <w:vAlign w:val="center"/>
          </w:tcPr>
          <w:p w14:paraId="20ADB7DF">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r>
              <w:rPr>
                <w:rFonts w:hint="default" w:ascii="Times New Roman" w:hAnsi="Times New Roman" w:eastAsia="宋体" w:cs="Times New Roman"/>
                <w:bCs w:val="0"/>
                <w:color w:val="000000"/>
                <w:kern w:val="0"/>
                <w:sz w:val="21"/>
                <w:szCs w:val="24"/>
                <w:highlight w:val="none"/>
                <w:lang w:val="en-US" w:eastAsia="zh-CN" w:bidi="ar-SA"/>
              </w:rPr>
              <w:t>数量（t/a）</w:t>
            </w:r>
          </w:p>
        </w:tc>
      </w:tr>
      <w:tr w14:paraId="3A72E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pct"/>
            <w:vMerge w:val="restart"/>
            <w:vAlign w:val="center"/>
          </w:tcPr>
          <w:p w14:paraId="21678A07">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r>
              <w:rPr>
                <w:rFonts w:hint="eastAsia" w:hAnsiTheme="minorEastAsia" w:eastAsiaTheme="minorEastAsia"/>
                <w:kern w:val="0"/>
                <w:sz w:val="21"/>
                <w:szCs w:val="21"/>
                <w:highlight w:val="none"/>
                <w:lang w:val="en-US" w:eastAsia="zh-CN"/>
              </w:rPr>
              <w:t>含油金属屑处理</w:t>
            </w:r>
          </w:p>
        </w:tc>
        <w:tc>
          <w:tcPr>
            <w:tcW w:w="855" w:type="pct"/>
            <w:vAlign w:val="center"/>
          </w:tcPr>
          <w:p w14:paraId="75C83B6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highlight w:val="none"/>
                <w:lang w:val="en-US" w:eastAsia="zh-CN"/>
              </w:rPr>
              <w:t>含油废铁屑</w:t>
            </w:r>
          </w:p>
        </w:tc>
        <w:tc>
          <w:tcPr>
            <w:tcW w:w="921" w:type="pct"/>
            <w:vAlign w:val="center"/>
          </w:tcPr>
          <w:p w14:paraId="64E3BF6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highlight w:val="none"/>
                <w:lang w:val="en-US" w:eastAsia="zh-CN"/>
              </w:rPr>
              <w:t>5000</w:t>
            </w:r>
          </w:p>
        </w:tc>
        <w:tc>
          <w:tcPr>
            <w:tcW w:w="1306" w:type="pct"/>
            <w:shd w:val="clear" w:color="auto" w:fill="auto"/>
            <w:vAlign w:val="center"/>
          </w:tcPr>
          <w:p w14:paraId="115AF88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cs="Times New Roman"/>
                <w:bCs w:val="0"/>
                <w:color w:val="000000"/>
                <w:kern w:val="0"/>
                <w:sz w:val="21"/>
                <w:szCs w:val="24"/>
                <w:highlight w:val="none"/>
                <w:lang w:val="en-US" w:eastAsia="zh-CN" w:bidi="ar-SA"/>
              </w:rPr>
              <w:t>脱油</w:t>
            </w:r>
            <w:r>
              <w:rPr>
                <w:rFonts w:hint="eastAsia" w:ascii="Times New Roman" w:hAnsi="Times New Roman" w:eastAsia="宋体" w:cs="Times New Roman"/>
                <w:bCs w:val="0"/>
                <w:color w:val="000000"/>
                <w:kern w:val="0"/>
                <w:sz w:val="21"/>
                <w:szCs w:val="24"/>
                <w:highlight w:val="none"/>
                <w:lang w:val="en-US" w:eastAsia="zh-CN" w:bidi="ar-SA"/>
              </w:rPr>
              <w:t>金属</w:t>
            </w:r>
            <w:r>
              <w:rPr>
                <w:rFonts w:hint="eastAsia" w:cs="Times New Roman"/>
                <w:bCs w:val="0"/>
                <w:color w:val="000000"/>
                <w:kern w:val="0"/>
                <w:sz w:val="21"/>
                <w:szCs w:val="24"/>
                <w:highlight w:val="none"/>
                <w:lang w:val="en-US" w:eastAsia="zh-CN" w:bidi="ar-SA"/>
              </w:rPr>
              <w:t>屑</w:t>
            </w:r>
          </w:p>
        </w:tc>
        <w:tc>
          <w:tcPr>
            <w:tcW w:w="1084" w:type="pct"/>
            <w:shd w:val="clear" w:color="auto" w:fill="auto"/>
            <w:vAlign w:val="center"/>
          </w:tcPr>
          <w:p w14:paraId="54C87CD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cs="Times New Roman"/>
                <w:bCs w:val="0"/>
                <w:color w:val="000000"/>
                <w:kern w:val="0"/>
                <w:sz w:val="21"/>
                <w:szCs w:val="24"/>
                <w:highlight w:val="none"/>
                <w:lang w:val="en-US" w:eastAsia="zh-CN" w:bidi="ar-SA"/>
              </w:rPr>
              <w:t>7990（铝屑2820）</w:t>
            </w:r>
          </w:p>
        </w:tc>
      </w:tr>
      <w:tr w14:paraId="036F8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pct"/>
            <w:vMerge w:val="continue"/>
            <w:vAlign w:val="center"/>
          </w:tcPr>
          <w:p w14:paraId="29C2EC73">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p>
        </w:tc>
        <w:tc>
          <w:tcPr>
            <w:tcW w:w="855" w:type="pct"/>
            <w:vAlign w:val="center"/>
          </w:tcPr>
          <w:p w14:paraId="44A82087">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highlight w:val="none"/>
                <w:lang w:val="en-US" w:eastAsia="zh-CN"/>
              </w:rPr>
              <w:t>含油废铝屑</w:t>
            </w:r>
          </w:p>
        </w:tc>
        <w:tc>
          <w:tcPr>
            <w:tcW w:w="921" w:type="pct"/>
            <w:vAlign w:val="center"/>
          </w:tcPr>
          <w:p w14:paraId="7C0E543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highlight w:val="none"/>
                <w:lang w:val="en-US" w:eastAsia="zh-CN"/>
              </w:rPr>
              <w:t>3000</w:t>
            </w:r>
          </w:p>
        </w:tc>
        <w:tc>
          <w:tcPr>
            <w:tcW w:w="1306" w:type="pct"/>
            <w:shd w:val="clear" w:color="auto" w:fill="auto"/>
            <w:vAlign w:val="center"/>
          </w:tcPr>
          <w:p w14:paraId="00036579">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cs="Times New Roman"/>
                <w:bCs w:val="0"/>
                <w:color w:val="000000"/>
                <w:kern w:val="0"/>
                <w:sz w:val="21"/>
                <w:szCs w:val="24"/>
                <w:highlight w:val="none"/>
                <w:lang w:val="en-US" w:eastAsia="zh-CN" w:bidi="ar-SA"/>
              </w:rPr>
              <w:t>废液</w:t>
            </w:r>
          </w:p>
        </w:tc>
        <w:tc>
          <w:tcPr>
            <w:tcW w:w="1084" w:type="pct"/>
            <w:shd w:val="clear" w:color="auto" w:fill="auto"/>
            <w:vAlign w:val="center"/>
          </w:tcPr>
          <w:p w14:paraId="79DA0F9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cs="Times New Roman"/>
                <w:bCs w:val="0"/>
                <w:color w:val="000000"/>
                <w:kern w:val="0"/>
                <w:sz w:val="21"/>
                <w:szCs w:val="24"/>
                <w:highlight w:val="none"/>
                <w:lang w:val="en-US" w:eastAsia="zh-CN" w:bidi="ar-SA"/>
              </w:rPr>
              <w:t>503.2</w:t>
            </w:r>
          </w:p>
        </w:tc>
      </w:tr>
      <w:tr w14:paraId="68E2D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pct"/>
            <w:vMerge w:val="continue"/>
            <w:vAlign w:val="center"/>
          </w:tcPr>
          <w:p w14:paraId="4C77BCE8">
            <w:pPr>
              <w:pStyle w:val="745"/>
              <w:suppressLineNumbers w:val="0"/>
              <w:tabs>
                <w:tab w:val="left" w:pos="425"/>
              </w:tabs>
              <w:spacing w:beforeAutospacing="0" w:afterAutospacing="0" w:line="240" w:lineRule="auto"/>
              <w:ind w:left="0" w:right="0"/>
              <w:rPr>
                <w:rFonts w:hint="default" w:ascii="Times New Roman" w:hAnsi="Times New Roman" w:eastAsia="宋体" w:cs="Times New Roman"/>
                <w:bCs w:val="0"/>
                <w:color w:val="000000"/>
                <w:kern w:val="0"/>
                <w:sz w:val="21"/>
                <w:szCs w:val="24"/>
                <w:highlight w:val="none"/>
                <w:lang w:val="en-US" w:eastAsia="zh-CN" w:bidi="ar-SA"/>
              </w:rPr>
            </w:pPr>
          </w:p>
        </w:tc>
        <w:tc>
          <w:tcPr>
            <w:tcW w:w="855" w:type="pct"/>
            <w:vAlign w:val="center"/>
          </w:tcPr>
          <w:p w14:paraId="607F2C5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ascii="Times New Roman" w:hAnsi="Times New Roman" w:eastAsia="宋体" w:cs="Times New Roman"/>
                <w:highlight w:val="none"/>
                <w:lang w:val="en-US" w:eastAsia="zh-CN"/>
              </w:rPr>
              <w:t>废铁质油桶</w:t>
            </w:r>
          </w:p>
        </w:tc>
        <w:tc>
          <w:tcPr>
            <w:tcW w:w="921" w:type="pct"/>
            <w:vAlign w:val="center"/>
          </w:tcPr>
          <w:p w14:paraId="733BA67A">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highlight w:val="none"/>
                <w:lang w:val="en-US" w:eastAsia="zh-CN"/>
              </w:rPr>
              <w:t>500</w:t>
            </w:r>
          </w:p>
        </w:tc>
        <w:tc>
          <w:tcPr>
            <w:tcW w:w="1306" w:type="pct"/>
            <w:shd w:val="clear" w:color="auto" w:fill="auto"/>
            <w:vAlign w:val="center"/>
          </w:tcPr>
          <w:p w14:paraId="4ACFD47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cs="Times New Roman"/>
                <w:bCs w:val="0"/>
                <w:color w:val="000000"/>
                <w:kern w:val="0"/>
                <w:sz w:val="21"/>
                <w:szCs w:val="24"/>
                <w:highlight w:val="none"/>
                <w:lang w:val="en-US" w:eastAsia="zh-CN" w:bidi="ar-SA"/>
              </w:rPr>
              <w:t>挥发</w:t>
            </w:r>
          </w:p>
        </w:tc>
        <w:tc>
          <w:tcPr>
            <w:tcW w:w="1084" w:type="pct"/>
            <w:shd w:val="clear" w:color="auto" w:fill="auto"/>
            <w:vAlign w:val="center"/>
          </w:tcPr>
          <w:p w14:paraId="13E269A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Cs w:val="0"/>
                <w:color w:val="000000"/>
                <w:kern w:val="0"/>
                <w:sz w:val="21"/>
                <w:szCs w:val="24"/>
                <w:highlight w:val="none"/>
                <w:lang w:val="en-US" w:eastAsia="zh-CN" w:bidi="ar-SA"/>
              </w:rPr>
            </w:pPr>
            <w:r>
              <w:rPr>
                <w:rFonts w:hint="eastAsia" w:cs="Times New Roman"/>
                <w:bCs w:val="0"/>
                <w:color w:val="000000"/>
                <w:kern w:val="0"/>
                <w:sz w:val="21"/>
                <w:szCs w:val="24"/>
                <w:highlight w:val="none"/>
                <w:lang w:val="en-US" w:eastAsia="zh-CN" w:bidi="ar-SA"/>
              </w:rPr>
              <w:t>6.8</w:t>
            </w:r>
          </w:p>
        </w:tc>
      </w:tr>
    </w:tbl>
    <w:p w14:paraId="2DE40D2F">
      <w:pPr>
        <w:pStyle w:val="5"/>
        <w:bidi w:val="0"/>
        <w:rPr>
          <w:highlight w:val="none"/>
        </w:rPr>
      </w:pPr>
      <w:r>
        <w:rPr>
          <w:highlight w:val="none"/>
        </w:rPr>
        <w:t>3.</w:t>
      </w:r>
      <w:r>
        <w:rPr>
          <w:rFonts w:hint="eastAsia"/>
          <w:highlight w:val="none"/>
          <w:lang w:val="en-US" w:eastAsia="zh-CN"/>
        </w:rPr>
        <w:t>1</w:t>
      </w:r>
      <w:r>
        <w:rPr>
          <w:highlight w:val="none"/>
        </w:rPr>
        <w:t>.</w:t>
      </w:r>
      <w:r>
        <w:rPr>
          <w:rFonts w:hint="eastAsia"/>
          <w:highlight w:val="none"/>
          <w:lang w:val="en-US" w:eastAsia="zh-CN"/>
        </w:rPr>
        <w:t>5</w:t>
      </w:r>
      <w:r>
        <w:rPr>
          <w:highlight w:val="none"/>
        </w:rPr>
        <w:t>产品方案</w:t>
      </w:r>
      <w:bookmarkEnd w:id="222"/>
      <w:bookmarkEnd w:id="223"/>
    </w:p>
    <w:p w14:paraId="2745C242">
      <w:pPr>
        <w:pStyle w:val="7"/>
        <w:bidi w:val="0"/>
        <w:rPr>
          <w:rFonts w:hint="eastAsia"/>
          <w:highlight w:val="none"/>
          <w:lang w:val="en-US" w:eastAsia="zh-CN"/>
        </w:rPr>
      </w:pPr>
      <w:r>
        <w:rPr>
          <w:rFonts w:hint="default"/>
          <w:highlight w:val="none"/>
        </w:rPr>
        <w:t>表3-</w:t>
      </w:r>
      <w:r>
        <w:rPr>
          <w:rFonts w:hint="eastAsia"/>
          <w:highlight w:val="none"/>
          <w:lang w:val="en-US" w:eastAsia="zh-CN"/>
        </w:rPr>
        <w:t>1</w:t>
      </w:r>
      <w:r>
        <w:rPr>
          <w:rFonts w:hint="default"/>
          <w:highlight w:val="none"/>
        </w:rPr>
        <w:t>-</w:t>
      </w:r>
      <w:r>
        <w:rPr>
          <w:rFonts w:hint="eastAsia"/>
          <w:highlight w:val="none"/>
          <w:lang w:val="en-US" w:eastAsia="zh-CN"/>
        </w:rPr>
        <w:t>6</w:t>
      </w:r>
      <w:r>
        <w:rPr>
          <w:rFonts w:hint="default"/>
          <w:highlight w:val="none"/>
        </w:rPr>
        <w:t>本项目产品</w:t>
      </w:r>
      <w:r>
        <w:rPr>
          <w:rFonts w:hint="eastAsia"/>
          <w:highlight w:val="none"/>
          <w:lang w:val="en-US" w:eastAsia="zh-CN"/>
        </w:rPr>
        <w:t>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1"/>
        <w:gridCol w:w="1592"/>
        <w:gridCol w:w="764"/>
        <w:gridCol w:w="1347"/>
        <w:gridCol w:w="4178"/>
      </w:tblGrid>
      <w:tr w14:paraId="5B236A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2" w:hRule="atLeast"/>
          <w:tblHeader/>
          <w:jc w:val="center"/>
        </w:trPr>
        <w:tc>
          <w:tcPr>
            <w:tcW w:w="376" w:type="pct"/>
            <w:vAlign w:val="center"/>
          </w:tcPr>
          <w:p w14:paraId="7DE982E1">
            <w:pPr>
              <w:pStyle w:val="8"/>
              <w:suppressLineNumbers w:val="0"/>
              <w:bidi w:val="0"/>
              <w:spacing w:before="0" w:beforeAutospacing="0" w:after="0" w:afterAutospacing="0"/>
              <w:ind w:left="0" w:right="0"/>
              <w:rPr>
                <w:rFonts w:hint="default"/>
                <w:highlight w:val="none"/>
              </w:rPr>
            </w:pPr>
            <w:r>
              <w:rPr>
                <w:rFonts w:hint="default"/>
                <w:highlight w:val="none"/>
              </w:rPr>
              <w:t>序号</w:t>
            </w:r>
          </w:p>
        </w:tc>
        <w:tc>
          <w:tcPr>
            <w:tcW w:w="934" w:type="pct"/>
            <w:vAlign w:val="center"/>
          </w:tcPr>
          <w:p w14:paraId="65CE0E5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材料名称</w:t>
            </w:r>
          </w:p>
        </w:tc>
        <w:tc>
          <w:tcPr>
            <w:tcW w:w="448" w:type="pct"/>
            <w:vAlign w:val="center"/>
          </w:tcPr>
          <w:p w14:paraId="30B0FC37">
            <w:pPr>
              <w:pStyle w:val="8"/>
              <w:suppressLineNumbers w:val="0"/>
              <w:bidi w:val="0"/>
              <w:spacing w:before="0" w:beforeAutospacing="0" w:after="0" w:afterAutospacing="0"/>
              <w:ind w:left="0" w:right="0"/>
              <w:rPr>
                <w:rFonts w:hint="default"/>
                <w:highlight w:val="none"/>
              </w:rPr>
            </w:pPr>
            <w:r>
              <w:rPr>
                <w:rFonts w:hint="default"/>
                <w:highlight w:val="none"/>
              </w:rPr>
              <w:t>单位</w:t>
            </w:r>
          </w:p>
        </w:tc>
        <w:tc>
          <w:tcPr>
            <w:tcW w:w="790" w:type="pct"/>
            <w:vAlign w:val="center"/>
          </w:tcPr>
          <w:p w14:paraId="01B679FC">
            <w:pPr>
              <w:pStyle w:val="8"/>
              <w:suppressLineNumbers w:val="0"/>
              <w:bidi w:val="0"/>
              <w:spacing w:before="0" w:beforeAutospacing="0" w:after="0" w:afterAutospacing="0"/>
              <w:ind w:left="0" w:right="0"/>
              <w:rPr>
                <w:rFonts w:hint="eastAsia" w:eastAsia="宋体"/>
                <w:highlight w:val="none"/>
                <w:lang w:eastAsia="zh-CN"/>
              </w:rPr>
            </w:pPr>
            <w:r>
              <w:rPr>
                <w:rFonts w:hint="default"/>
                <w:highlight w:val="none"/>
              </w:rPr>
              <w:t>年</w:t>
            </w:r>
            <w:r>
              <w:rPr>
                <w:rFonts w:hint="eastAsia"/>
                <w:highlight w:val="none"/>
                <w:lang w:val="en-US" w:eastAsia="zh-CN"/>
              </w:rPr>
              <w:t>产</w:t>
            </w:r>
            <w:r>
              <w:rPr>
                <w:rFonts w:hint="default"/>
                <w:highlight w:val="none"/>
              </w:rPr>
              <w:t>量</w:t>
            </w:r>
          </w:p>
        </w:tc>
        <w:tc>
          <w:tcPr>
            <w:tcW w:w="2450" w:type="pct"/>
            <w:vAlign w:val="center"/>
          </w:tcPr>
          <w:p w14:paraId="7AD56D73">
            <w:pPr>
              <w:pStyle w:val="8"/>
              <w:suppressLineNumbers w:val="0"/>
              <w:bidi w:val="0"/>
              <w:spacing w:before="0" w:beforeAutospacing="0" w:after="0" w:afterAutospacing="0"/>
              <w:ind w:left="0" w:right="0" w:firstLine="0" w:firstLineChars="0"/>
              <w:rPr>
                <w:rFonts w:hint="default"/>
                <w:highlight w:val="none"/>
              </w:rPr>
            </w:pPr>
            <w:r>
              <w:rPr>
                <w:rFonts w:hint="default"/>
                <w:highlight w:val="none"/>
              </w:rPr>
              <w:t>备注</w:t>
            </w:r>
          </w:p>
        </w:tc>
      </w:tr>
      <w:tr w14:paraId="79B4DF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376" w:type="pct"/>
            <w:vAlign w:val="center"/>
          </w:tcPr>
          <w:p w14:paraId="06C53CB2">
            <w:pPr>
              <w:pStyle w:val="8"/>
              <w:suppressLineNumbers w:val="0"/>
              <w:bidi w:val="0"/>
              <w:spacing w:before="0" w:beforeAutospacing="0" w:after="0" w:afterAutospacing="0"/>
              <w:ind w:left="0" w:right="0"/>
              <w:rPr>
                <w:rFonts w:hint="default"/>
                <w:highlight w:val="none"/>
              </w:rPr>
            </w:pPr>
            <w:r>
              <w:rPr>
                <w:rFonts w:hint="default"/>
                <w:highlight w:val="none"/>
              </w:rPr>
              <w:t>1</w:t>
            </w:r>
          </w:p>
        </w:tc>
        <w:tc>
          <w:tcPr>
            <w:tcW w:w="934" w:type="pct"/>
            <w:vMerge w:val="restart"/>
            <w:vAlign w:val="center"/>
          </w:tcPr>
          <w:p w14:paraId="0B7774C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highlight w:val="none"/>
                <w:lang w:val="en-US" w:eastAsia="zh-CN"/>
              </w:rPr>
              <w:t>脱油金属屑</w:t>
            </w:r>
          </w:p>
        </w:tc>
        <w:tc>
          <w:tcPr>
            <w:tcW w:w="448" w:type="pct"/>
            <w:vAlign w:val="center"/>
          </w:tcPr>
          <w:p w14:paraId="16CC5497">
            <w:pPr>
              <w:pStyle w:val="8"/>
              <w:suppressLineNumbers w:val="0"/>
              <w:bidi w:val="0"/>
              <w:spacing w:before="0" w:beforeAutospacing="0" w:after="0" w:afterAutospacing="0"/>
              <w:ind w:left="0" w:right="0"/>
              <w:rPr>
                <w:rFonts w:hint="default"/>
                <w:highlight w:val="none"/>
              </w:rPr>
            </w:pPr>
            <w:r>
              <w:rPr>
                <w:rFonts w:hint="default"/>
                <w:highlight w:val="none"/>
              </w:rPr>
              <w:t>t</w:t>
            </w:r>
          </w:p>
        </w:tc>
        <w:tc>
          <w:tcPr>
            <w:tcW w:w="790" w:type="pct"/>
            <w:vAlign w:val="center"/>
          </w:tcPr>
          <w:p w14:paraId="62B21B92">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铁屑5170</w:t>
            </w:r>
          </w:p>
        </w:tc>
        <w:tc>
          <w:tcPr>
            <w:tcW w:w="2450" w:type="pct"/>
            <w:vAlign w:val="center"/>
          </w:tcPr>
          <w:p w14:paraId="76723956">
            <w:pPr>
              <w:pStyle w:val="8"/>
              <w:suppressLineNumbers w:val="0"/>
              <w:bidi w:val="0"/>
              <w:spacing w:before="0" w:beforeAutospacing="0" w:after="0" w:afterAutospacing="0"/>
              <w:ind w:left="0" w:right="0" w:firstLine="0" w:firstLineChars="0"/>
              <w:rPr>
                <w:rFonts w:hint="default"/>
                <w:highlight w:val="none"/>
              </w:rPr>
            </w:pPr>
            <w:r>
              <w:rPr>
                <w:rFonts w:hint="eastAsia"/>
                <w:highlight w:val="none"/>
                <w:lang w:val="en-US" w:eastAsia="zh-CN"/>
              </w:rPr>
              <w:t>产品应达到《钢铁渣粉》GB/T28293</w:t>
            </w:r>
          </w:p>
        </w:tc>
      </w:tr>
      <w:tr w14:paraId="2F63B9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376" w:type="pct"/>
            <w:vAlign w:val="center"/>
          </w:tcPr>
          <w:p w14:paraId="12727965">
            <w:pPr>
              <w:pStyle w:val="8"/>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2</w:t>
            </w:r>
          </w:p>
        </w:tc>
        <w:tc>
          <w:tcPr>
            <w:tcW w:w="934" w:type="pct"/>
            <w:vMerge w:val="continue"/>
            <w:vAlign w:val="center"/>
          </w:tcPr>
          <w:p w14:paraId="673DC0BB">
            <w:pPr>
              <w:pStyle w:val="8"/>
              <w:suppressLineNumbers w:val="0"/>
              <w:bidi w:val="0"/>
              <w:spacing w:before="0" w:beforeAutospacing="0" w:after="0" w:afterAutospacing="0"/>
              <w:ind w:left="0" w:right="0"/>
              <w:rPr>
                <w:rFonts w:hint="eastAsia"/>
                <w:highlight w:val="none"/>
                <w:lang w:val="en-US" w:eastAsia="zh-CN"/>
              </w:rPr>
            </w:pPr>
          </w:p>
        </w:tc>
        <w:tc>
          <w:tcPr>
            <w:tcW w:w="448" w:type="pct"/>
            <w:vAlign w:val="center"/>
          </w:tcPr>
          <w:p w14:paraId="6E34771A">
            <w:pPr>
              <w:pStyle w:val="8"/>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t</w:t>
            </w:r>
          </w:p>
        </w:tc>
        <w:tc>
          <w:tcPr>
            <w:tcW w:w="790" w:type="pct"/>
            <w:vAlign w:val="center"/>
          </w:tcPr>
          <w:p w14:paraId="0AC7388F">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铝屑2820</w:t>
            </w:r>
          </w:p>
        </w:tc>
        <w:tc>
          <w:tcPr>
            <w:tcW w:w="2450" w:type="pct"/>
            <w:vAlign w:val="center"/>
          </w:tcPr>
          <w:p w14:paraId="0FE50BDE">
            <w:pPr>
              <w:pStyle w:val="8"/>
              <w:suppressLineNumbers w:val="0"/>
              <w:bidi w:val="0"/>
              <w:spacing w:before="0" w:beforeAutospacing="0" w:after="0" w:afterAutospacing="0"/>
              <w:ind w:left="0" w:right="0" w:firstLine="0" w:firstLineChars="0"/>
              <w:rPr>
                <w:rFonts w:hint="eastAsia"/>
                <w:highlight w:val="none"/>
                <w:lang w:val="en-US" w:eastAsia="zh-CN"/>
              </w:rPr>
            </w:pPr>
            <w:r>
              <w:rPr>
                <w:rFonts w:hint="eastAsia"/>
                <w:highlight w:val="none"/>
                <w:lang w:val="en-US" w:eastAsia="zh-CN"/>
              </w:rPr>
              <w:t>产品应达到《回收铝》（GB/T13586-2021）</w:t>
            </w:r>
          </w:p>
        </w:tc>
      </w:tr>
      <w:bookmarkEnd w:id="224"/>
    </w:tbl>
    <w:p w14:paraId="286DC7FC">
      <w:pPr>
        <w:pStyle w:val="6"/>
        <w:keepNext/>
        <w:keepLines/>
        <w:pageBreakBefore w:val="0"/>
        <w:widowControl w:val="0"/>
        <w:kinsoku/>
        <w:wordWrap w:val="0"/>
        <w:overflowPunct/>
        <w:topLinePunct w:val="0"/>
        <w:autoSpaceDE/>
        <w:autoSpaceDN/>
        <w:bidi w:val="0"/>
        <w:adjustRightInd/>
        <w:snapToGrid/>
        <w:textAlignment w:val="auto"/>
        <w:rPr>
          <w:highlight w:val="none"/>
        </w:rPr>
      </w:pPr>
      <w:r>
        <w:rPr>
          <w:highlight w:val="none"/>
        </w:rPr>
        <w:fldChar w:fldCharType="begin"/>
      </w:r>
      <w:r>
        <w:rPr>
          <w:highlight w:val="none"/>
        </w:rPr>
        <w:instrText xml:space="preserve"> HYPERLINK "file:///F:\\360用户文件\\游戏大厅\\天兆养猪有限公司环评\\1106天兆养猪\\天兆养猪有限公司环评1117.docx" \l "_Toc110400207" </w:instrText>
      </w:r>
      <w:r>
        <w:rPr>
          <w:highlight w:val="none"/>
        </w:rPr>
        <w:fldChar w:fldCharType="separate"/>
      </w:r>
      <w:bookmarkStart w:id="225" w:name="_Toc182022287"/>
      <w:bookmarkStart w:id="226" w:name="_Toc113078928"/>
      <w:bookmarkStart w:id="227" w:name="_Toc112420357"/>
      <w:bookmarkStart w:id="228" w:name="_Toc118087006"/>
      <w:r>
        <w:rPr>
          <w:highlight w:val="none"/>
        </w:rPr>
        <w:t>3.</w:t>
      </w:r>
      <w:r>
        <w:rPr>
          <w:rFonts w:hint="eastAsia"/>
          <w:highlight w:val="none"/>
          <w:lang w:val="en-US" w:eastAsia="zh-CN"/>
        </w:rPr>
        <w:t>1</w:t>
      </w:r>
      <w:r>
        <w:rPr>
          <w:highlight w:val="none"/>
        </w:rPr>
        <w:t>.6.1供水工程</w:t>
      </w:r>
      <w:bookmarkEnd w:id="225"/>
      <w:bookmarkEnd w:id="226"/>
      <w:bookmarkEnd w:id="227"/>
      <w:bookmarkEnd w:id="228"/>
      <w:r>
        <w:rPr>
          <w:highlight w:val="none"/>
        </w:rPr>
        <w:fldChar w:fldCharType="end"/>
      </w:r>
    </w:p>
    <w:p w14:paraId="3640C426">
      <w:pPr>
        <w:bidi w:val="0"/>
        <w:rPr>
          <w:rFonts w:hint="eastAsia"/>
        </w:rPr>
      </w:pPr>
      <w:r>
        <w:rPr>
          <w:rFonts w:hint="eastAsia"/>
          <w:lang w:eastAsia="zh-CN"/>
        </w:rPr>
        <w:t>本项目</w:t>
      </w:r>
      <w:r>
        <w:t>用水环节主要为</w:t>
      </w:r>
      <w:r>
        <w:rPr>
          <w:rFonts w:hint="eastAsia"/>
          <w:lang w:eastAsia="zh-CN"/>
        </w:rPr>
        <w:t>员工生活用水</w:t>
      </w:r>
      <w:r>
        <w:t>，</w:t>
      </w:r>
      <w:r>
        <w:rPr>
          <w:rFonts w:hint="eastAsia"/>
          <w:lang w:eastAsia="zh-CN"/>
        </w:rPr>
        <w:t>无生产用水，</w:t>
      </w:r>
      <w:r>
        <w:t>用水来源由市政自来水提供</w:t>
      </w:r>
      <w:r>
        <w:rPr>
          <w:rFonts w:hint="eastAsia"/>
        </w:rPr>
        <w:t>。</w:t>
      </w:r>
      <w:r>
        <w:t>本项目员工人数为</w:t>
      </w:r>
      <w:r>
        <w:rPr>
          <w:rFonts w:hint="eastAsia"/>
          <w:lang w:val="en-US" w:eastAsia="zh-CN"/>
        </w:rPr>
        <w:t>4人</w:t>
      </w:r>
      <w:r>
        <w:t>，</w:t>
      </w:r>
      <w:r>
        <w:rPr>
          <w:rFonts w:hint="eastAsia"/>
          <w:lang w:val="en-US" w:eastAsia="zh-CN"/>
        </w:rPr>
        <w:t>参考</w:t>
      </w:r>
      <w:r>
        <w:t>黑龙江省地方标准《用水定额》（DB23/T727-2021），工作人员生活用水量按</w:t>
      </w:r>
      <w:r>
        <w:rPr>
          <w:rFonts w:hint="eastAsia"/>
          <w:lang w:val="en-US" w:eastAsia="zh-CN"/>
        </w:rPr>
        <w:t>80L</w:t>
      </w:r>
      <w:r>
        <w:t>/人</w:t>
      </w:r>
      <w:r>
        <w:rPr>
          <w:rFonts w:hint="default"/>
          <w:lang w:val="en-US" w:eastAsia="zh-CN"/>
        </w:rPr>
        <w:t>·</w:t>
      </w:r>
      <w:r>
        <w:rPr>
          <w:rFonts w:hint="eastAsia"/>
          <w:lang w:val="en-US" w:eastAsia="zh-CN"/>
        </w:rPr>
        <w:t>d</w:t>
      </w:r>
      <w:r>
        <w:t>计算，生活用水量</w:t>
      </w:r>
      <w:r>
        <w:rPr>
          <w:rFonts w:hint="eastAsia"/>
          <w:lang w:val="en-US" w:eastAsia="zh-CN"/>
        </w:rPr>
        <w:t>0.32</w:t>
      </w:r>
      <w:r>
        <w:t>t/d，</w:t>
      </w:r>
      <w:r>
        <w:rPr>
          <w:rFonts w:hint="eastAsia"/>
          <w:lang w:val="en-US" w:eastAsia="zh-CN"/>
        </w:rPr>
        <w:t>96</w:t>
      </w:r>
      <w:r>
        <w:t>t/a。</w:t>
      </w:r>
    </w:p>
    <w:p w14:paraId="2748449F">
      <w:pPr>
        <w:pStyle w:val="6"/>
        <w:bidi w:val="0"/>
        <w:rPr>
          <w:highlight w:val="none"/>
        </w:rPr>
      </w:pPr>
      <w:r>
        <w:rPr>
          <w:highlight w:val="none"/>
        </w:rPr>
        <w:fldChar w:fldCharType="begin"/>
      </w:r>
      <w:r>
        <w:rPr>
          <w:highlight w:val="none"/>
        </w:rPr>
        <w:instrText xml:space="preserve"> HYPERLINK "file:///F:\\360用户文件\\游戏大厅\\天兆养猪有限公司环评\\1106天兆养猪\\天兆养猪有限公司环评1117.docx" \l "_Toc110400208" </w:instrText>
      </w:r>
      <w:r>
        <w:rPr>
          <w:highlight w:val="none"/>
        </w:rPr>
        <w:fldChar w:fldCharType="separate"/>
      </w:r>
      <w:r>
        <w:rPr>
          <w:highlight w:val="none"/>
        </w:rPr>
        <w:t>3.</w:t>
      </w:r>
      <w:r>
        <w:rPr>
          <w:rFonts w:hint="eastAsia"/>
          <w:highlight w:val="none"/>
          <w:lang w:val="en-US" w:eastAsia="zh-CN"/>
        </w:rPr>
        <w:t>1</w:t>
      </w:r>
      <w:r>
        <w:rPr>
          <w:highlight w:val="none"/>
        </w:rPr>
        <w:t>.6.2排水工程</w:t>
      </w:r>
      <w:r>
        <w:rPr>
          <w:highlight w:val="none"/>
        </w:rPr>
        <w:fldChar w:fldCharType="end"/>
      </w:r>
    </w:p>
    <w:p w14:paraId="4D1003CB">
      <w:pPr>
        <w:pStyle w:val="19"/>
        <w:spacing w:after="0" w:line="360" w:lineRule="auto"/>
        <w:ind w:firstLine="480" w:firstLineChars="200"/>
        <w:contextualSpacing/>
        <w:rPr>
          <w:rFonts w:hAnsiTheme="minorEastAsia" w:eastAsiaTheme="minorEastAsia"/>
          <w:kern w:val="0"/>
          <w:sz w:val="24"/>
          <w:highlight w:val="none"/>
        </w:rPr>
      </w:pPr>
      <w:r>
        <w:rPr>
          <w:rFonts w:hAnsiTheme="minorEastAsia" w:eastAsiaTheme="minorEastAsia"/>
          <w:kern w:val="0"/>
          <w:sz w:val="24"/>
          <w:highlight w:val="none"/>
        </w:rPr>
        <w:t>生活污水产生量按生活用水量的</w:t>
      </w:r>
      <w:r>
        <w:rPr>
          <w:rFonts w:eastAsiaTheme="minorEastAsia"/>
          <w:kern w:val="0"/>
          <w:sz w:val="24"/>
          <w:highlight w:val="none"/>
        </w:rPr>
        <w:t>80%</w:t>
      </w:r>
      <w:r>
        <w:rPr>
          <w:rFonts w:hAnsiTheme="minorEastAsia" w:eastAsiaTheme="minorEastAsia"/>
          <w:kern w:val="0"/>
          <w:sz w:val="24"/>
          <w:highlight w:val="none"/>
        </w:rPr>
        <w:t>计算，生活污水产生量为</w:t>
      </w:r>
      <w:r>
        <w:rPr>
          <w:rFonts w:hint="eastAsia" w:eastAsiaTheme="minorEastAsia"/>
          <w:kern w:val="0"/>
          <w:sz w:val="24"/>
          <w:highlight w:val="none"/>
          <w:lang w:val="en-US" w:eastAsia="zh-CN"/>
        </w:rPr>
        <w:t>0.256</w:t>
      </w:r>
      <w:r>
        <w:rPr>
          <w:rFonts w:eastAsiaTheme="minorEastAsia"/>
          <w:kern w:val="0"/>
          <w:sz w:val="24"/>
          <w:highlight w:val="none"/>
        </w:rPr>
        <w:t>t/d</w:t>
      </w:r>
      <w:r>
        <w:rPr>
          <w:rFonts w:hAnsiTheme="minorEastAsia" w:eastAsiaTheme="minorEastAsia"/>
          <w:kern w:val="0"/>
          <w:sz w:val="24"/>
          <w:highlight w:val="none"/>
        </w:rPr>
        <w:t>，</w:t>
      </w:r>
      <w:r>
        <w:rPr>
          <w:rFonts w:hint="eastAsia" w:eastAsiaTheme="minorEastAsia"/>
          <w:kern w:val="0"/>
          <w:sz w:val="24"/>
          <w:highlight w:val="none"/>
          <w:lang w:val="en-US" w:eastAsia="zh-CN"/>
        </w:rPr>
        <w:t>76.8</w:t>
      </w:r>
      <w:r>
        <w:rPr>
          <w:rFonts w:eastAsiaTheme="minorEastAsia"/>
          <w:kern w:val="0"/>
          <w:sz w:val="24"/>
          <w:highlight w:val="none"/>
        </w:rPr>
        <w:t>t/a</w:t>
      </w:r>
      <w:r>
        <w:rPr>
          <w:rFonts w:hAnsiTheme="minorEastAsia" w:eastAsiaTheme="minorEastAsia"/>
          <w:kern w:val="0"/>
          <w:sz w:val="24"/>
          <w:highlight w:val="none"/>
        </w:rPr>
        <w:t>，</w:t>
      </w:r>
      <w:r>
        <w:rPr>
          <w:rFonts w:hint="eastAsia" w:ascii="Times New Roman" w:hAnsi="Times New Roman" w:eastAsia="宋体" w:cs="Times New Roman"/>
          <w:highlight w:val="none"/>
        </w:rPr>
        <w:t>生活污水</w:t>
      </w:r>
      <w:r>
        <w:rPr>
          <w:rFonts w:hint="eastAsia" w:cs="Times New Roman"/>
          <w:highlight w:val="none"/>
          <w:lang w:eastAsia="zh-CN"/>
        </w:rPr>
        <w:t>依托周边企业</w:t>
      </w:r>
      <w:r>
        <w:rPr>
          <w:rFonts w:hint="eastAsia" w:ascii="Times New Roman" w:hAnsi="Times New Roman" w:eastAsia="宋体" w:cs="Times New Roman"/>
          <w:highlight w:val="none"/>
        </w:rPr>
        <w:t>防渗旱厕，定期清掏，外运堆肥</w:t>
      </w:r>
      <w:r>
        <w:rPr>
          <w:rFonts w:hAnsiTheme="minorEastAsia" w:eastAsiaTheme="minorEastAsia"/>
          <w:kern w:val="0"/>
          <w:sz w:val="24"/>
          <w:highlight w:val="none"/>
        </w:rPr>
        <w:t>。</w:t>
      </w:r>
    </w:p>
    <w:p w14:paraId="018FD9CA">
      <w:pPr>
        <w:pStyle w:val="8"/>
        <w:bidi w:val="0"/>
        <w:rPr>
          <w:rFonts w:eastAsiaTheme="minorEastAsia"/>
          <w:b/>
          <w:kern w:val="0"/>
          <w:sz w:val="24"/>
          <w:highlight w:val="none"/>
        </w:rPr>
      </w:pPr>
      <w:r>
        <w:rPr>
          <w:sz w:val="24"/>
          <w:highlight w:val="none"/>
        </w:rPr>
        <mc:AlternateContent>
          <mc:Choice Requires="wpc">
            <w:drawing>
              <wp:inline distT="0" distB="0" distL="114300" distR="114300">
                <wp:extent cx="5274310" cy="1058545"/>
                <wp:effectExtent l="4445" t="4445" r="17145" b="22860"/>
                <wp:docPr id="65" name="画布 65"/>
                <wp:cNvGraphicFramePr/>
                <a:graphic xmlns:a="http://schemas.openxmlformats.org/drawingml/2006/main">
                  <a:graphicData uri="http://schemas.microsoft.com/office/word/2010/wordprocessingCanvas">
                    <wpc:wpc>
                      <wpc:bg>
                        <a:noFill/>
                      </wpc:bg>
                      <wpc:whole>
                        <a:ln>
                          <a:solidFill>
                            <a:schemeClr val="tx1"/>
                          </a:solidFill>
                        </a:ln>
                      </wpc:whole>
                      <wps:wsp>
                        <wps:cNvPr id="16" name="文本框 16"/>
                        <wps:cNvSpPr txBox="1"/>
                        <wps:spPr>
                          <a:xfrm>
                            <a:off x="258445" y="612140"/>
                            <a:ext cx="695325" cy="257175"/>
                          </a:xfrm>
                          <a:prstGeom prst="rect">
                            <a:avLst/>
                          </a:prstGeom>
                          <a:noFill/>
                          <a:ln w="9525" cap="flat" cmpd="sng">
                            <a:solidFill>
                              <a:srgbClr val="000000"/>
                            </a:solidFill>
                            <a:prstDash val="solid"/>
                            <a:miter/>
                            <a:headEnd type="none" w="med" len="med"/>
                            <a:tailEnd type="none" w="med" len="med"/>
                          </a:ln>
                        </wps:spPr>
                        <wps:txbx>
                          <w:txbxContent>
                            <w:p w14:paraId="4C300D22">
                              <w:pPr>
                                <w:pStyle w:val="8"/>
                                <w:bidi w:val="0"/>
                                <w:rPr>
                                  <w:rFonts w:hint="eastAsia" w:eastAsia="宋体"/>
                                  <w:lang w:val="en-US" w:eastAsia="zh-CN"/>
                                </w:rPr>
                              </w:pPr>
                              <w:r>
                                <w:rPr>
                                  <w:rFonts w:hint="eastAsia"/>
                                  <w:lang w:val="en-US" w:eastAsia="zh-CN"/>
                                </w:rPr>
                                <w:t>新鲜水</w:t>
                              </w:r>
                            </w:p>
                          </w:txbxContent>
                        </wps:txbx>
                        <wps:bodyPr upright="1"/>
                      </wps:wsp>
                      <wps:wsp>
                        <wps:cNvPr id="44" name="文本框 44"/>
                        <wps:cNvSpPr txBox="1"/>
                        <wps:spPr>
                          <a:xfrm>
                            <a:off x="1627505" y="617855"/>
                            <a:ext cx="771525" cy="254000"/>
                          </a:xfrm>
                          <a:prstGeom prst="rect">
                            <a:avLst/>
                          </a:prstGeom>
                          <a:noFill/>
                          <a:ln w="9525" cap="flat" cmpd="sng">
                            <a:solidFill>
                              <a:srgbClr val="000000"/>
                            </a:solidFill>
                            <a:prstDash val="solid"/>
                            <a:miter/>
                            <a:headEnd type="none" w="med" len="med"/>
                            <a:tailEnd type="none" w="med" len="med"/>
                          </a:ln>
                        </wps:spPr>
                        <wps:txbx>
                          <w:txbxContent>
                            <w:p w14:paraId="6B45665B">
                              <w:pPr>
                                <w:pStyle w:val="8"/>
                                <w:bidi w:val="0"/>
                                <w:rPr>
                                  <w:rFonts w:hint="eastAsia" w:eastAsia="宋体"/>
                                  <w:lang w:val="en-US" w:eastAsia="zh-CN"/>
                                </w:rPr>
                              </w:pPr>
                              <w:r>
                                <w:rPr>
                                  <w:rFonts w:hint="eastAsia"/>
                                  <w:lang w:val="en-US" w:eastAsia="zh-CN"/>
                                </w:rPr>
                                <w:t>生活用水</w:t>
                              </w:r>
                            </w:p>
                          </w:txbxContent>
                        </wps:txbx>
                        <wps:bodyPr upright="1"/>
                      </wps:wsp>
                      <wps:wsp>
                        <wps:cNvPr id="45" name="直接连接符 45"/>
                        <wps:cNvCnPr/>
                        <wps:spPr>
                          <a:xfrm>
                            <a:off x="945515" y="735965"/>
                            <a:ext cx="686435" cy="635"/>
                          </a:xfrm>
                          <a:prstGeom prst="line">
                            <a:avLst/>
                          </a:prstGeom>
                          <a:ln w="12700" cap="flat" cmpd="sng">
                            <a:solidFill>
                              <a:srgbClr val="000000"/>
                            </a:solidFill>
                            <a:prstDash val="solid"/>
                            <a:miter/>
                            <a:headEnd type="none" w="med" len="med"/>
                            <a:tailEnd type="triangle" w="med" len="lg"/>
                          </a:ln>
                        </wps:spPr>
                        <wps:bodyPr upright="1"/>
                      </wps:wsp>
                      <wps:wsp>
                        <wps:cNvPr id="46" name="直接连接符 46"/>
                        <wps:cNvCnPr/>
                        <wps:spPr>
                          <a:xfrm>
                            <a:off x="2408555" y="732155"/>
                            <a:ext cx="685800" cy="0"/>
                          </a:xfrm>
                          <a:prstGeom prst="line">
                            <a:avLst/>
                          </a:prstGeom>
                          <a:ln w="12700" cap="flat" cmpd="sng">
                            <a:solidFill>
                              <a:srgbClr val="000000"/>
                            </a:solidFill>
                            <a:prstDash val="solid"/>
                            <a:miter/>
                            <a:headEnd type="none" w="med" len="med"/>
                            <a:tailEnd type="triangle" w="med" len="lg"/>
                          </a:ln>
                        </wps:spPr>
                        <wps:bodyPr upright="1"/>
                      </wps:wsp>
                      <wps:wsp>
                        <wps:cNvPr id="48" name="曲线连接符 48"/>
                        <wps:cNvCnPr/>
                        <wps:spPr>
                          <a:xfrm rot="-5400000">
                            <a:off x="1788795" y="350520"/>
                            <a:ext cx="295910" cy="266700"/>
                          </a:xfrm>
                          <a:prstGeom prst="curvedConnector3">
                            <a:avLst>
                              <a:gd name="adj1" fmla="val 91630"/>
                            </a:avLst>
                          </a:prstGeom>
                          <a:ln w="12700" cap="flat" cmpd="sng">
                            <a:solidFill>
                              <a:srgbClr val="000000"/>
                            </a:solidFill>
                            <a:prstDash val="dash"/>
                            <a:miter/>
                            <a:headEnd type="none" w="med" len="med"/>
                            <a:tailEnd type="triangle" w="med" len="lg"/>
                          </a:ln>
                        </wps:spPr>
                        <wps:bodyPr/>
                      </wps:wsp>
                      <wps:wsp>
                        <wps:cNvPr id="49" name="文本框 49"/>
                        <wps:cNvSpPr txBox="1"/>
                        <wps:spPr>
                          <a:xfrm>
                            <a:off x="1115695" y="541655"/>
                            <a:ext cx="435610" cy="254000"/>
                          </a:xfrm>
                          <a:prstGeom prst="rect">
                            <a:avLst/>
                          </a:prstGeom>
                          <a:noFill/>
                          <a:ln>
                            <a:noFill/>
                          </a:ln>
                        </wps:spPr>
                        <wps:txbx>
                          <w:txbxContent>
                            <w:p w14:paraId="1C1A3000">
                              <w:pPr>
                                <w:pStyle w:val="8"/>
                                <w:bidi w:val="0"/>
                                <w:rPr>
                                  <w:rFonts w:hint="default" w:eastAsia="宋体"/>
                                  <w:lang w:val="en-US" w:eastAsia="zh-CN"/>
                                </w:rPr>
                              </w:pPr>
                              <w:r>
                                <w:rPr>
                                  <w:rFonts w:hint="eastAsia"/>
                                  <w:lang w:val="en-US" w:eastAsia="zh-CN"/>
                                </w:rPr>
                                <w:t>0.32</w:t>
                              </w:r>
                            </w:p>
                          </w:txbxContent>
                        </wps:txbx>
                        <wps:bodyPr upright="1"/>
                      </wps:wsp>
                      <wps:wsp>
                        <wps:cNvPr id="55" name="文本框 55"/>
                        <wps:cNvSpPr txBox="1"/>
                        <wps:spPr>
                          <a:xfrm>
                            <a:off x="2475230" y="541655"/>
                            <a:ext cx="533400" cy="254000"/>
                          </a:xfrm>
                          <a:prstGeom prst="rect">
                            <a:avLst/>
                          </a:prstGeom>
                          <a:noFill/>
                          <a:ln>
                            <a:noFill/>
                          </a:ln>
                        </wps:spPr>
                        <wps:txbx>
                          <w:txbxContent>
                            <w:p w14:paraId="4D4A08D4">
                              <w:pPr>
                                <w:pStyle w:val="8"/>
                                <w:bidi w:val="0"/>
                                <w:rPr>
                                  <w:rFonts w:hint="default" w:eastAsia="宋体"/>
                                  <w:lang w:val="en-US" w:eastAsia="zh-CN"/>
                                </w:rPr>
                              </w:pPr>
                              <w:r>
                                <w:rPr>
                                  <w:rFonts w:hint="eastAsia"/>
                                  <w:lang w:val="en-US" w:eastAsia="zh-CN"/>
                                </w:rPr>
                                <w:t>0.256</w:t>
                              </w:r>
                            </w:p>
                          </w:txbxContent>
                        </wps:txbx>
                        <wps:bodyPr upright="1"/>
                      </wps:wsp>
                      <wps:wsp>
                        <wps:cNvPr id="63" name="文本框 63"/>
                        <wps:cNvSpPr txBox="1"/>
                        <wps:spPr>
                          <a:xfrm>
                            <a:off x="2056130" y="132080"/>
                            <a:ext cx="780415" cy="254000"/>
                          </a:xfrm>
                          <a:prstGeom prst="rect">
                            <a:avLst/>
                          </a:prstGeom>
                          <a:noFill/>
                          <a:ln>
                            <a:noFill/>
                          </a:ln>
                        </wps:spPr>
                        <wps:txbx>
                          <w:txbxContent>
                            <w:p w14:paraId="50EFEB26">
                              <w:pPr>
                                <w:pStyle w:val="8"/>
                                <w:bidi w:val="0"/>
                                <w:rPr>
                                  <w:rFonts w:hint="default" w:eastAsia="宋体"/>
                                  <w:lang w:val="en-US" w:eastAsia="zh-CN"/>
                                </w:rPr>
                              </w:pPr>
                              <w:r>
                                <w:rPr>
                                  <w:rFonts w:hint="eastAsia"/>
                                  <w:lang w:val="en-US" w:eastAsia="zh-CN"/>
                                </w:rPr>
                                <w:t>损耗0.064</w:t>
                              </w:r>
                            </w:p>
                          </w:txbxContent>
                        </wps:txbx>
                        <wps:bodyPr upright="1"/>
                      </wps:wsp>
                      <wps:wsp>
                        <wps:cNvPr id="64" name="文本框 64"/>
                        <wps:cNvSpPr txBox="1"/>
                        <wps:spPr>
                          <a:xfrm>
                            <a:off x="3101975" y="559435"/>
                            <a:ext cx="2110740" cy="464820"/>
                          </a:xfrm>
                          <a:prstGeom prst="rect">
                            <a:avLst/>
                          </a:prstGeom>
                          <a:noFill/>
                          <a:ln>
                            <a:noFill/>
                          </a:ln>
                        </wps:spPr>
                        <wps:txbx>
                          <w:txbxContent>
                            <w:p w14:paraId="0E66CBBF">
                              <w:pPr>
                                <w:pStyle w:val="8"/>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排入防渗旱厕，定期清掏，外运堆肥</w:t>
                              </w:r>
                            </w:p>
                          </w:txbxContent>
                        </wps:txbx>
                        <wps:bodyPr upright="1"/>
                      </wps:wsp>
                    </wpc:wpc>
                  </a:graphicData>
                </a:graphic>
              </wp:inline>
            </w:drawing>
          </mc:Choice>
          <mc:Fallback>
            <w:pict>
              <v:group id="_x0000_s1026" o:spid="_x0000_s1026" o:spt="203" style="height:83.35pt;width:415.3pt;" coordsize="5274310,1058545" editas="canvas" o:gfxdata="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BHsmpz1AAAAAUBAAAPAAAAAAAAAAEAIAAAACIAAABkcnMvZG93bnJldi54&#10;bWxQSwECFAAUAAAACACHTuJA+1ekOXEEAAAYFAAADgAAAAAAAAABACAAAAAjAQAAZHJzL2Uyb0Rv&#10;Yy54bWxQSwUGAAAAAAYABgBZAQAABggAAAAA&#10;">
                <o:lock v:ext="edit" aspectratio="f"/>
                <v:shape id="_x0000_s1026" o:spid="_x0000_s1026" style="position:absolute;left:0;top:0;height:1058545;width:5274310;" filled="f" stroked="t" coordsize="21600,21600" o:gfxdata="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R7Jqc9QAAAAFAQAADwAAAAAAAAABACAAAAAiAAAAZHJzL2Rvd25yZXYueG1sUEsB&#10;AhQAFAAAAAgAh07iQDofOT4zBAAAvBMAAA4AAAAAAAAAAQAgAAAAIwEAAGRycy9lMm9Eb2MueG1s&#10;UEsFBgAAAAAGAAYAWQEAAMgHAAAAAA==&#10;">
                  <v:fill on="f" focussize="0,0"/>
                  <v:stroke color="#000000 [3213]" joinstyle="round"/>
                  <v:imagedata o:title=""/>
                  <o:lock v:ext="edit" aspectratio="f"/>
                </v:shape>
                <v:shape id="_x0000_s1026" o:spid="_x0000_s1026" o:spt="202" type="#_x0000_t202" style="position:absolute;left:258445;top:612140;height:257175;width:695325;" filled="f" stroked="t" coordsize="21600,21600" o:gfxdata="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0UsdMAAAAFAQAADwAAAAAAAAABACAAAAAi&#10;AAAAZHJzL2Rvd25yZXYueG1sUEsBAhQAFAAAAAgAh07iQFzdC7kPAgAAGAQAAA4AAAAAAAAAAQAg&#10;AAAAIgEAAGRycy9lMm9Eb2MueG1sUEsFBgAAAAAGAAYAWQEAAKMFAAAAAA==&#10;">
                  <v:fill on="f" focussize="0,0"/>
                  <v:stroke color="#000000" joinstyle="miter"/>
                  <v:imagedata o:title=""/>
                  <o:lock v:ext="edit" aspectratio="f"/>
                  <v:textbox>
                    <w:txbxContent>
                      <w:p w14:paraId="4C300D22">
                        <w:pPr>
                          <w:pStyle w:val="8"/>
                          <w:bidi w:val="0"/>
                          <w:rPr>
                            <w:rFonts w:hint="eastAsia" w:eastAsia="宋体"/>
                            <w:lang w:val="en-US" w:eastAsia="zh-CN"/>
                          </w:rPr>
                        </w:pPr>
                        <w:r>
                          <w:rPr>
                            <w:rFonts w:hint="eastAsia"/>
                            <w:lang w:val="en-US" w:eastAsia="zh-CN"/>
                          </w:rPr>
                          <w:t>新鲜水</w:t>
                        </w:r>
                      </w:p>
                    </w:txbxContent>
                  </v:textbox>
                </v:shape>
                <v:shape id="_x0000_s1026" o:spid="_x0000_s1026" o:spt="202" type="#_x0000_t202" style="position:absolute;left:1627505;top:617855;height:254000;width:771525;" filled="f" stroked="t" coordsize="21600,21600" o:gfxdata="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fRSx0wAAAAUBAAAPAAAAAAAAAAEAIAAA&#10;ACIAAABkcnMvZG93bnJldi54bWxQSwECFAAUAAAACACHTuJAv+kKMhECAAAZBAAADgAAAAAAAAAB&#10;ACAAAAAiAQAAZHJzL2Uyb0RvYy54bWxQSwUGAAAAAAYABgBZAQAApQUAAAAA&#10;">
                  <v:fill on="f" focussize="0,0"/>
                  <v:stroke color="#000000" joinstyle="miter"/>
                  <v:imagedata o:title=""/>
                  <o:lock v:ext="edit" aspectratio="f"/>
                  <v:textbox>
                    <w:txbxContent>
                      <w:p w14:paraId="6B45665B">
                        <w:pPr>
                          <w:pStyle w:val="8"/>
                          <w:bidi w:val="0"/>
                          <w:rPr>
                            <w:rFonts w:hint="eastAsia" w:eastAsia="宋体"/>
                            <w:lang w:val="en-US" w:eastAsia="zh-CN"/>
                          </w:rPr>
                        </w:pPr>
                        <w:r>
                          <w:rPr>
                            <w:rFonts w:hint="eastAsia"/>
                            <w:lang w:val="en-US" w:eastAsia="zh-CN"/>
                          </w:rPr>
                          <w:t>生活用水</w:t>
                        </w:r>
                      </w:p>
                    </w:txbxContent>
                  </v:textbox>
                </v:shape>
                <v:line id="_x0000_s1026" o:spid="_x0000_s1026" o:spt="20" style="position:absolute;left:945515;top:735965;height:635;width:686435;" filled="f" stroked="t" coordsize="21600,21600" o:gfxdata="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neww31gAAAAUBAAAPAAAAAAAAAAEA&#10;IAAAACIAAABkcnMvZG93bnJldi54bWxQSwECFAAUAAAACACHTuJAJmgw5hECAAD/AwAADgAAAAAA&#10;AAABACAAAAAlAQAAZHJzL2Uyb0RvYy54bWxQSwUGAAAAAAYABgBZAQAAqAUAAAAA&#10;">
                  <v:fill on="f" focussize="0,0"/>
                  <v:stroke weight="1pt" color="#000000" joinstyle="miter" endarrow="block" endarrowlength="long"/>
                  <v:imagedata o:title=""/>
                  <o:lock v:ext="edit" aspectratio="f"/>
                </v:line>
                <v:line id="_x0000_s1026" o:spid="_x0000_s1026" o:spt="20" style="position:absolute;left:2408555;top:732155;height:0;width:685800;" filled="f" stroked="t" coordsize="21600,21600" o:gfxdata="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3sMN9YAAAAFAQAADwAAAAAAAAABACAA&#10;AAAiAAAAZHJzL2Rvd25yZXYueG1sUEsBAhQAFAAAAAgAh07iQIMGKqkPAgAA/gMAAA4AAAAAAAAA&#10;AQAgAAAAJQEAAGRycy9lMm9Eb2MueG1sUEsFBgAAAAAGAAYAWQEAAKYFAAAAAA==&#10;">
                  <v:fill on="f" focussize="0,0"/>
                  <v:stroke weight="1pt" color="#000000" joinstyle="miter" endarrow="block" endarrowlength="long"/>
                  <v:imagedata o:title=""/>
                  <o:lock v:ext="edit" aspectratio="f"/>
                </v:line>
                <v:shape id="_x0000_s1026" o:spid="_x0000_s1026" o:spt="38" type="#_x0000_t38" style="position:absolute;left:1788795;top:350520;height:266700;width:295910;rotation:-5898240f;" filled="f" stroked="t" coordsize="21600,21600" o:gfxdata="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s+XFzSAAAABQEAAA8AAAAAAAAAAQAgAAAAIgAAAGRycy9kb3ducmV2Lnht&#10;bFBLAQIUABQAAAAIAIdO4kBFDWhCOAIAAD4EAAAOAAAAAAAAAAEAIAAAACEBAABkcnMvZTJvRG9j&#10;LnhtbFBLBQYAAAAABgAGAFkBAADLBQAAAAA=&#10;" adj="19792">
                  <v:fill on="f" focussize="0,0"/>
                  <v:stroke weight="1pt" color="#000000" joinstyle="miter" dashstyle="dash" endarrow="block" endarrowlength="long"/>
                  <v:imagedata o:title=""/>
                  <o:lock v:ext="edit" aspectratio="f"/>
                </v:shape>
                <v:shape id="_x0000_s1026" o:spid="_x0000_s1026" o:spt="202" type="#_x0000_t202" style="position:absolute;left:1115695;top:541655;height:254000;width:435610;" filled="f" stroked="f" coordsize="21600,21600" o:gfxdata="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cfgMLTAAAABQEAAA8AAAAAAAAAAQAgAAAAIgAAAGRycy9kb3ducmV2LnhtbFBLAQIUABQAAAAI&#10;AIdO4kCWcdlMuQEAAFoDAAAOAAAAAAAAAAEAIAAAACIBAABkcnMvZTJvRG9jLnhtbFBLBQYAAAAA&#10;BgAGAFkBAABNBQAAAAA=&#10;">
                  <v:fill on="f" focussize="0,0"/>
                  <v:stroke on="f"/>
                  <v:imagedata o:title=""/>
                  <o:lock v:ext="edit" aspectratio="f"/>
                  <v:textbox>
                    <w:txbxContent>
                      <w:p w14:paraId="1C1A3000">
                        <w:pPr>
                          <w:pStyle w:val="8"/>
                          <w:bidi w:val="0"/>
                          <w:rPr>
                            <w:rFonts w:hint="default" w:eastAsia="宋体"/>
                            <w:lang w:val="en-US" w:eastAsia="zh-CN"/>
                          </w:rPr>
                        </w:pPr>
                        <w:r>
                          <w:rPr>
                            <w:rFonts w:hint="eastAsia"/>
                            <w:lang w:val="en-US" w:eastAsia="zh-CN"/>
                          </w:rPr>
                          <w:t>0.32</w:t>
                        </w:r>
                      </w:p>
                    </w:txbxContent>
                  </v:textbox>
                </v:shape>
                <v:shape id="_x0000_s1026" o:spid="_x0000_s1026" o:spt="202" type="#_x0000_t202" style="position:absolute;left:2475230;top:541655;height:254000;width:533400;" filled="f" stroked="f" coordsize="21600,21600" o:gfxdata="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3&#10;H4DC0wAAAAUBAAAPAAAAAAAAAAEAIAAAACIAAABkcnMvZG93bnJldi54bWxQSwECFAAUAAAACACH&#10;TuJAkAm15LcBAABaAwAADgAAAAAAAAABACAAAAAiAQAAZHJzL2Uyb0RvYy54bWxQSwUGAAAAAAYA&#10;BgBZAQAASwUAAAAA&#10;">
                  <v:fill on="f" focussize="0,0"/>
                  <v:stroke on="f"/>
                  <v:imagedata o:title=""/>
                  <o:lock v:ext="edit" aspectratio="f"/>
                  <v:textbox>
                    <w:txbxContent>
                      <w:p w14:paraId="4D4A08D4">
                        <w:pPr>
                          <w:pStyle w:val="8"/>
                          <w:bidi w:val="0"/>
                          <w:rPr>
                            <w:rFonts w:hint="default" w:eastAsia="宋体"/>
                            <w:lang w:val="en-US" w:eastAsia="zh-CN"/>
                          </w:rPr>
                        </w:pPr>
                        <w:r>
                          <w:rPr>
                            <w:rFonts w:hint="eastAsia"/>
                            <w:lang w:val="en-US" w:eastAsia="zh-CN"/>
                          </w:rPr>
                          <w:t>0.256</w:t>
                        </w:r>
                      </w:p>
                    </w:txbxContent>
                  </v:textbox>
                </v:shape>
                <v:shape id="_x0000_s1026" o:spid="_x0000_s1026" o:spt="202" type="#_x0000_t202" style="position:absolute;left:2056130;top:132080;height:254000;width:780415;" filled="f" stroked="f" coordsize="21600,21600" o:gfxdata="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cf&#10;gMLTAAAABQEAAA8AAAAAAAAAAQAgAAAAIgAAAGRycy9kb3ducmV2LnhtbFBLAQIUABQAAAAIAIdO&#10;4kCALmuJtgEAAFoDAAAOAAAAAAAAAAEAIAAAACIBAABkcnMvZTJvRG9jLnhtbFBLBQYAAAAABgAG&#10;AFkBAABKBQAAAAA=&#10;">
                  <v:fill on="f" focussize="0,0"/>
                  <v:stroke on="f"/>
                  <v:imagedata o:title=""/>
                  <o:lock v:ext="edit" aspectratio="f"/>
                  <v:textbox>
                    <w:txbxContent>
                      <w:p w14:paraId="50EFEB26">
                        <w:pPr>
                          <w:pStyle w:val="8"/>
                          <w:bidi w:val="0"/>
                          <w:rPr>
                            <w:rFonts w:hint="default" w:eastAsia="宋体"/>
                            <w:lang w:val="en-US" w:eastAsia="zh-CN"/>
                          </w:rPr>
                        </w:pPr>
                        <w:r>
                          <w:rPr>
                            <w:rFonts w:hint="eastAsia"/>
                            <w:lang w:val="en-US" w:eastAsia="zh-CN"/>
                          </w:rPr>
                          <w:t>损耗0.064</w:t>
                        </w:r>
                      </w:p>
                    </w:txbxContent>
                  </v:textbox>
                </v:shape>
                <v:shape id="_x0000_s1026" o:spid="_x0000_s1026" o:spt="202" type="#_x0000_t202" style="position:absolute;left:3101975;top:559435;height:464820;width:2110740;" filled="f" stroked="f" coordsize="21600,21600" o:gfxdata="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cfgMLTAAAABQEAAA8AAAAAAAAAAQAgAAAAIgAAAGRycy9kb3ducmV2LnhtbFBLAQIUABQA&#10;AAAIAIdO4kCZoCuJvAEAAFsDAAAOAAAAAAAAAAEAIAAAACIBAABkcnMvZTJvRG9jLnhtbFBLBQYA&#10;AAAABgAGAFkBAABQBQAAAAA=&#10;">
                  <v:fill on="f" focussize="0,0"/>
                  <v:stroke on="f"/>
                  <v:imagedata o:title=""/>
                  <o:lock v:ext="edit" aspectratio="f"/>
                  <v:textbox>
                    <w:txbxContent>
                      <w:p w14:paraId="0E66CBBF">
                        <w:pPr>
                          <w:pStyle w:val="8"/>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排入防渗旱厕，定期清掏，外运堆肥</w:t>
                        </w:r>
                      </w:p>
                    </w:txbxContent>
                  </v:textbox>
                </v:shape>
                <w10:wrap type="none"/>
                <w10:anchorlock/>
              </v:group>
            </w:pict>
          </mc:Fallback>
        </mc:AlternateContent>
      </w:r>
    </w:p>
    <w:p w14:paraId="173A43AB">
      <w:pPr>
        <w:pStyle w:val="7"/>
        <w:bidi w:val="0"/>
        <w:rPr>
          <w:highlight w:val="none"/>
        </w:rPr>
      </w:pPr>
      <w:r>
        <w:rPr>
          <w:highlight w:val="none"/>
        </w:rPr>
        <w:t>图3-</w:t>
      </w:r>
      <w:r>
        <w:rPr>
          <w:rFonts w:hint="eastAsia"/>
          <w:highlight w:val="none"/>
          <w:lang w:val="en-US" w:eastAsia="zh-CN"/>
        </w:rPr>
        <w:t>1</w:t>
      </w:r>
      <w:r>
        <w:rPr>
          <w:highlight w:val="none"/>
        </w:rPr>
        <w:t>-</w:t>
      </w:r>
      <w:r>
        <w:rPr>
          <w:rFonts w:hint="eastAsia"/>
          <w:highlight w:val="none"/>
          <w:lang w:val="en-US" w:eastAsia="zh-CN"/>
        </w:rPr>
        <w:t>1</w:t>
      </w:r>
      <w:r>
        <w:rPr>
          <w:highlight w:val="none"/>
        </w:rPr>
        <w:t>本项目水平衡图t/d</w:t>
      </w:r>
    </w:p>
    <w:p w14:paraId="4F7C3623">
      <w:pPr>
        <w:pStyle w:val="6"/>
        <w:bidi w:val="0"/>
        <w:rPr>
          <w:highlight w:val="none"/>
        </w:rPr>
      </w:pPr>
      <w:r>
        <w:rPr>
          <w:highlight w:val="none"/>
        </w:rPr>
        <w:fldChar w:fldCharType="begin"/>
      </w:r>
      <w:r>
        <w:rPr>
          <w:highlight w:val="none"/>
        </w:rPr>
        <w:instrText xml:space="preserve"> HYPERLINK "file:///F:\\360用户文件\\游戏大厅\\天兆养猪有限公司环评\\1106天兆养猪\\天兆养猪有限公司环评1117.docx" \l "_Toc110400208" </w:instrText>
      </w:r>
      <w:r>
        <w:rPr>
          <w:highlight w:val="none"/>
        </w:rPr>
        <w:fldChar w:fldCharType="separate"/>
      </w:r>
      <w:bookmarkStart w:id="229" w:name="_Toc118087007"/>
      <w:bookmarkStart w:id="230" w:name="_Toc112420358"/>
      <w:bookmarkStart w:id="231" w:name="_Toc182022288"/>
      <w:bookmarkStart w:id="232" w:name="_Toc113078929"/>
      <w:r>
        <w:rPr>
          <w:highlight w:val="none"/>
        </w:rPr>
        <w:t>3.</w:t>
      </w:r>
      <w:r>
        <w:rPr>
          <w:rFonts w:hint="eastAsia"/>
          <w:highlight w:val="none"/>
          <w:lang w:val="en-US" w:eastAsia="zh-CN"/>
        </w:rPr>
        <w:t>1</w:t>
      </w:r>
      <w:r>
        <w:rPr>
          <w:highlight w:val="none"/>
        </w:rPr>
        <w:t>.6.3供电工程</w:t>
      </w:r>
      <w:bookmarkEnd w:id="229"/>
      <w:bookmarkEnd w:id="230"/>
      <w:bookmarkEnd w:id="231"/>
      <w:bookmarkEnd w:id="232"/>
      <w:r>
        <w:rPr>
          <w:highlight w:val="none"/>
        </w:rPr>
        <w:fldChar w:fldCharType="end"/>
      </w:r>
    </w:p>
    <w:p w14:paraId="25D93D9B">
      <w:pPr>
        <w:spacing w:line="360" w:lineRule="auto"/>
        <w:ind w:firstLine="480" w:firstLineChars="200"/>
        <w:rPr>
          <w:rFonts w:hAnsiTheme="minorEastAsia" w:eastAsiaTheme="minorEastAsia"/>
          <w:bCs/>
          <w:sz w:val="24"/>
          <w:highlight w:val="none"/>
        </w:rPr>
      </w:pPr>
      <w:r>
        <w:rPr>
          <w:rFonts w:hAnsiTheme="minorEastAsia" w:eastAsiaTheme="minorEastAsia"/>
          <w:bCs/>
          <w:sz w:val="24"/>
          <w:highlight w:val="none"/>
        </w:rPr>
        <w:t>供电由当地供电系统提供。</w:t>
      </w:r>
    </w:p>
    <w:p w14:paraId="12B028F6">
      <w:pPr>
        <w:pStyle w:val="6"/>
        <w:bidi w:val="0"/>
        <w:rPr>
          <w:rFonts w:eastAsiaTheme="minorEastAsia"/>
          <w:b/>
          <w:highlight w:val="none"/>
        </w:rPr>
      </w:pPr>
      <w:r>
        <w:rPr>
          <w:highlight w:val="none"/>
        </w:rPr>
        <w:fldChar w:fldCharType="begin"/>
      </w:r>
      <w:r>
        <w:rPr>
          <w:highlight w:val="none"/>
        </w:rPr>
        <w:instrText xml:space="preserve"> HYPERLINK "file:///F:\\360用户文件\\游戏大厅\\天兆养猪有限公司环评\\1106天兆养猪\\天兆养猪有限公司环评1117.docx" \l "_Toc110400209" </w:instrText>
      </w:r>
      <w:r>
        <w:rPr>
          <w:highlight w:val="none"/>
        </w:rPr>
        <w:fldChar w:fldCharType="separate"/>
      </w:r>
      <w:r>
        <w:rPr>
          <w:highlight w:val="none"/>
        </w:rPr>
        <w:t>3.</w:t>
      </w:r>
      <w:r>
        <w:rPr>
          <w:rFonts w:hint="eastAsia"/>
          <w:highlight w:val="none"/>
          <w:lang w:val="en-US" w:eastAsia="zh-CN"/>
        </w:rPr>
        <w:t>1</w:t>
      </w:r>
      <w:r>
        <w:rPr>
          <w:highlight w:val="none"/>
        </w:rPr>
        <w:t>.6.4</w:t>
      </w:r>
      <w:r>
        <w:rPr>
          <w:highlight w:val="none"/>
        </w:rPr>
        <w:fldChar w:fldCharType="end"/>
      </w:r>
      <w:r>
        <w:rPr>
          <w:highlight w:val="none"/>
        </w:rPr>
        <w:t>供热工程</w:t>
      </w:r>
    </w:p>
    <w:p w14:paraId="2BC3C183">
      <w:pPr>
        <w:bidi w:val="0"/>
        <w:rPr>
          <w:highlight w:val="none"/>
        </w:rPr>
      </w:pPr>
      <w:bookmarkStart w:id="233" w:name="_Toc12883"/>
      <w:bookmarkStart w:id="234" w:name="_Toc31046"/>
      <w:r>
        <w:rPr>
          <w:highlight w:val="none"/>
        </w:rPr>
        <w:t>冬季取暖由</w:t>
      </w:r>
      <w:r>
        <w:rPr>
          <w:rFonts w:hint="eastAsia"/>
          <w:highlight w:val="none"/>
          <w:lang w:val="en-US" w:eastAsia="zh-CN"/>
        </w:rPr>
        <w:t>电取暖</w:t>
      </w:r>
      <w:r>
        <w:rPr>
          <w:highlight w:val="none"/>
        </w:rPr>
        <w:t>。</w:t>
      </w:r>
    </w:p>
    <w:p w14:paraId="0A15039F">
      <w:pPr>
        <w:pStyle w:val="5"/>
        <w:bidi w:val="0"/>
        <w:rPr>
          <w:highlight w:val="none"/>
        </w:rPr>
      </w:pPr>
      <w:r>
        <w:rPr>
          <w:highlight w:val="none"/>
        </w:rPr>
        <w:t>3.</w:t>
      </w:r>
      <w:r>
        <w:rPr>
          <w:rFonts w:hint="eastAsia"/>
          <w:highlight w:val="none"/>
          <w:lang w:val="en-US" w:eastAsia="zh-CN"/>
        </w:rPr>
        <w:t>1</w:t>
      </w:r>
      <w:r>
        <w:rPr>
          <w:highlight w:val="none"/>
        </w:rPr>
        <w:t>.7劳动定员及工作制度</w:t>
      </w:r>
      <w:bookmarkEnd w:id="233"/>
      <w:bookmarkEnd w:id="234"/>
    </w:p>
    <w:p w14:paraId="7427717F">
      <w:pPr>
        <w:bidi w:val="0"/>
        <w:rPr>
          <w:highlight w:val="none"/>
        </w:rPr>
      </w:pPr>
      <w:r>
        <w:rPr>
          <w:rFonts w:hAnsiTheme="minorEastAsia" w:eastAsiaTheme="minorEastAsia"/>
          <w:sz w:val="24"/>
          <w:highlight w:val="none"/>
        </w:rPr>
        <w:t>本项目劳动定员</w:t>
      </w:r>
      <w:r>
        <w:rPr>
          <w:rFonts w:hint="eastAsia" w:eastAsiaTheme="minorEastAsia"/>
          <w:sz w:val="24"/>
          <w:highlight w:val="none"/>
          <w:lang w:val="en-US" w:eastAsia="zh-CN"/>
        </w:rPr>
        <w:t>4</w:t>
      </w:r>
      <w:r>
        <w:rPr>
          <w:rFonts w:hAnsiTheme="minorEastAsia" w:eastAsiaTheme="minorEastAsia"/>
          <w:sz w:val="24"/>
          <w:highlight w:val="none"/>
        </w:rPr>
        <w:t>人，工作天数为</w:t>
      </w:r>
      <w:r>
        <w:rPr>
          <w:rFonts w:hint="eastAsia" w:eastAsiaTheme="minorEastAsia"/>
          <w:sz w:val="24"/>
          <w:highlight w:val="none"/>
          <w:lang w:val="en-US" w:eastAsia="zh-CN"/>
        </w:rPr>
        <w:t>300</w:t>
      </w:r>
      <w:r>
        <w:rPr>
          <w:rFonts w:hAnsiTheme="minorEastAsia" w:eastAsiaTheme="minorEastAsia"/>
          <w:sz w:val="24"/>
          <w:highlight w:val="none"/>
        </w:rPr>
        <w:t>天，</w:t>
      </w:r>
      <w:r>
        <w:rPr>
          <w:rFonts w:hint="eastAsia" w:eastAsiaTheme="minorEastAsia"/>
          <w:sz w:val="24"/>
          <w:highlight w:val="none"/>
          <w:lang w:val="en-US" w:eastAsia="zh-CN"/>
        </w:rPr>
        <w:t>1</w:t>
      </w:r>
      <w:r>
        <w:rPr>
          <w:rFonts w:hAnsiTheme="minorEastAsia" w:eastAsiaTheme="minorEastAsia"/>
          <w:sz w:val="24"/>
          <w:highlight w:val="none"/>
        </w:rPr>
        <w:t>班制，</w:t>
      </w:r>
      <w:r>
        <w:rPr>
          <w:rFonts w:hint="eastAsia" w:hAnsiTheme="minorEastAsia" w:eastAsiaTheme="minorEastAsia"/>
          <w:sz w:val="24"/>
          <w:highlight w:val="none"/>
          <w:lang w:val="en-US" w:eastAsia="zh-CN"/>
        </w:rPr>
        <w:t>8</w:t>
      </w:r>
      <w:r>
        <w:rPr>
          <w:rFonts w:hAnsiTheme="minorEastAsia" w:eastAsiaTheme="minorEastAsia"/>
          <w:sz w:val="24"/>
          <w:highlight w:val="none"/>
        </w:rPr>
        <w:t>小时</w:t>
      </w:r>
      <w:r>
        <w:rPr>
          <w:highlight w:val="none"/>
        </w:rPr>
        <w:t>。</w:t>
      </w:r>
    </w:p>
    <w:p w14:paraId="0CABDAE3">
      <w:pPr>
        <w:pStyle w:val="5"/>
        <w:bidi w:val="0"/>
        <w:rPr>
          <w:highlight w:val="none"/>
        </w:rPr>
      </w:pPr>
      <w:bookmarkStart w:id="235" w:name="_Toc15356"/>
      <w:bookmarkStart w:id="236" w:name="_Toc28370"/>
      <w:r>
        <w:rPr>
          <w:highlight w:val="none"/>
        </w:rPr>
        <w:t>3.</w:t>
      </w:r>
      <w:r>
        <w:rPr>
          <w:rFonts w:hint="eastAsia"/>
          <w:highlight w:val="none"/>
          <w:lang w:val="en-US" w:eastAsia="zh-CN"/>
        </w:rPr>
        <w:t>1</w:t>
      </w:r>
      <w:r>
        <w:rPr>
          <w:highlight w:val="none"/>
        </w:rPr>
        <w:t>.</w:t>
      </w:r>
      <w:r>
        <w:rPr>
          <w:rFonts w:hint="eastAsia"/>
          <w:highlight w:val="none"/>
        </w:rPr>
        <w:t>8平面</w:t>
      </w:r>
      <w:r>
        <w:rPr>
          <w:highlight w:val="none"/>
        </w:rPr>
        <w:t>布置</w:t>
      </w:r>
      <w:bookmarkEnd w:id="235"/>
      <w:bookmarkEnd w:id="236"/>
    </w:p>
    <w:p w14:paraId="4DE6DFFD">
      <w:pPr>
        <w:pStyle w:val="19"/>
        <w:spacing w:after="0" w:line="360" w:lineRule="auto"/>
        <w:ind w:firstLine="480" w:firstLineChars="200"/>
        <w:contextualSpacing/>
        <w:rPr>
          <w:rFonts w:eastAsiaTheme="minorEastAsia"/>
          <w:bCs/>
          <w:sz w:val="24"/>
          <w:highlight w:val="none"/>
        </w:rPr>
      </w:pPr>
      <w:r>
        <w:rPr>
          <w:rFonts w:eastAsiaTheme="minorEastAsia"/>
          <w:sz w:val="24"/>
          <w:highlight w:val="none"/>
        </w:rPr>
        <w:t>本项目</w:t>
      </w:r>
      <w:r>
        <w:rPr>
          <w:rFonts w:hint="eastAsia" w:eastAsiaTheme="minorEastAsia"/>
          <w:sz w:val="24"/>
          <w:highlight w:val="none"/>
          <w:lang w:val="en-US" w:eastAsia="zh-CN"/>
        </w:rPr>
        <w:t>生产车间位于厂区西北侧、大门东侧，危险废物贮存库位于生产车间南侧，</w:t>
      </w:r>
      <w:r>
        <w:rPr>
          <w:rFonts w:eastAsiaTheme="minorEastAsia"/>
          <w:bCs/>
          <w:sz w:val="24"/>
          <w:highlight w:val="none"/>
        </w:rPr>
        <w:t>距离生产区域较近，方便产品运输</w:t>
      </w:r>
      <w:r>
        <w:rPr>
          <w:rFonts w:hint="eastAsia" w:eastAsiaTheme="minorEastAsia"/>
          <w:bCs/>
          <w:sz w:val="24"/>
          <w:highlight w:val="none"/>
        </w:rPr>
        <w:t>，</w:t>
      </w:r>
      <w:r>
        <w:rPr>
          <w:rFonts w:eastAsiaTheme="minorEastAsia"/>
          <w:bCs/>
          <w:sz w:val="24"/>
          <w:highlight w:val="none"/>
        </w:rPr>
        <w:t>项目分区明确，布局合理</w:t>
      </w:r>
      <w:r>
        <w:rPr>
          <w:rFonts w:hint="eastAsia" w:ascii="Times New Roman" w:hAnsi="Times New Roman" w:eastAsia="宋体" w:cs="Times New Roman"/>
          <w:color w:val="auto"/>
          <w:kern w:val="0"/>
          <w:sz w:val="24"/>
          <w:szCs w:val="24"/>
          <w:highlight w:val="none"/>
          <w:lang w:val="en-US" w:eastAsia="zh-CN" w:bidi="ar-SA"/>
        </w:rPr>
        <w:t>。</w:t>
      </w:r>
    </w:p>
    <w:p w14:paraId="13F68540">
      <w:pPr>
        <w:pStyle w:val="4"/>
        <w:bidi w:val="0"/>
        <w:rPr>
          <w:highlight w:val="none"/>
        </w:rPr>
      </w:pPr>
      <w:bookmarkStart w:id="237" w:name="_Toc30205"/>
      <w:bookmarkStart w:id="238" w:name="_Toc4852"/>
      <w:bookmarkStart w:id="239" w:name="_Toc24348"/>
      <w:r>
        <w:rPr>
          <w:highlight w:val="none"/>
        </w:rPr>
        <w:t>3.</w:t>
      </w:r>
      <w:r>
        <w:rPr>
          <w:rFonts w:hint="eastAsia"/>
          <w:highlight w:val="none"/>
          <w:lang w:val="en-US" w:eastAsia="zh-CN"/>
        </w:rPr>
        <w:t>2</w:t>
      </w:r>
      <w:r>
        <w:rPr>
          <w:highlight w:val="none"/>
        </w:rPr>
        <w:t>工程分析</w:t>
      </w:r>
      <w:bookmarkEnd w:id="237"/>
      <w:bookmarkEnd w:id="238"/>
      <w:bookmarkEnd w:id="239"/>
    </w:p>
    <w:p w14:paraId="0DB2E199">
      <w:pPr>
        <w:pStyle w:val="5"/>
        <w:bidi w:val="0"/>
        <w:rPr>
          <w:highlight w:val="none"/>
        </w:rPr>
      </w:pPr>
      <w:bookmarkStart w:id="240" w:name="_Toc10392"/>
      <w:bookmarkStart w:id="241" w:name="_Toc3159"/>
      <w:r>
        <w:rPr>
          <w:highlight w:val="none"/>
        </w:rPr>
        <w:t>3.</w:t>
      </w:r>
      <w:r>
        <w:rPr>
          <w:rFonts w:hint="eastAsia"/>
          <w:highlight w:val="none"/>
          <w:lang w:val="en-US" w:eastAsia="zh-CN"/>
        </w:rPr>
        <w:t>2</w:t>
      </w:r>
      <w:r>
        <w:rPr>
          <w:highlight w:val="none"/>
        </w:rPr>
        <w:t>.1</w:t>
      </w:r>
      <w:r>
        <w:rPr>
          <w:rFonts w:hint="eastAsia"/>
          <w:highlight w:val="none"/>
        </w:rPr>
        <w:t>环境</w:t>
      </w:r>
      <w:r>
        <w:rPr>
          <w:highlight w:val="none"/>
        </w:rPr>
        <w:t>影响识别</w:t>
      </w:r>
      <w:bookmarkEnd w:id="240"/>
      <w:bookmarkEnd w:id="241"/>
    </w:p>
    <w:p w14:paraId="4E121A7E">
      <w:pPr>
        <w:pStyle w:val="77"/>
        <w:adjustRightInd/>
        <w:snapToGrid/>
        <w:jc w:val="both"/>
        <w:rPr>
          <w:rFonts w:ascii="Times New Roman" w:cs="Times New Roman" w:hAnsiTheme="minorEastAsia"/>
          <w:highlight w:val="none"/>
        </w:rPr>
      </w:pPr>
      <w:r>
        <w:rPr>
          <w:rFonts w:ascii="Times New Roman" w:cs="Times New Roman" w:hAnsiTheme="minorEastAsia"/>
          <w:highlight w:val="none"/>
        </w:rPr>
        <w:t>本项目主要环境影响为项目施工期和运行期全过程，</w:t>
      </w:r>
      <w:r>
        <w:rPr>
          <w:rFonts w:hint="eastAsia" w:ascii="Times New Roman" w:cs="Times New Roman" w:hAnsiTheme="minorEastAsia"/>
          <w:highlight w:val="none"/>
        </w:rPr>
        <w:t>其主要污染源分布详见下表。</w:t>
      </w:r>
    </w:p>
    <w:p w14:paraId="5309ADD4">
      <w:pPr>
        <w:pStyle w:val="7"/>
        <w:bidi w:val="0"/>
        <w:rPr>
          <w:highlight w:val="none"/>
        </w:rPr>
      </w:pPr>
      <w:r>
        <w:rPr>
          <w:highlight w:val="none"/>
        </w:rPr>
        <w:t>表3-</w:t>
      </w:r>
      <w:r>
        <w:rPr>
          <w:rFonts w:hint="eastAsia"/>
          <w:highlight w:val="none"/>
          <w:lang w:val="en-US" w:eastAsia="zh-CN"/>
        </w:rPr>
        <w:t>2</w:t>
      </w:r>
      <w:r>
        <w:rPr>
          <w:highlight w:val="none"/>
        </w:rPr>
        <w:t>-</w:t>
      </w:r>
      <w:r>
        <w:rPr>
          <w:rFonts w:hint="eastAsia"/>
          <w:highlight w:val="none"/>
          <w:lang w:val="en-US" w:eastAsia="zh-CN"/>
        </w:rPr>
        <w:t>1</w:t>
      </w:r>
      <w:r>
        <w:rPr>
          <w:highlight w:val="none"/>
        </w:rPr>
        <w:t>项目</w:t>
      </w:r>
      <w:r>
        <w:rPr>
          <w:rFonts w:hint="eastAsia"/>
          <w:highlight w:val="none"/>
        </w:rPr>
        <w:t>主要</w:t>
      </w:r>
      <w:r>
        <w:rPr>
          <w:highlight w:val="none"/>
        </w:rPr>
        <w:t>污染源一览表</w:t>
      </w:r>
    </w:p>
    <w:tbl>
      <w:tblPr>
        <w:tblStyle w:val="4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51"/>
        <w:gridCol w:w="1660"/>
        <w:gridCol w:w="3685"/>
        <w:gridCol w:w="1569"/>
      </w:tblGrid>
      <w:tr w14:paraId="5EC75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75" w:type="dxa"/>
            <w:vAlign w:val="center"/>
          </w:tcPr>
          <w:p w14:paraId="2B99E40B">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时段</w:t>
            </w:r>
          </w:p>
        </w:tc>
        <w:tc>
          <w:tcPr>
            <w:tcW w:w="851" w:type="dxa"/>
            <w:vAlign w:val="center"/>
          </w:tcPr>
          <w:p w14:paraId="51D58D9D">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污染源</w:t>
            </w:r>
          </w:p>
        </w:tc>
        <w:tc>
          <w:tcPr>
            <w:tcW w:w="1660" w:type="dxa"/>
            <w:vAlign w:val="center"/>
          </w:tcPr>
          <w:p w14:paraId="400A6413">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产生部位</w:t>
            </w:r>
          </w:p>
        </w:tc>
        <w:tc>
          <w:tcPr>
            <w:tcW w:w="3685" w:type="dxa"/>
            <w:vAlign w:val="center"/>
          </w:tcPr>
          <w:p w14:paraId="2849450F">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主要影响因素</w:t>
            </w:r>
          </w:p>
        </w:tc>
        <w:tc>
          <w:tcPr>
            <w:tcW w:w="1569" w:type="dxa"/>
            <w:vAlign w:val="center"/>
          </w:tcPr>
          <w:p w14:paraId="335ED6CB">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影响对象</w:t>
            </w:r>
          </w:p>
        </w:tc>
      </w:tr>
      <w:tr w14:paraId="39479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Merge w:val="restart"/>
            <w:vAlign w:val="center"/>
          </w:tcPr>
          <w:p w14:paraId="2B634808">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施工期</w:t>
            </w:r>
          </w:p>
        </w:tc>
        <w:tc>
          <w:tcPr>
            <w:tcW w:w="851" w:type="dxa"/>
            <w:vAlign w:val="center"/>
          </w:tcPr>
          <w:p w14:paraId="6CD8618E">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噪声</w:t>
            </w:r>
          </w:p>
        </w:tc>
        <w:tc>
          <w:tcPr>
            <w:tcW w:w="1660" w:type="dxa"/>
            <w:vAlign w:val="center"/>
          </w:tcPr>
          <w:p w14:paraId="17365416">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施工机械、运输车辆</w:t>
            </w:r>
          </w:p>
        </w:tc>
        <w:tc>
          <w:tcPr>
            <w:tcW w:w="3685" w:type="dxa"/>
            <w:vAlign w:val="center"/>
          </w:tcPr>
          <w:p w14:paraId="585CF784">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施工机械、运输车辆噪声</w:t>
            </w:r>
          </w:p>
        </w:tc>
        <w:tc>
          <w:tcPr>
            <w:tcW w:w="1569" w:type="dxa"/>
            <w:vAlign w:val="center"/>
          </w:tcPr>
          <w:p w14:paraId="502F0CB5">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周围环境敏感点</w:t>
            </w:r>
          </w:p>
        </w:tc>
      </w:tr>
      <w:tr w14:paraId="5C2E2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Merge w:val="continue"/>
            <w:vAlign w:val="center"/>
          </w:tcPr>
          <w:p w14:paraId="1483F7E2">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hAnsiTheme="minorEastAsia" w:eastAsiaTheme="minorEastAsia"/>
                <w:spacing w:val="20"/>
                <w:kern w:val="0"/>
                <w:sz w:val="21"/>
                <w:szCs w:val="21"/>
                <w:highlight w:val="none"/>
              </w:rPr>
            </w:pPr>
          </w:p>
        </w:tc>
        <w:tc>
          <w:tcPr>
            <w:tcW w:w="851" w:type="dxa"/>
            <w:vAlign w:val="center"/>
          </w:tcPr>
          <w:p w14:paraId="137EFF04">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eastAsia"/>
                <w:highlight w:val="none"/>
                <w:lang w:val="en-US" w:eastAsia="zh-CN"/>
              </w:rPr>
              <w:t>废气</w:t>
            </w:r>
          </w:p>
        </w:tc>
        <w:tc>
          <w:tcPr>
            <w:tcW w:w="1660" w:type="dxa"/>
            <w:vAlign w:val="center"/>
          </w:tcPr>
          <w:p w14:paraId="03270A00">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eastAsia"/>
                <w:highlight w:val="none"/>
                <w:lang w:val="en-US" w:eastAsia="zh-CN"/>
              </w:rPr>
              <w:t>施工现场</w:t>
            </w:r>
          </w:p>
        </w:tc>
        <w:tc>
          <w:tcPr>
            <w:tcW w:w="3685" w:type="dxa"/>
            <w:vAlign w:val="center"/>
          </w:tcPr>
          <w:p w14:paraId="62F9E22D">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eastAsia"/>
                <w:highlight w:val="none"/>
                <w:lang w:val="en-US" w:eastAsia="zh-CN"/>
              </w:rPr>
              <w:t>施工扬尘</w:t>
            </w:r>
          </w:p>
        </w:tc>
        <w:tc>
          <w:tcPr>
            <w:tcW w:w="1569" w:type="dxa"/>
            <w:vAlign w:val="center"/>
          </w:tcPr>
          <w:p w14:paraId="53757AC9">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default"/>
                <w:highlight w:val="none"/>
              </w:rPr>
              <w:t>区域大气环境</w:t>
            </w:r>
          </w:p>
        </w:tc>
      </w:tr>
      <w:tr w14:paraId="08833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Merge w:val="continue"/>
            <w:vAlign w:val="center"/>
          </w:tcPr>
          <w:p w14:paraId="31328A27">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c>
          <w:tcPr>
            <w:tcW w:w="851" w:type="dxa"/>
            <w:vAlign w:val="center"/>
          </w:tcPr>
          <w:p w14:paraId="45EABA88">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废水</w:t>
            </w:r>
          </w:p>
        </w:tc>
        <w:tc>
          <w:tcPr>
            <w:tcW w:w="1660" w:type="dxa"/>
            <w:vAlign w:val="center"/>
          </w:tcPr>
          <w:p w14:paraId="789590DB">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员工生活</w:t>
            </w:r>
          </w:p>
        </w:tc>
        <w:tc>
          <w:tcPr>
            <w:tcW w:w="3685" w:type="dxa"/>
            <w:vAlign w:val="center"/>
          </w:tcPr>
          <w:p w14:paraId="3E20AC72">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eastAsiaTheme="minorEastAsia"/>
                <w:spacing w:val="20"/>
                <w:kern w:val="0"/>
                <w:sz w:val="21"/>
                <w:szCs w:val="21"/>
                <w:highlight w:val="none"/>
              </w:rPr>
              <w:t>COD</w:t>
            </w:r>
            <w:r>
              <w:rPr>
                <w:rFonts w:hint="default" w:hAnsiTheme="minorEastAsia" w:eastAsiaTheme="minorEastAsia"/>
                <w:spacing w:val="20"/>
                <w:kern w:val="0"/>
                <w:sz w:val="21"/>
                <w:szCs w:val="21"/>
                <w:highlight w:val="none"/>
              </w:rPr>
              <w:t>、氨氮、</w:t>
            </w:r>
            <w:r>
              <w:rPr>
                <w:rFonts w:hint="default" w:eastAsiaTheme="minorEastAsia"/>
                <w:spacing w:val="20"/>
                <w:kern w:val="0"/>
                <w:sz w:val="21"/>
                <w:szCs w:val="21"/>
                <w:highlight w:val="none"/>
              </w:rPr>
              <w:t>pH</w:t>
            </w:r>
            <w:r>
              <w:rPr>
                <w:rFonts w:hint="default" w:hAnsiTheme="minorEastAsia" w:eastAsiaTheme="minorEastAsia"/>
                <w:spacing w:val="20"/>
                <w:kern w:val="0"/>
                <w:sz w:val="21"/>
                <w:szCs w:val="21"/>
                <w:highlight w:val="none"/>
              </w:rPr>
              <w:t>、</w:t>
            </w:r>
            <w:r>
              <w:rPr>
                <w:rFonts w:hint="default" w:eastAsiaTheme="minorEastAsia"/>
                <w:spacing w:val="20"/>
                <w:kern w:val="0"/>
                <w:sz w:val="21"/>
                <w:szCs w:val="21"/>
                <w:highlight w:val="none"/>
              </w:rPr>
              <w:t>SS</w:t>
            </w:r>
            <w:r>
              <w:rPr>
                <w:rFonts w:hint="default" w:hAnsiTheme="minorEastAsia" w:eastAsiaTheme="minorEastAsia"/>
                <w:spacing w:val="20"/>
                <w:kern w:val="0"/>
                <w:sz w:val="21"/>
                <w:szCs w:val="21"/>
                <w:highlight w:val="none"/>
              </w:rPr>
              <w:t>、</w:t>
            </w:r>
            <w:r>
              <w:rPr>
                <w:rFonts w:hint="default" w:eastAsiaTheme="minorEastAsia"/>
                <w:spacing w:val="20"/>
                <w:kern w:val="0"/>
                <w:sz w:val="21"/>
                <w:szCs w:val="21"/>
                <w:highlight w:val="none"/>
              </w:rPr>
              <w:t>BOD</w:t>
            </w:r>
            <w:r>
              <w:rPr>
                <w:rFonts w:hint="default" w:eastAsiaTheme="minorEastAsia"/>
                <w:spacing w:val="20"/>
                <w:kern w:val="0"/>
                <w:sz w:val="21"/>
                <w:szCs w:val="21"/>
                <w:highlight w:val="none"/>
                <w:vertAlign w:val="subscript"/>
              </w:rPr>
              <w:t>5</w:t>
            </w:r>
          </w:p>
        </w:tc>
        <w:tc>
          <w:tcPr>
            <w:tcW w:w="1569" w:type="dxa"/>
            <w:vAlign w:val="center"/>
          </w:tcPr>
          <w:p w14:paraId="7C2114D2">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eastAsia" w:hAnsiTheme="minorEastAsia" w:eastAsiaTheme="minorEastAsia"/>
                <w:spacing w:val="20"/>
                <w:kern w:val="0"/>
                <w:sz w:val="21"/>
                <w:szCs w:val="21"/>
                <w:highlight w:val="none"/>
                <w:lang w:val="en-US" w:eastAsia="zh-CN"/>
              </w:rPr>
              <w:t>马家沟</w:t>
            </w:r>
            <w:r>
              <w:rPr>
                <w:rFonts w:hint="default" w:hAnsiTheme="minorEastAsia" w:eastAsiaTheme="minorEastAsia"/>
                <w:spacing w:val="20"/>
                <w:kern w:val="0"/>
                <w:sz w:val="21"/>
                <w:szCs w:val="21"/>
                <w:highlight w:val="none"/>
              </w:rPr>
              <w:t>河地表水环境</w:t>
            </w:r>
          </w:p>
        </w:tc>
      </w:tr>
      <w:tr w14:paraId="47212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Merge w:val="continue"/>
            <w:vAlign w:val="center"/>
          </w:tcPr>
          <w:p w14:paraId="4EC2B7DE">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c>
          <w:tcPr>
            <w:tcW w:w="851" w:type="dxa"/>
            <w:vMerge w:val="restart"/>
            <w:vAlign w:val="center"/>
          </w:tcPr>
          <w:p w14:paraId="7D67D0CD">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固废</w:t>
            </w:r>
          </w:p>
        </w:tc>
        <w:tc>
          <w:tcPr>
            <w:tcW w:w="1660" w:type="dxa"/>
            <w:vAlign w:val="center"/>
          </w:tcPr>
          <w:p w14:paraId="61FE21D5">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员工生活</w:t>
            </w:r>
          </w:p>
        </w:tc>
        <w:tc>
          <w:tcPr>
            <w:tcW w:w="3685" w:type="dxa"/>
            <w:vAlign w:val="center"/>
          </w:tcPr>
          <w:p w14:paraId="1DC5E9B9">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bCs/>
                <w:kern w:val="0"/>
                <w:sz w:val="21"/>
                <w:szCs w:val="21"/>
                <w:highlight w:val="none"/>
              </w:rPr>
              <w:t>生活垃圾</w:t>
            </w:r>
          </w:p>
        </w:tc>
        <w:tc>
          <w:tcPr>
            <w:tcW w:w="1569" w:type="dxa"/>
            <w:vMerge w:val="restart"/>
            <w:vAlign w:val="center"/>
          </w:tcPr>
          <w:p w14:paraId="3ED5D2A2">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区内环境</w:t>
            </w:r>
          </w:p>
        </w:tc>
      </w:tr>
      <w:tr w14:paraId="3CCF1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Merge w:val="continue"/>
            <w:vAlign w:val="center"/>
          </w:tcPr>
          <w:p w14:paraId="6EBC491F">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c>
          <w:tcPr>
            <w:tcW w:w="851" w:type="dxa"/>
            <w:vMerge w:val="continue"/>
            <w:vAlign w:val="center"/>
          </w:tcPr>
          <w:p w14:paraId="4F54DEE8">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c>
          <w:tcPr>
            <w:tcW w:w="1660" w:type="dxa"/>
            <w:vAlign w:val="center"/>
          </w:tcPr>
          <w:p w14:paraId="1335B243">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bCs/>
                <w:kern w:val="0"/>
                <w:sz w:val="21"/>
                <w:szCs w:val="21"/>
                <w:highlight w:val="none"/>
              </w:rPr>
            </w:pPr>
            <w:r>
              <w:rPr>
                <w:rFonts w:hint="default" w:hAnsiTheme="minorEastAsia" w:eastAsiaTheme="minorEastAsia"/>
                <w:bCs/>
                <w:kern w:val="0"/>
                <w:sz w:val="21"/>
                <w:szCs w:val="21"/>
                <w:highlight w:val="none"/>
              </w:rPr>
              <w:t>设备安装</w:t>
            </w:r>
          </w:p>
        </w:tc>
        <w:tc>
          <w:tcPr>
            <w:tcW w:w="3685" w:type="dxa"/>
            <w:vAlign w:val="center"/>
          </w:tcPr>
          <w:p w14:paraId="4E1FEA23">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bCs/>
                <w:kern w:val="0"/>
                <w:sz w:val="21"/>
                <w:szCs w:val="21"/>
                <w:highlight w:val="none"/>
              </w:rPr>
            </w:pPr>
            <w:r>
              <w:rPr>
                <w:rFonts w:hint="eastAsia" w:hAnsiTheme="minorEastAsia" w:eastAsiaTheme="minorEastAsia"/>
                <w:bCs/>
                <w:kern w:val="0"/>
                <w:sz w:val="21"/>
                <w:szCs w:val="21"/>
                <w:highlight w:val="none"/>
                <w:lang w:val="en-US" w:eastAsia="zh-CN"/>
              </w:rPr>
              <w:t>包装</w:t>
            </w:r>
            <w:r>
              <w:rPr>
                <w:rFonts w:hint="default" w:hAnsiTheme="minorEastAsia" w:eastAsiaTheme="minorEastAsia"/>
                <w:bCs/>
                <w:kern w:val="0"/>
                <w:sz w:val="21"/>
                <w:szCs w:val="21"/>
                <w:highlight w:val="none"/>
              </w:rPr>
              <w:t>垃圾</w:t>
            </w:r>
          </w:p>
        </w:tc>
        <w:tc>
          <w:tcPr>
            <w:tcW w:w="1569" w:type="dxa"/>
            <w:vMerge w:val="continue"/>
            <w:vAlign w:val="center"/>
          </w:tcPr>
          <w:p w14:paraId="74FDB51D">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r>
      <w:tr w14:paraId="2137F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Merge w:val="restart"/>
            <w:vAlign w:val="center"/>
          </w:tcPr>
          <w:p w14:paraId="5153BBFF">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营运期</w:t>
            </w:r>
          </w:p>
        </w:tc>
        <w:tc>
          <w:tcPr>
            <w:tcW w:w="851" w:type="dxa"/>
            <w:vAlign w:val="center"/>
          </w:tcPr>
          <w:p w14:paraId="2ED39B37">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废气</w:t>
            </w:r>
          </w:p>
        </w:tc>
        <w:tc>
          <w:tcPr>
            <w:tcW w:w="1660" w:type="dxa"/>
            <w:vAlign w:val="center"/>
          </w:tcPr>
          <w:p w14:paraId="187EB119">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eastAsiaTheme="minorEastAsia"/>
                <w:spacing w:val="20"/>
                <w:kern w:val="0"/>
                <w:sz w:val="21"/>
                <w:szCs w:val="21"/>
                <w:highlight w:val="none"/>
              </w:rPr>
            </w:pPr>
            <w:r>
              <w:rPr>
                <w:rFonts w:hint="eastAsia" w:hAnsiTheme="minorEastAsia" w:eastAsiaTheme="minorEastAsia"/>
                <w:spacing w:val="20"/>
                <w:kern w:val="0"/>
                <w:sz w:val="21"/>
                <w:szCs w:val="21"/>
                <w:highlight w:val="none"/>
                <w:lang w:val="en-US" w:eastAsia="zh-CN"/>
              </w:rPr>
              <w:t>含油金属屑处理</w:t>
            </w:r>
          </w:p>
        </w:tc>
        <w:tc>
          <w:tcPr>
            <w:tcW w:w="3685" w:type="dxa"/>
            <w:vAlign w:val="center"/>
          </w:tcPr>
          <w:p w14:paraId="1FD7F50E">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eastAsiaTheme="minorEastAsia"/>
                <w:spacing w:val="20"/>
                <w:kern w:val="0"/>
                <w:sz w:val="21"/>
                <w:szCs w:val="21"/>
                <w:highlight w:val="none"/>
              </w:rPr>
            </w:pPr>
            <w:r>
              <w:rPr>
                <w:rFonts w:hint="eastAsia"/>
                <w:kern w:val="24"/>
                <w:sz w:val="21"/>
                <w:szCs w:val="21"/>
                <w:highlight w:val="none"/>
                <w:lang w:val="en-US" w:eastAsia="zh-CN"/>
              </w:rPr>
              <w:t>臭气浓度、非甲烷总烃、颗粒物</w:t>
            </w:r>
          </w:p>
        </w:tc>
        <w:tc>
          <w:tcPr>
            <w:tcW w:w="1569" w:type="dxa"/>
            <w:vAlign w:val="center"/>
          </w:tcPr>
          <w:p w14:paraId="75078CD1">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区域大气环境</w:t>
            </w:r>
          </w:p>
        </w:tc>
      </w:tr>
      <w:tr w14:paraId="6696B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Merge w:val="continue"/>
            <w:vAlign w:val="center"/>
          </w:tcPr>
          <w:p w14:paraId="7B6AD27A">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c>
          <w:tcPr>
            <w:tcW w:w="851" w:type="dxa"/>
            <w:vAlign w:val="center"/>
          </w:tcPr>
          <w:p w14:paraId="0364170E">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噪声</w:t>
            </w:r>
          </w:p>
        </w:tc>
        <w:tc>
          <w:tcPr>
            <w:tcW w:w="1660" w:type="dxa"/>
            <w:vAlign w:val="center"/>
          </w:tcPr>
          <w:p w14:paraId="6C0BC8BC">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生产设备等</w:t>
            </w:r>
          </w:p>
        </w:tc>
        <w:tc>
          <w:tcPr>
            <w:tcW w:w="3685" w:type="dxa"/>
            <w:vAlign w:val="center"/>
          </w:tcPr>
          <w:p w14:paraId="64206939">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生产设备</w:t>
            </w:r>
            <w:r>
              <w:rPr>
                <w:rFonts w:hint="eastAsia" w:hAnsiTheme="minorEastAsia" w:eastAsiaTheme="minorEastAsia"/>
                <w:spacing w:val="20"/>
                <w:kern w:val="0"/>
                <w:sz w:val="21"/>
                <w:szCs w:val="21"/>
                <w:highlight w:val="none"/>
              </w:rPr>
              <w:t>噪声</w:t>
            </w:r>
          </w:p>
        </w:tc>
        <w:tc>
          <w:tcPr>
            <w:tcW w:w="1569" w:type="dxa"/>
            <w:vAlign w:val="center"/>
          </w:tcPr>
          <w:p w14:paraId="4E675405">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周围环境敏感点</w:t>
            </w:r>
          </w:p>
        </w:tc>
      </w:tr>
      <w:tr w14:paraId="4210F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Merge w:val="continue"/>
            <w:vAlign w:val="center"/>
          </w:tcPr>
          <w:p w14:paraId="46E9069B">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c>
          <w:tcPr>
            <w:tcW w:w="851" w:type="dxa"/>
            <w:vAlign w:val="center"/>
          </w:tcPr>
          <w:p w14:paraId="64D9FC24">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固废</w:t>
            </w:r>
          </w:p>
        </w:tc>
        <w:tc>
          <w:tcPr>
            <w:tcW w:w="1660" w:type="dxa"/>
            <w:shd w:val="clear" w:color="auto" w:fill="auto"/>
            <w:vAlign w:val="center"/>
          </w:tcPr>
          <w:p w14:paraId="7272A29C">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ascii="Times New Roman" w:cs="Times New Roman" w:hAnsiTheme="minorEastAsia" w:eastAsiaTheme="minorEastAsia"/>
                <w:spacing w:val="20"/>
                <w:kern w:val="0"/>
                <w:sz w:val="21"/>
                <w:szCs w:val="21"/>
                <w:highlight w:val="none"/>
                <w:lang w:val="en-US" w:eastAsia="zh-CN"/>
              </w:rPr>
            </w:pPr>
            <w:r>
              <w:rPr>
                <w:rFonts w:hint="eastAsia" w:ascii="Times New Roman" w:cs="Times New Roman" w:hAnsiTheme="minorEastAsia" w:eastAsiaTheme="minorEastAsia"/>
                <w:spacing w:val="20"/>
                <w:kern w:val="0"/>
                <w:sz w:val="21"/>
                <w:szCs w:val="21"/>
                <w:highlight w:val="none"/>
                <w:lang w:val="en-US" w:eastAsia="zh-CN"/>
              </w:rPr>
              <w:t>含油金属屑处理</w:t>
            </w:r>
          </w:p>
        </w:tc>
        <w:tc>
          <w:tcPr>
            <w:tcW w:w="3685" w:type="dxa"/>
            <w:shd w:val="clear" w:color="auto" w:fill="auto"/>
            <w:vAlign w:val="center"/>
          </w:tcPr>
          <w:p w14:paraId="2EB25578">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ascii="Times New Roman" w:cs="Times New Roman" w:hAnsiTheme="minorEastAsia" w:eastAsiaTheme="minorEastAsia"/>
                <w:spacing w:val="20"/>
                <w:kern w:val="0"/>
                <w:sz w:val="21"/>
                <w:szCs w:val="21"/>
                <w:highlight w:val="none"/>
                <w:lang w:val="en-US" w:eastAsia="zh-CN"/>
              </w:rPr>
            </w:pPr>
            <w:r>
              <w:rPr>
                <w:rFonts w:hint="eastAsia" w:ascii="Times New Roman" w:cs="Times New Roman" w:hAnsiTheme="minorEastAsia" w:eastAsiaTheme="minorEastAsia"/>
                <w:spacing w:val="20"/>
                <w:kern w:val="0"/>
                <w:sz w:val="21"/>
                <w:szCs w:val="21"/>
                <w:highlight w:val="none"/>
                <w:lang w:val="en-US" w:eastAsia="zh-CN"/>
              </w:rPr>
              <w:t xml:space="preserve"> </w:t>
            </w:r>
            <w:r>
              <w:rPr>
                <w:rFonts w:hint="default" w:ascii="Times New Roman" w:cs="Times New Roman" w:hAnsiTheme="minorEastAsia" w:eastAsiaTheme="minorEastAsia"/>
                <w:spacing w:val="20"/>
                <w:kern w:val="0"/>
                <w:sz w:val="21"/>
                <w:szCs w:val="21"/>
                <w:highlight w:val="none"/>
                <w:lang w:val="en-US" w:eastAsia="zh-CN"/>
              </w:rPr>
              <w:t>废</w:t>
            </w:r>
            <w:r>
              <w:rPr>
                <w:rFonts w:hint="eastAsia" w:ascii="Times New Roman" w:cs="Times New Roman" w:hAnsiTheme="minorEastAsia" w:eastAsiaTheme="minorEastAsia"/>
                <w:spacing w:val="20"/>
                <w:kern w:val="0"/>
                <w:sz w:val="21"/>
                <w:szCs w:val="21"/>
                <w:highlight w:val="none"/>
                <w:lang w:val="en-US" w:eastAsia="zh-CN"/>
              </w:rPr>
              <w:t>液</w:t>
            </w:r>
            <w:r>
              <w:rPr>
                <w:rFonts w:hint="default" w:ascii="Times New Roman" w:cs="Times New Roman" w:hAnsiTheme="minorEastAsia" w:eastAsiaTheme="minorEastAsia"/>
                <w:spacing w:val="20"/>
                <w:kern w:val="0"/>
                <w:sz w:val="21"/>
                <w:szCs w:val="21"/>
                <w:highlight w:val="none"/>
                <w:lang w:val="en-US" w:eastAsia="zh-CN"/>
              </w:rPr>
              <w:t>（类别：HW08，代码：900-249-08</w:t>
            </w:r>
            <w:r>
              <w:rPr>
                <w:rFonts w:hint="eastAsia" w:ascii="Times New Roman" w:cs="Times New Roman" w:hAnsiTheme="minorEastAsia" w:eastAsiaTheme="minorEastAsia"/>
                <w:spacing w:val="20"/>
                <w:kern w:val="0"/>
                <w:sz w:val="21"/>
                <w:szCs w:val="21"/>
                <w:highlight w:val="none"/>
                <w:lang w:val="en-US" w:eastAsia="zh-CN"/>
              </w:rPr>
              <w:t>、类别：HW09，代码900-007-09</w:t>
            </w:r>
            <w:r>
              <w:rPr>
                <w:rFonts w:hint="default" w:ascii="Times New Roman" w:cs="Times New Roman" w:hAnsiTheme="minorEastAsia" w:eastAsiaTheme="minorEastAsia"/>
                <w:spacing w:val="20"/>
                <w:kern w:val="0"/>
                <w:sz w:val="21"/>
                <w:szCs w:val="21"/>
                <w:highlight w:val="none"/>
                <w:lang w:val="en-US" w:eastAsia="zh-CN"/>
              </w:rPr>
              <w:t>）</w:t>
            </w:r>
            <w:r>
              <w:rPr>
                <w:rFonts w:hint="eastAsia" w:ascii="Times New Roman" w:cs="Times New Roman" w:hAnsiTheme="minorEastAsia" w:eastAsiaTheme="minorEastAsia"/>
                <w:spacing w:val="20"/>
                <w:kern w:val="0"/>
                <w:sz w:val="21"/>
                <w:szCs w:val="21"/>
                <w:highlight w:val="none"/>
                <w:lang w:val="en-US" w:eastAsia="zh-CN"/>
              </w:rPr>
              <w:t>、油雾净化器产生的废过滤材料</w:t>
            </w:r>
            <w:r>
              <w:rPr>
                <w:rFonts w:hint="default" w:ascii="Times New Roman" w:cs="Times New Roman" w:hAnsiTheme="minorEastAsia" w:eastAsiaTheme="minorEastAsia"/>
                <w:spacing w:val="20"/>
                <w:kern w:val="0"/>
                <w:sz w:val="21"/>
                <w:szCs w:val="21"/>
                <w:highlight w:val="none"/>
                <w:lang w:val="en-US" w:eastAsia="zh-CN"/>
              </w:rPr>
              <w:t>（类别：HW49，代码：900-041-49）</w:t>
            </w:r>
            <w:r>
              <w:rPr>
                <w:rFonts w:hint="eastAsia" w:ascii="Times New Roman" w:cs="Times New Roman" w:hAnsiTheme="minorEastAsia" w:eastAsiaTheme="minorEastAsia"/>
                <w:spacing w:val="20"/>
                <w:kern w:val="0"/>
                <w:sz w:val="21"/>
                <w:szCs w:val="21"/>
                <w:highlight w:val="none"/>
                <w:lang w:val="en-US" w:eastAsia="zh-CN"/>
              </w:rPr>
              <w:t>、废活性炭（</w:t>
            </w:r>
            <w:r>
              <w:rPr>
                <w:rFonts w:hint="default" w:ascii="Times New Roman" w:cs="Times New Roman" w:hAnsiTheme="minorEastAsia" w:eastAsiaTheme="minorEastAsia"/>
                <w:spacing w:val="20"/>
                <w:kern w:val="0"/>
                <w:sz w:val="21"/>
                <w:szCs w:val="21"/>
                <w:highlight w:val="none"/>
                <w:lang w:val="en-US" w:eastAsia="zh-CN"/>
              </w:rPr>
              <w:t>类别：HW49，代码：900-</w:t>
            </w:r>
            <w:r>
              <w:rPr>
                <w:rFonts w:hint="eastAsia" w:ascii="Times New Roman" w:cs="Times New Roman" w:hAnsiTheme="minorEastAsia" w:eastAsiaTheme="minorEastAsia"/>
                <w:spacing w:val="20"/>
                <w:kern w:val="0"/>
                <w:sz w:val="21"/>
                <w:szCs w:val="21"/>
                <w:highlight w:val="none"/>
                <w:lang w:val="en-US" w:eastAsia="zh-CN"/>
              </w:rPr>
              <w:t>039</w:t>
            </w:r>
            <w:r>
              <w:rPr>
                <w:rFonts w:hint="default" w:ascii="Times New Roman" w:cs="Times New Roman" w:hAnsiTheme="minorEastAsia" w:eastAsiaTheme="minorEastAsia"/>
                <w:spacing w:val="20"/>
                <w:kern w:val="0"/>
                <w:sz w:val="21"/>
                <w:szCs w:val="21"/>
                <w:highlight w:val="none"/>
                <w:lang w:val="en-US" w:eastAsia="zh-CN"/>
              </w:rPr>
              <w:t>-49</w:t>
            </w:r>
            <w:r>
              <w:rPr>
                <w:rFonts w:hint="eastAsia" w:ascii="Times New Roman" w:cs="Times New Roman" w:hAnsiTheme="minorEastAsia" w:eastAsiaTheme="minorEastAsia"/>
                <w:spacing w:val="20"/>
                <w:kern w:val="0"/>
                <w:sz w:val="21"/>
                <w:szCs w:val="21"/>
                <w:highlight w:val="none"/>
                <w:lang w:val="en-US" w:eastAsia="zh-CN"/>
              </w:rPr>
              <w:t>）、废电解液和电池（</w:t>
            </w:r>
            <w:r>
              <w:rPr>
                <w:rFonts w:hint="default" w:ascii="Times New Roman" w:cs="Times New Roman" w:hAnsiTheme="minorEastAsia" w:eastAsiaTheme="minorEastAsia"/>
                <w:spacing w:val="20"/>
                <w:kern w:val="0"/>
                <w:sz w:val="21"/>
                <w:szCs w:val="21"/>
                <w:highlight w:val="none"/>
                <w:lang w:val="en-US" w:eastAsia="zh-CN"/>
              </w:rPr>
              <w:t>类别：HW49，代码：900-04</w:t>
            </w:r>
            <w:r>
              <w:rPr>
                <w:rFonts w:hint="eastAsia" w:ascii="Times New Roman" w:cs="Times New Roman" w:hAnsiTheme="minorEastAsia" w:eastAsiaTheme="minorEastAsia"/>
                <w:spacing w:val="20"/>
                <w:kern w:val="0"/>
                <w:sz w:val="21"/>
                <w:szCs w:val="21"/>
                <w:highlight w:val="none"/>
                <w:lang w:val="en-US" w:eastAsia="zh-CN"/>
              </w:rPr>
              <w:t>5</w:t>
            </w:r>
            <w:r>
              <w:rPr>
                <w:rFonts w:hint="default" w:ascii="Times New Roman" w:cs="Times New Roman" w:hAnsiTheme="minorEastAsia" w:eastAsiaTheme="minorEastAsia"/>
                <w:spacing w:val="20"/>
                <w:kern w:val="0"/>
                <w:sz w:val="21"/>
                <w:szCs w:val="21"/>
                <w:highlight w:val="none"/>
                <w:lang w:val="en-US" w:eastAsia="zh-CN"/>
              </w:rPr>
              <w:t>-49</w:t>
            </w:r>
            <w:r>
              <w:rPr>
                <w:rFonts w:hint="eastAsia" w:ascii="Times New Roman" w:cs="Times New Roman" w:hAnsiTheme="minorEastAsia" w:eastAsiaTheme="minorEastAsia"/>
                <w:spacing w:val="20"/>
                <w:kern w:val="0"/>
                <w:sz w:val="21"/>
                <w:szCs w:val="21"/>
                <w:highlight w:val="none"/>
                <w:lang w:val="en-US" w:eastAsia="zh-CN"/>
              </w:rPr>
              <w:t>）</w:t>
            </w:r>
          </w:p>
        </w:tc>
        <w:tc>
          <w:tcPr>
            <w:tcW w:w="1569" w:type="dxa"/>
            <w:vAlign w:val="center"/>
          </w:tcPr>
          <w:p w14:paraId="79AD03AC">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r>
              <w:rPr>
                <w:rFonts w:hint="default" w:hAnsiTheme="minorEastAsia" w:eastAsiaTheme="minorEastAsia"/>
                <w:spacing w:val="20"/>
                <w:kern w:val="0"/>
                <w:sz w:val="21"/>
                <w:szCs w:val="21"/>
                <w:highlight w:val="none"/>
              </w:rPr>
              <w:t>区内环境</w:t>
            </w:r>
          </w:p>
        </w:tc>
      </w:tr>
      <w:tr w14:paraId="6B5D3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Align w:val="center"/>
          </w:tcPr>
          <w:p w14:paraId="430B22B3">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c>
          <w:tcPr>
            <w:tcW w:w="851" w:type="dxa"/>
            <w:vAlign w:val="center"/>
          </w:tcPr>
          <w:p w14:paraId="5F9FBB9D">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eastAsia"/>
                <w:highlight w:val="none"/>
                <w:lang w:val="en-US" w:eastAsia="zh-CN"/>
              </w:rPr>
              <w:t>风险</w:t>
            </w:r>
          </w:p>
        </w:tc>
        <w:tc>
          <w:tcPr>
            <w:tcW w:w="1660" w:type="dxa"/>
            <w:shd w:val="clear" w:color="auto" w:fill="auto"/>
            <w:vAlign w:val="center"/>
          </w:tcPr>
          <w:p w14:paraId="0F0186C4">
            <w:pPr>
              <w:pStyle w:val="8"/>
              <w:suppressLineNumbers w:val="0"/>
              <w:bidi w:val="0"/>
              <w:spacing w:before="0" w:beforeAutospacing="0" w:after="0" w:afterAutospacing="0"/>
              <w:ind w:left="0" w:leftChars="0" w:right="0" w:rightChars="0" w:firstLine="0" w:firstLineChars="0"/>
              <w:rPr>
                <w:rFonts w:hint="eastAsia" w:hAnsiTheme="minorEastAsia" w:eastAsiaTheme="minorEastAsia"/>
                <w:bCs/>
                <w:kern w:val="0"/>
                <w:sz w:val="21"/>
                <w:szCs w:val="21"/>
                <w:highlight w:val="none"/>
                <w:lang w:val="en-US" w:eastAsia="zh-CN"/>
              </w:rPr>
            </w:pPr>
            <w:r>
              <w:rPr>
                <w:rFonts w:hint="eastAsia"/>
                <w:highlight w:val="none"/>
                <w:lang w:val="en-US" w:eastAsia="zh-CN"/>
              </w:rPr>
              <w:t>生产车间</w:t>
            </w:r>
          </w:p>
        </w:tc>
        <w:tc>
          <w:tcPr>
            <w:tcW w:w="3685" w:type="dxa"/>
            <w:shd w:val="clear" w:color="auto" w:fill="auto"/>
            <w:vAlign w:val="center"/>
          </w:tcPr>
          <w:p w14:paraId="5F6A9F7D">
            <w:pPr>
              <w:pStyle w:val="8"/>
              <w:suppressLineNumbers w:val="0"/>
              <w:bidi w:val="0"/>
              <w:spacing w:before="0" w:beforeAutospacing="0" w:after="0" w:afterAutospacing="0"/>
              <w:ind w:left="0" w:leftChars="0" w:right="0" w:rightChars="0" w:firstLine="0" w:firstLineChars="0"/>
              <w:rPr>
                <w:rFonts w:hint="default" w:hAnsiTheme="minorEastAsia" w:eastAsiaTheme="minorEastAsia"/>
                <w:bCs/>
                <w:kern w:val="0"/>
                <w:sz w:val="21"/>
                <w:szCs w:val="21"/>
                <w:highlight w:val="none"/>
              </w:rPr>
            </w:pPr>
            <w:r>
              <w:rPr>
                <w:rFonts w:hint="eastAsia"/>
                <w:highlight w:val="none"/>
                <w:lang w:val="en-US" w:eastAsia="zh-CN"/>
              </w:rPr>
              <w:t>油类物质</w:t>
            </w:r>
          </w:p>
        </w:tc>
        <w:tc>
          <w:tcPr>
            <w:tcW w:w="1569" w:type="dxa"/>
            <w:vAlign w:val="center"/>
          </w:tcPr>
          <w:p w14:paraId="4F29E468">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eastAsia"/>
                <w:highlight w:val="none"/>
                <w:lang w:val="en-US" w:eastAsia="zh-CN"/>
              </w:rPr>
              <w:t>地下水和土壤环境</w:t>
            </w:r>
          </w:p>
        </w:tc>
      </w:tr>
      <w:tr w14:paraId="4A225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Align w:val="center"/>
          </w:tcPr>
          <w:p w14:paraId="4D5B2AEE">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c>
          <w:tcPr>
            <w:tcW w:w="851" w:type="dxa"/>
            <w:vAlign w:val="center"/>
          </w:tcPr>
          <w:p w14:paraId="12BD9F2C">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eastAsia"/>
                <w:highlight w:val="none"/>
                <w:lang w:val="en-US" w:eastAsia="zh-CN"/>
              </w:rPr>
              <w:t>地下水</w:t>
            </w:r>
          </w:p>
        </w:tc>
        <w:tc>
          <w:tcPr>
            <w:tcW w:w="1660" w:type="dxa"/>
            <w:shd w:val="clear" w:color="auto" w:fill="auto"/>
            <w:vAlign w:val="center"/>
          </w:tcPr>
          <w:p w14:paraId="74294195">
            <w:pPr>
              <w:pStyle w:val="8"/>
              <w:suppressLineNumbers w:val="0"/>
              <w:bidi w:val="0"/>
              <w:spacing w:before="0" w:beforeAutospacing="0" w:after="0" w:afterAutospacing="0"/>
              <w:ind w:left="0" w:leftChars="0" w:right="0" w:rightChars="0" w:firstLine="0" w:firstLineChars="0"/>
              <w:rPr>
                <w:rFonts w:hint="eastAsia" w:hAnsiTheme="minorEastAsia" w:eastAsiaTheme="minorEastAsia"/>
                <w:bCs/>
                <w:kern w:val="0"/>
                <w:sz w:val="21"/>
                <w:szCs w:val="21"/>
                <w:highlight w:val="none"/>
                <w:lang w:val="en-US" w:eastAsia="zh-CN"/>
              </w:rPr>
            </w:pPr>
            <w:r>
              <w:rPr>
                <w:rFonts w:hint="eastAsia"/>
                <w:highlight w:val="none"/>
                <w:lang w:val="en-US" w:eastAsia="zh-CN"/>
              </w:rPr>
              <w:t>生产车间</w:t>
            </w:r>
          </w:p>
        </w:tc>
        <w:tc>
          <w:tcPr>
            <w:tcW w:w="3685" w:type="dxa"/>
            <w:shd w:val="clear" w:color="auto" w:fill="auto"/>
            <w:vAlign w:val="center"/>
          </w:tcPr>
          <w:p w14:paraId="18AD2C6B">
            <w:pPr>
              <w:pStyle w:val="8"/>
              <w:suppressLineNumbers w:val="0"/>
              <w:bidi w:val="0"/>
              <w:spacing w:before="0" w:beforeAutospacing="0" w:after="0" w:afterAutospacing="0"/>
              <w:ind w:left="0" w:leftChars="0" w:right="0" w:rightChars="0" w:firstLine="0" w:firstLineChars="0"/>
              <w:rPr>
                <w:rFonts w:hint="default" w:hAnsiTheme="minorEastAsia" w:eastAsiaTheme="minorEastAsia"/>
                <w:bCs/>
                <w:kern w:val="0"/>
                <w:sz w:val="21"/>
                <w:szCs w:val="21"/>
                <w:highlight w:val="none"/>
              </w:rPr>
            </w:pPr>
            <w:r>
              <w:rPr>
                <w:rFonts w:hint="eastAsia"/>
                <w:highlight w:val="none"/>
                <w:lang w:val="en-US" w:eastAsia="zh-CN"/>
              </w:rPr>
              <w:t>石油类</w:t>
            </w:r>
          </w:p>
        </w:tc>
        <w:tc>
          <w:tcPr>
            <w:tcW w:w="1569" w:type="dxa"/>
            <w:vAlign w:val="center"/>
          </w:tcPr>
          <w:p w14:paraId="3AA8373A">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eastAsia"/>
                <w:highlight w:val="none"/>
                <w:lang w:val="en-US" w:eastAsia="zh-CN"/>
              </w:rPr>
              <w:t>地下水环境</w:t>
            </w:r>
          </w:p>
        </w:tc>
      </w:tr>
      <w:tr w14:paraId="1A86B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75" w:type="dxa"/>
            <w:vAlign w:val="center"/>
          </w:tcPr>
          <w:p w14:paraId="607E2E9D">
            <w:pPr>
              <w:keepNext w:val="0"/>
              <w:keepLines w:val="0"/>
              <w:pageBreakBefore w:val="0"/>
              <w:widowControl w:val="0"/>
              <w:suppressLineNumbers w:val="0"/>
              <w:tabs>
                <w:tab w:val="left" w:pos="6033"/>
                <w:tab w:val="left" w:pos="6271"/>
              </w:tabs>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ottom"/>
              <w:rPr>
                <w:rFonts w:hint="default" w:eastAsiaTheme="minorEastAsia"/>
                <w:spacing w:val="20"/>
                <w:kern w:val="0"/>
                <w:sz w:val="21"/>
                <w:szCs w:val="21"/>
                <w:highlight w:val="none"/>
              </w:rPr>
            </w:pPr>
          </w:p>
        </w:tc>
        <w:tc>
          <w:tcPr>
            <w:tcW w:w="851" w:type="dxa"/>
            <w:vAlign w:val="center"/>
          </w:tcPr>
          <w:p w14:paraId="3E199C39">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eastAsia"/>
                <w:highlight w:val="none"/>
                <w:lang w:val="en-US" w:eastAsia="zh-CN"/>
              </w:rPr>
              <w:t>土壤</w:t>
            </w:r>
          </w:p>
        </w:tc>
        <w:tc>
          <w:tcPr>
            <w:tcW w:w="1660" w:type="dxa"/>
            <w:shd w:val="clear" w:color="auto" w:fill="auto"/>
            <w:vAlign w:val="center"/>
          </w:tcPr>
          <w:p w14:paraId="638C7861">
            <w:pPr>
              <w:pStyle w:val="8"/>
              <w:suppressLineNumbers w:val="0"/>
              <w:bidi w:val="0"/>
              <w:spacing w:before="0" w:beforeAutospacing="0" w:after="0" w:afterAutospacing="0"/>
              <w:ind w:left="0" w:leftChars="0" w:right="0" w:rightChars="0" w:firstLine="0" w:firstLineChars="0"/>
              <w:rPr>
                <w:rFonts w:hint="eastAsia" w:hAnsiTheme="minorEastAsia" w:eastAsiaTheme="minorEastAsia"/>
                <w:bCs/>
                <w:kern w:val="0"/>
                <w:sz w:val="21"/>
                <w:szCs w:val="21"/>
                <w:highlight w:val="none"/>
                <w:lang w:val="en-US" w:eastAsia="zh-CN"/>
              </w:rPr>
            </w:pPr>
            <w:r>
              <w:rPr>
                <w:rFonts w:hint="eastAsia"/>
                <w:highlight w:val="none"/>
                <w:lang w:val="en-US" w:eastAsia="zh-CN"/>
              </w:rPr>
              <w:t>生产车间</w:t>
            </w:r>
          </w:p>
        </w:tc>
        <w:tc>
          <w:tcPr>
            <w:tcW w:w="3685" w:type="dxa"/>
            <w:shd w:val="clear" w:color="auto" w:fill="auto"/>
            <w:vAlign w:val="center"/>
          </w:tcPr>
          <w:p w14:paraId="2C531940">
            <w:pPr>
              <w:pStyle w:val="8"/>
              <w:suppressLineNumbers w:val="0"/>
              <w:bidi w:val="0"/>
              <w:spacing w:before="0" w:beforeAutospacing="0" w:after="0" w:afterAutospacing="0"/>
              <w:ind w:left="0" w:leftChars="0" w:right="0" w:rightChars="0" w:firstLine="0" w:firstLineChars="0"/>
              <w:rPr>
                <w:rFonts w:hint="default" w:hAnsiTheme="minorEastAsia" w:eastAsiaTheme="minorEastAsia"/>
                <w:bCs/>
                <w:kern w:val="0"/>
                <w:sz w:val="21"/>
                <w:szCs w:val="21"/>
                <w:highlight w:val="none"/>
              </w:rPr>
            </w:pPr>
            <w:r>
              <w:rPr>
                <w:rFonts w:hint="eastAsia"/>
                <w:highlight w:val="none"/>
                <w:lang w:val="en-US" w:eastAsia="zh-CN"/>
              </w:rPr>
              <w:t>石油烃</w:t>
            </w:r>
          </w:p>
        </w:tc>
        <w:tc>
          <w:tcPr>
            <w:tcW w:w="1569" w:type="dxa"/>
            <w:vAlign w:val="center"/>
          </w:tcPr>
          <w:p w14:paraId="3E8E2176">
            <w:pPr>
              <w:pStyle w:val="8"/>
              <w:suppressLineNumbers w:val="0"/>
              <w:bidi w:val="0"/>
              <w:spacing w:before="0" w:beforeAutospacing="0" w:after="0" w:afterAutospacing="0"/>
              <w:ind w:left="0" w:leftChars="0" w:right="0" w:rightChars="0" w:firstLine="0" w:firstLineChars="0"/>
              <w:rPr>
                <w:rFonts w:hint="default" w:hAnsiTheme="minorEastAsia" w:eastAsiaTheme="minorEastAsia"/>
                <w:spacing w:val="20"/>
                <w:kern w:val="0"/>
                <w:sz w:val="21"/>
                <w:szCs w:val="21"/>
                <w:highlight w:val="none"/>
              </w:rPr>
            </w:pPr>
            <w:r>
              <w:rPr>
                <w:rFonts w:hint="eastAsia"/>
                <w:highlight w:val="none"/>
                <w:lang w:val="en-US" w:eastAsia="zh-CN"/>
              </w:rPr>
              <w:t>土壤环境</w:t>
            </w:r>
          </w:p>
        </w:tc>
      </w:tr>
    </w:tbl>
    <w:p w14:paraId="1BA986AF">
      <w:pPr>
        <w:pStyle w:val="5"/>
        <w:bidi w:val="0"/>
        <w:rPr>
          <w:highlight w:val="none"/>
        </w:rPr>
      </w:pPr>
      <w:bookmarkStart w:id="242" w:name="_Toc12180"/>
      <w:bookmarkStart w:id="243" w:name="_Toc19511"/>
      <w:r>
        <w:rPr>
          <w:highlight w:val="none"/>
        </w:rPr>
        <w:t>3.</w:t>
      </w:r>
      <w:r>
        <w:rPr>
          <w:rFonts w:hint="eastAsia"/>
          <w:highlight w:val="none"/>
          <w:lang w:val="en-US" w:eastAsia="zh-CN"/>
        </w:rPr>
        <w:t>2</w:t>
      </w:r>
      <w:r>
        <w:rPr>
          <w:highlight w:val="none"/>
        </w:rPr>
        <w:t>.</w:t>
      </w:r>
      <w:r>
        <w:rPr>
          <w:rFonts w:hint="eastAsia"/>
          <w:highlight w:val="none"/>
        </w:rPr>
        <w:t>2</w:t>
      </w:r>
      <w:r>
        <w:rPr>
          <w:highlight w:val="none"/>
        </w:rPr>
        <w:t>施工期环境影响因素分析</w:t>
      </w:r>
      <w:bookmarkEnd w:id="242"/>
      <w:bookmarkEnd w:id="243"/>
    </w:p>
    <w:p w14:paraId="75F4D2AB">
      <w:pPr>
        <w:bidi w:val="0"/>
        <w:rPr>
          <w:rFonts w:hint="default"/>
          <w:lang w:val="en-US"/>
        </w:rPr>
      </w:pPr>
      <w:r>
        <w:rPr>
          <w:rFonts w:hint="eastAsia"/>
          <w:lang w:eastAsia="zh-CN"/>
        </w:rPr>
        <w:t>（</w:t>
      </w:r>
      <w:r>
        <w:rPr>
          <w:rFonts w:hint="eastAsia"/>
          <w:lang w:val="en-US" w:eastAsia="zh-CN"/>
        </w:rPr>
        <w:t>1</w:t>
      </w:r>
      <w:r>
        <w:rPr>
          <w:rFonts w:hint="eastAsia"/>
          <w:lang w:eastAsia="zh-CN"/>
        </w:rPr>
        <w:t>）</w:t>
      </w:r>
      <w:r>
        <w:rPr>
          <w:lang w:eastAsia="zh-CN"/>
        </w:rPr>
        <w:t>施工期</w:t>
      </w:r>
      <w:r>
        <w:rPr>
          <w:rFonts w:hint="eastAsia"/>
          <w:lang w:val="en-US" w:eastAsia="zh-CN"/>
        </w:rPr>
        <w:t>废气</w:t>
      </w:r>
      <w:r>
        <w:rPr>
          <w:lang w:eastAsia="zh-CN"/>
        </w:rPr>
        <w:t>环境影响因素分析</w:t>
      </w:r>
    </w:p>
    <w:p w14:paraId="16122C03">
      <w:pPr>
        <w:bidi w:val="0"/>
      </w:pPr>
      <w:r>
        <w:rPr>
          <w:rFonts w:hint="eastAsia"/>
          <w:lang w:val="en-US" w:eastAsia="zh-CN"/>
        </w:rPr>
        <w:t>本项目在施工时土方开挖、堆放、回填，施工建筑材料的装卸、运输、堆放和运输车辆行驶时会产生扬尘，其中最主要的影响来自施工现场的施工扬尘。</w:t>
      </w:r>
    </w:p>
    <w:p w14:paraId="38D5CEA6">
      <w:pPr>
        <w:bidi w:val="0"/>
      </w:pPr>
      <w:r>
        <w:rPr>
          <w:rFonts w:hint="eastAsia"/>
          <w:lang w:eastAsia="zh-CN"/>
        </w:rPr>
        <w:t>（</w:t>
      </w:r>
      <w:r>
        <w:rPr>
          <w:rFonts w:hint="eastAsia"/>
          <w:lang w:val="en-US" w:eastAsia="zh-CN"/>
        </w:rPr>
        <w:t>2</w:t>
      </w:r>
      <w:r>
        <w:rPr>
          <w:rFonts w:hint="eastAsia"/>
          <w:lang w:eastAsia="zh-CN"/>
        </w:rPr>
        <w:t>）</w:t>
      </w:r>
      <w:r>
        <w:t>施工期水环境影响因素分析</w:t>
      </w:r>
    </w:p>
    <w:p w14:paraId="0E03795D">
      <w:pPr>
        <w:bidi w:val="0"/>
        <w:rPr>
          <w:lang w:val="zh-CN"/>
        </w:rPr>
      </w:pPr>
      <w:r>
        <w:t>项目施工期间产生生活污水，施工人员生活污水主要污染物</w:t>
      </w:r>
      <w:r>
        <w:rPr>
          <w:lang w:val="zh-CN"/>
        </w:rPr>
        <w:t>为COD、氨氮、pH、SS、BOD</w:t>
      </w:r>
      <w:r>
        <w:rPr>
          <w:vertAlign w:val="subscript"/>
          <w:lang w:val="zh-CN"/>
        </w:rPr>
        <w:t>5</w:t>
      </w:r>
      <w:r>
        <w:rPr>
          <w:lang w:val="zh-CN"/>
        </w:rPr>
        <w:t>，生活污水</w:t>
      </w:r>
      <w:r>
        <w:t>依托</w:t>
      </w:r>
      <w:r>
        <w:rPr>
          <w:rFonts w:hint="eastAsia"/>
          <w:lang w:val="en-US" w:eastAsia="zh-CN"/>
        </w:rPr>
        <w:t>现有</w:t>
      </w:r>
      <w:r>
        <w:t>排水系统，生活污水经市政管网进入</w:t>
      </w:r>
      <w:r>
        <w:rPr>
          <w:rFonts w:hint="eastAsia"/>
          <w:lang w:val="en-US" w:eastAsia="zh-CN"/>
        </w:rPr>
        <w:t>哈尔滨市朝阳水质净化厂</w:t>
      </w:r>
      <w:r>
        <w:t>，处理达标后排入</w:t>
      </w:r>
      <w:r>
        <w:rPr>
          <w:rFonts w:hint="eastAsia"/>
          <w:lang w:val="en-US" w:eastAsia="zh-CN"/>
        </w:rPr>
        <w:t>马家沟</w:t>
      </w:r>
      <w:r>
        <w:t>，最终汇入松花江。</w:t>
      </w:r>
    </w:p>
    <w:p w14:paraId="459EE51F">
      <w:pPr>
        <w:bidi w:val="0"/>
      </w:pPr>
      <w:r>
        <w:rPr>
          <w:rFonts w:hint="eastAsia"/>
          <w:lang w:eastAsia="zh-CN"/>
        </w:rPr>
        <w:t>（</w:t>
      </w:r>
      <w:r>
        <w:rPr>
          <w:rFonts w:hint="eastAsia"/>
          <w:lang w:val="en-US" w:eastAsia="zh-CN"/>
        </w:rPr>
        <w:t>3</w:t>
      </w:r>
      <w:r>
        <w:rPr>
          <w:rFonts w:hint="eastAsia"/>
          <w:lang w:eastAsia="zh-CN"/>
        </w:rPr>
        <w:t>）</w:t>
      </w:r>
      <w:r>
        <w:t>施工期噪声影响因素分析</w:t>
      </w:r>
    </w:p>
    <w:p w14:paraId="389A0135">
      <w:pPr>
        <w:bidi w:val="0"/>
        <w:rPr>
          <w:rFonts w:hint="default"/>
          <w:lang w:val="en-US"/>
        </w:rPr>
      </w:pPr>
      <w:r>
        <w:rPr>
          <w:rFonts w:hint="eastAsia"/>
          <w:lang w:val="en-US" w:eastAsia="zh-CN"/>
        </w:rPr>
        <w:t>施工期的噪声主要为机械噪声和运输噪声。机械噪声主要由施工机械所造成。</w:t>
      </w:r>
    </w:p>
    <w:p w14:paraId="3066BA4D">
      <w:pPr>
        <w:bidi w:val="0"/>
      </w:pPr>
      <w:r>
        <w:rPr>
          <w:rFonts w:hint="eastAsia"/>
          <w:lang w:eastAsia="zh-CN"/>
        </w:rPr>
        <w:t>（</w:t>
      </w:r>
      <w:r>
        <w:rPr>
          <w:rFonts w:hint="eastAsia"/>
          <w:lang w:val="en-US" w:eastAsia="zh-CN"/>
        </w:rPr>
        <w:t>4</w:t>
      </w:r>
      <w:r>
        <w:rPr>
          <w:rFonts w:hint="eastAsia"/>
          <w:lang w:eastAsia="zh-CN"/>
        </w:rPr>
        <w:t>）</w:t>
      </w:r>
      <w:r>
        <w:t>施工期固体废物影响因素分析</w:t>
      </w:r>
    </w:p>
    <w:p w14:paraId="4E9D743B">
      <w:pPr>
        <w:bidi w:val="0"/>
      </w:pPr>
      <w:r>
        <w:t>施工期产生的固体废弃物主要是建筑垃圾及施工人员生活垃圾。建筑垃圾主要为包装物以及建筑碎片等建筑废弃物。</w:t>
      </w:r>
    </w:p>
    <w:p w14:paraId="64CD8B65">
      <w:pPr>
        <w:pStyle w:val="5"/>
        <w:bidi w:val="0"/>
        <w:rPr>
          <w:highlight w:val="none"/>
        </w:rPr>
      </w:pPr>
      <w:bookmarkStart w:id="244" w:name="_Toc14542"/>
      <w:bookmarkStart w:id="245" w:name="_Toc13235"/>
      <w:r>
        <w:rPr>
          <w:highlight w:val="none"/>
        </w:rPr>
        <w:t>3.</w:t>
      </w:r>
      <w:r>
        <w:rPr>
          <w:rFonts w:hint="eastAsia"/>
          <w:highlight w:val="none"/>
          <w:lang w:val="en-US" w:eastAsia="zh-CN"/>
        </w:rPr>
        <w:t>2</w:t>
      </w:r>
      <w:r>
        <w:rPr>
          <w:highlight w:val="none"/>
        </w:rPr>
        <w:t>.</w:t>
      </w:r>
      <w:r>
        <w:rPr>
          <w:rFonts w:hint="eastAsia"/>
          <w:highlight w:val="none"/>
        </w:rPr>
        <w:t>3</w:t>
      </w:r>
      <w:r>
        <w:rPr>
          <w:highlight w:val="none"/>
        </w:rPr>
        <w:t>营运期环境影响因素分析</w:t>
      </w:r>
      <w:bookmarkEnd w:id="244"/>
      <w:bookmarkEnd w:id="245"/>
    </w:p>
    <w:p w14:paraId="0DE79E5A">
      <w:pPr>
        <w:pStyle w:val="6"/>
        <w:bidi w:val="0"/>
      </w:pPr>
      <w:r>
        <w:t>3.</w:t>
      </w:r>
      <w:r>
        <w:rPr>
          <w:rFonts w:hint="eastAsia"/>
          <w:lang w:val="en-US" w:eastAsia="zh-CN"/>
        </w:rPr>
        <w:t>2</w:t>
      </w:r>
      <w:r>
        <w:t>.</w:t>
      </w:r>
      <w:r>
        <w:rPr>
          <w:rFonts w:hint="eastAsia"/>
        </w:rPr>
        <w:t>3</w:t>
      </w:r>
      <w:r>
        <w:t>.1工艺流程及产污环节分析</w:t>
      </w:r>
    </w:p>
    <w:p w14:paraId="48184A1F">
      <w:pPr>
        <w:bidi w:val="0"/>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本项目主要</w:t>
      </w:r>
      <w:r>
        <w:rPr>
          <w:rFonts w:hint="eastAsia" w:ascii="Times New Roman" w:hAnsi="Times New Roman" w:eastAsia="宋体" w:cs="Times New Roman"/>
          <w:lang w:val="en-US" w:eastAsia="zh-CN"/>
        </w:rPr>
        <w:t>含油金属屑处理生产线一条、锂电池回收储存</w:t>
      </w:r>
      <w:r>
        <w:rPr>
          <w:rFonts w:hint="eastAsia" w:ascii="Times New Roman" w:hAnsi="Times New Roman" w:eastAsia="宋体" w:cs="Times New Roman"/>
          <w:lang w:eastAsia="zh-CN"/>
        </w:rPr>
        <w:t>。本项目具体生产工艺总流程见下图。</w:t>
      </w:r>
    </w:p>
    <w:p w14:paraId="3B64AE50">
      <w:pPr>
        <w:bidi w:val="0"/>
        <w:rPr>
          <w:rFonts w:hint="eastAsia" w:ascii="Times New Roman" w:hAnsi="Times New Roman" w:eastAsia="宋体" w:cs="Times New Roman"/>
          <w:lang w:eastAsia="zh-CN"/>
        </w:rPr>
      </w:pPr>
    </w:p>
    <w:p w14:paraId="00A4A162">
      <w:pPr>
        <w:pStyle w:val="8"/>
        <w:bidi w:val="0"/>
        <w:rPr>
          <w:rFonts w:hint="default"/>
          <w:sz w:val="21"/>
          <w:szCs w:val="21"/>
          <w:highlight w:val="none"/>
          <w:lang w:val="en-US" w:eastAsia="zh-CN"/>
        </w:rPr>
      </w:pPr>
      <w:r>
        <w:rPr>
          <w:sz w:val="21"/>
          <w:highlight w:val="none"/>
        </w:rPr>
        <mc:AlternateContent>
          <mc:Choice Requires="wps">
            <w:drawing>
              <wp:anchor distT="0" distB="0" distL="114300" distR="114300" simplePos="0" relativeHeight="251668480" behindDoc="0" locked="0" layoutInCell="1" allowOverlap="1">
                <wp:simplePos x="0" y="0"/>
                <wp:positionH relativeFrom="column">
                  <wp:posOffset>4230370</wp:posOffset>
                </wp:positionH>
                <wp:positionV relativeFrom="paragraph">
                  <wp:posOffset>936625</wp:posOffset>
                </wp:positionV>
                <wp:extent cx="539750" cy="412750"/>
                <wp:effectExtent l="5080" t="0" r="58420" b="12700"/>
                <wp:wrapNone/>
                <wp:docPr id="321" name="自选图形 366"/>
                <wp:cNvGraphicFramePr/>
                <a:graphic xmlns:a="http://schemas.openxmlformats.org/drawingml/2006/main">
                  <a:graphicData uri="http://schemas.microsoft.com/office/word/2010/wordprocessingShape">
                    <wps:wsp>
                      <wps:cNvCnPr/>
                      <wps:spPr>
                        <a:xfrm rot="-5400000">
                          <a:off x="0" y="0"/>
                          <a:ext cx="539750" cy="412750"/>
                        </a:xfrm>
                        <a:prstGeom prst="bentConnector3">
                          <a:avLst>
                            <a:gd name="adj1" fmla="val -1171"/>
                          </a:avLst>
                        </a:prstGeom>
                        <a:ln w="9525" cap="flat" cmpd="sng">
                          <a:solidFill>
                            <a:srgbClr val="000000"/>
                          </a:solidFill>
                          <a:prstDash val="dash"/>
                          <a:miter/>
                          <a:headEnd type="none" w="med" len="med"/>
                          <a:tailEnd type="arrow" w="med" len="med"/>
                        </a:ln>
                      </wps:spPr>
                      <wps:bodyPr/>
                    </wps:wsp>
                  </a:graphicData>
                </a:graphic>
              </wp:anchor>
            </w:drawing>
          </mc:Choice>
          <mc:Fallback>
            <w:pict>
              <v:shape id="自选图形 366" o:spid="_x0000_s1026" o:spt="34" type="#_x0000_t34" style="position:absolute;left:0pt;margin-left:333.1pt;margin-top:73.75pt;height:32.5pt;width:42.5pt;rotation:-5898240f;z-index:251668480;mso-width-relative:page;mso-height-relative:page;" filled="f" stroked="t" coordsize="21600,21600" o:gfxdata="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5deyV2QAAAAsBAAAPAAAAAAAAAAEAIAAAACIAAABkcnMvZG93bnJldi54bWxQSwECFAAUAAAA&#10;CACHTuJAft0LXSYCAAAtBAAADgAAAAAAAAABACAAAAAoAQAAZHJzL2Uyb0RvYy54bWxQSwUGAAAA&#10;AAYABgBZAQAAwAUAAAAA&#10;" adj="-253">
                <v:fill on="f" focussize="0,0"/>
                <v:stroke color="#000000" joinstyle="miter" dashstyle="dash" endarrow="open"/>
                <v:imagedata o:title=""/>
                <o:lock v:ext="edit" aspectratio="f"/>
              </v:shape>
            </w:pict>
          </mc:Fallback>
        </mc:AlternateContent>
      </w:r>
      <w:r>
        <w:rPr>
          <w:sz w:val="21"/>
          <w:szCs w:val="21"/>
          <w:highlight w:val="none"/>
        </w:rPr>
        <mc:AlternateContent>
          <mc:Choice Requires="wpc">
            <w:drawing>
              <wp:inline distT="0" distB="0" distL="114300" distR="114300">
                <wp:extent cx="5269865" cy="3375025"/>
                <wp:effectExtent l="5080" t="4445" r="20955" b="11430"/>
                <wp:docPr id="303" name="画布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267" name="矩形 177"/>
                        <wps:cNvSpPr/>
                        <wps:spPr>
                          <a:xfrm>
                            <a:off x="1767840" y="59055"/>
                            <a:ext cx="1031240" cy="269240"/>
                          </a:xfrm>
                          <a:prstGeom prst="rect">
                            <a:avLst/>
                          </a:prstGeom>
                          <a:solidFill>
                            <a:srgbClr val="FFFFFF"/>
                          </a:solidFill>
                          <a:ln w="9525" cap="flat" cmpd="sng">
                            <a:noFill/>
                            <a:prstDash val="solid"/>
                            <a:miter/>
                            <a:headEnd type="none" w="med" len="med"/>
                            <a:tailEnd type="none" w="med" len="med"/>
                          </a:ln>
                        </wps:spPr>
                        <wps:txbx>
                          <w:txbxContent>
                            <w:p w14:paraId="75375258">
                              <w:pPr>
                                <w:pStyle w:val="8"/>
                                <w:bidi w:val="0"/>
                                <w:rPr>
                                  <w:rFonts w:hint="default"/>
                                  <w:lang w:val="en-US" w:eastAsia="zh-CN"/>
                                </w:rPr>
                              </w:pPr>
                              <w:r>
                                <w:rPr>
                                  <w:rFonts w:hint="eastAsia"/>
                                  <w:lang w:val="en-US" w:eastAsia="zh-CN"/>
                                </w:rPr>
                                <w:t>含油金属屑</w:t>
                              </w:r>
                            </w:p>
                          </w:txbxContent>
                        </wps:txbx>
                        <wps:bodyPr upright="1"/>
                      </wps:wsp>
                      <wps:wsp>
                        <wps:cNvPr id="268" name="自选图形 178"/>
                        <wps:cNvCnPr/>
                        <wps:spPr>
                          <a:xfrm>
                            <a:off x="2324735" y="347346"/>
                            <a:ext cx="3810" cy="251459"/>
                          </a:xfrm>
                          <a:prstGeom prst="straightConnector1">
                            <a:avLst/>
                          </a:prstGeom>
                          <a:ln w="9525" cap="flat" cmpd="sng">
                            <a:solidFill>
                              <a:srgbClr val="000000"/>
                            </a:solidFill>
                            <a:prstDash val="solid"/>
                            <a:headEnd type="none" w="med" len="med"/>
                            <a:tailEnd type="arrow" w="med" len="med"/>
                          </a:ln>
                        </wps:spPr>
                        <wps:bodyPr/>
                      </wps:wsp>
                      <wps:wsp>
                        <wps:cNvPr id="269" name="矩形 179"/>
                        <wps:cNvSpPr/>
                        <wps:spPr>
                          <a:xfrm>
                            <a:off x="1792605" y="596900"/>
                            <a:ext cx="1026796" cy="260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325D0A">
                              <w:pPr>
                                <w:pStyle w:val="8"/>
                                <w:bidi w:val="0"/>
                                <w:rPr>
                                  <w:rFonts w:hint="default"/>
                                  <w:lang w:val="en-US" w:eastAsia="zh-CN"/>
                                </w:rPr>
                              </w:pPr>
                              <w:r>
                                <w:rPr>
                                  <w:rFonts w:hint="eastAsia"/>
                                  <w:lang w:val="en-US" w:eastAsia="zh-CN"/>
                                </w:rPr>
                                <w:t>原料贮存区</w:t>
                              </w:r>
                            </w:p>
                          </w:txbxContent>
                        </wps:txbx>
                        <wps:bodyPr upright="1"/>
                      </wps:wsp>
                      <wps:wsp>
                        <wps:cNvPr id="270" name="自选图形 180"/>
                        <wps:cNvCnPr/>
                        <wps:spPr>
                          <a:xfrm>
                            <a:off x="2341880" y="848360"/>
                            <a:ext cx="0" cy="246381"/>
                          </a:xfrm>
                          <a:prstGeom prst="straightConnector1">
                            <a:avLst/>
                          </a:prstGeom>
                          <a:ln w="9525" cap="flat" cmpd="sng">
                            <a:solidFill>
                              <a:srgbClr val="000000"/>
                            </a:solidFill>
                            <a:prstDash val="solid"/>
                            <a:headEnd type="none" w="med" len="med"/>
                            <a:tailEnd type="arrow" w="med" len="med"/>
                          </a:ln>
                        </wps:spPr>
                        <wps:bodyPr/>
                      </wps:wsp>
                      <wps:wsp>
                        <wps:cNvPr id="271" name="矩形 181"/>
                        <wps:cNvSpPr/>
                        <wps:spPr>
                          <a:xfrm>
                            <a:off x="1792605" y="1108076"/>
                            <a:ext cx="1026796" cy="260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83D39E">
                              <w:pPr>
                                <w:pStyle w:val="8"/>
                                <w:bidi w:val="0"/>
                                <w:rPr>
                                  <w:rFonts w:hint="default"/>
                                  <w:lang w:val="en-US" w:eastAsia="zh-CN"/>
                                </w:rPr>
                              </w:pPr>
                              <w:r>
                                <w:rPr>
                                  <w:rFonts w:hint="eastAsia"/>
                                  <w:lang w:val="en-US" w:eastAsia="zh-CN"/>
                                </w:rPr>
                                <w:t>上料</w:t>
                              </w:r>
                            </w:p>
                          </w:txbxContent>
                        </wps:txbx>
                        <wps:bodyPr upright="1"/>
                      </wps:wsp>
                      <wps:wsp>
                        <wps:cNvPr id="272" name="自选图形 182"/>
                        <wps:cNvCnPr/>
                        <wps:spPr>
                          <a:xfrm>
                            <a:off x="2348230" y="1386840"/>
                            <a:ext cx="0" cy="246380"/>
                          </a:xfrm>
                          <a:prstGeom prst="straightConnector1">
                            <a:avLst/>
                          </a:prstGeom>
                          <a:ln w="9525" cap="flat" cmpd="sng">
                            <a:solidFill>
                              <a:srgbClr val="000000"/>
                            </a:solidFill>
                            <a:prstDash val="solid"/>
                            <a:headEnd type="none" w="med" len="med"/>
                            <a:tailEnd type="arrow" w="med" len="med"/>
                          </a:ln>
                        </wps:spPr>
                        <wps:bodyPr/>
                      </wps:wsp>
                      <wps:wsp>
                        <wps:cNvPr id="273" name="矩形 183"/>
                        <wps:cNvSpPr/>
                        <wps:spPr>
                          <a:xfrm>
                            <a:off x="1790065" y="1620521"/>
                            <a:ext cx="1026160" cy="266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257CB">
                              <w:pPr>
                                <w:pStyle w:val="8"/>
                                <w:bidi w:val="0"/>
                                <w:rPr>
                                  <w:rFonts w:hint="default"/>
                                  <w:lang w:val="en-US" w:eastAsia="zh-CN"/>
                                </w:rPr>
                              </w:pPr>
                              <w:r>
                                <w:rPr>
                                  <w:rFonts w:hint="eastAsia"/>
                                  <w:lang w:val="en-US" w:eastAsia="zh-CN"/>
                                </w:rPr>
                                <w:t>破碎</w:t>
                              </w:r>
                            </w:p>
                          </w:txbxContent>
                        </wps:txbx>
                        <wps:bodyPr upright="1"/>
                      </wps:wsp>
                      <wps:wsp>
                        <wps:cNvPr id="274" name="自选图形 184"/>
                        <wps:cNvCnPr/>
                        <wps:spPr>
                          <a:xfrm>
                            <a:off x="2351405" y="1897380"/>
                            <a:ext cx="0" cy="247015"/>
                          </a:xfrm>
                          <a:prstGeom prst="straightConnector1">
                            <a:avLst/>
                          </a:prstGeom>
                          <a:ln w="9525" cap="flat" cmpd="sng">
                            <a:solidFill>
                              <a:srgbClr val="000000"/>
                            </a:solidFill>
                            <a:prstDash val="solid"/>
                            <a:headEnd type="none" w="med" len="med"/>
                            <a:tailEnd type="arrow" w="med" len="med"/>
                          </a:ln>
                        </wps:spPr>
                        <wps:bodyPr/>
                      </wps:wsp>
                      <wps:wsp>
                        <wps:cNvPr id="275" name="矩形 185"/>
                        <wps:cNvSpPr/>
                        <wps:spPr>
                          <a:xfrm>
                            <a:off x="1794510" y="2645411"/>
                            <a:ext cx="1026160" cy="2603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576704">
                              <w:pPr>
                                <w:pStyle w:val="8"/>
                                <w:bidi w:val="0"/>
                                <w:rPr>
                                  <w:rFonts w:hint="default"/>
                                  <w:lang w:val="en-US" w:eastAsia="zh-CN"/>
                                </w:rPr>
                              </w:pPr>
                              <w:r>
                                <w:rPr>
                                  <w:rFonts w:hint="eastAsia"/>
                                  <w:lang w:val="en-US" w:eastAsia="zh-CN"/>
                                </w:rPr>
                                <w:t>成品贮存区</w:t>
                              </w:r>
                            </w:p>
                          </w:txbxContent>
                        </wps:txbx>
                        <wps:bodyPr upright="1"/>
                      </wps:wsp>
                      <wps:wsp>
                        <wps:cNvPr id="276" name="自选图形 186"/>
                        <wps:cNvCnPr/>
                        <wps:spPr>
                          <a:xfrm flipH="1">
                            <a:off x="2345690" y="2400935"/>
                            <a:ext cx="3810" cy="234951"/>
                          </a:xfrm>
                          <a:prstGeom prst="straightConnector1">
                            <a:avLst/>
                          </a:prstGeom>
                          <a:ln w="9525" cap="flat" cmpd="sng">
                            <a:solidFill>
                              <a:srgbClr val="000000"/>
                            </a:solidFill>
                            <a:prstDash val="solid"/>
                            <a:headEnd type="none" w="med" len="med"/>
                            <a:tailEnd type="arrow" w="med" len="med"/>
                          </a:ln>
                        </wps:spPr>
                        <wps:bodyPr/>
                      </wps:wsp>
                      <wps:wsp>
                        <wps:cNvPr id="277" name="自选图形 206"/>
                        <wps:cNvCnPr/>
                        <wps:spPr>
                          <a:xfrm flipH="1">
                            <a:off x="1553845" y="1259206"/>
                            <a:ext cx="227965" cy="0"/>
                          </a:xfrm>
                          <a:prstGeom prst="straightConnector1">
                            <a:avLst/>
                          </a:prstGeom>
                          <a:ln w="9525" cap="flat" cmpd="sng">
                            <a:solidFill>
                              <a:srgbClr val="000000"/>
                            </a:solidFill>
                            <a:prstDash val="solid"/>
                            <a:headEnd type="none" w="med" len="med"/>
                            <a:tailEnd type="arrow" w="med" len="med"/>
                          </a:ln>
                        </wps:spPr>
                        <wps:bodyPr/>
                      </wps:wsp>
                      <wps:wsp>
                        <wps:cNvPr id="278" name="矩形 207"/>
                        <wps:cNvSpPr/>
                        <wps:spPr>
                          <a:xfrm>
                            <a:off x="1033145" y="619760"/>
                            <a:ext cx="590550" cy="273049"/>
                          </a:xfrm>
                          <a:prstGeom prst="rect">
                            <a:avLst/>
                          </a:prstGeom>
                          <a:noFill/>
                          <a:ln>
                            <a:noFill/>
                          </a:ln>
                        </wps:spPr>
                        <wps:txbx>
                          <w:txbxContent>
                            <w:p w14:paraId="1417A4BC">
                              <w:pPr>
                                <w:pStyle w:val="8"/>
                                <w:bidi w:val="0"/>
                                <w:rPr>
                                  <w:rFonts w:hint="default"/>
                                  <w:lang w:val="en-US" w:eastAsia="zh-CN"/>
                                </w:rPr>
                              </w:pPr>
                              <w:r>
                                <w:rPr>
                                  <w:rFonts w:hint="eastAsia"/>
                                  <w:lang w:val="en-US" w:eastAsia="zh-CN"/>
                                </w:rPr>
                                <w:t>N、G3</w:t>
                              </w:r>
                            </w:p>
                          </w:txbxContent>
                        </wps:txbx>
                        <wps:bodyPr upright="1"/>
                      </wps:wsp>
                      <wps:wsp>
                        <wps:cNvPr id="279" name="自选图形 211"/>
                        <wps:cNvCnPr/>
                        <wps:spPr>
                          <a:xfrm flipH="1">
                            <a:off x="1562100" y="727710"/>
                            <a:ext cx="215900" cy="0"/>
                          </a:xfrm>
                          <a:prstGeom prst="straightConnector1">
                            <a:avLst/>
                          </a:prstGeom>
                          <a:ln w="9525" cap="flat" cmpd="sng">
                            <a:solidFill>
                              <a:srgbClr val="000000"/>
                            </a:solidFill>
                            <a:prstDash val="solid"/>
                            <a:headEnd type="none" w="med" len="med"/>
                            <a:tailEnd type="arrow" w="med" len="med"/>
                          </a:ln>
                        </wps:spPr>
                        <wps:bodyPr/>
                      </wps:wsp>
                      <wps:wsp>
                        <wps:cNvPr id="280" name="自选图形 216"/>
                        <wps:cNvCnPr/>
                        <wps:spPr>
                          <a:xfrm flipH="1">
                            <a:off x="1562100" y="1775461"/>
                            <a:ext cx="215900" cy="0"/>
                          </a:xfrm>
                          <a:prstGeom prst="straightConnector1">
                            <a:avLst/>
                          </a:prstGeom>
                          <a:ln w="9525" cap="flat" cmpd="sng">
                            <a:solidFill>
                              <a:srgbClr val="000000"/>
                            </a:solidFill>
                            <a:prstDash val="solid"/>
                            <a:headEnd type="none" w="med" len="med"/>
                            <a:tailEnd type="arrow" w="med" len="med"/>
                          </a:ln>
                        </wps:spPr>
                        <wps:bodyPr/>
                      </wps:wsp>
                      <wps:wsp>
                        <wps:cNvPr id="281" name="自选图形 220"/>
                        <wps:cNvCnPr/>
                        <wps:spPr>
                          <a:xfrm flipH="1">
                            <a:off x="1581150" y="2301876"/>
                            <a:ext cx="215899" cy="0"/>
                          </a:xfrm>
                          <a:prstGeom prst="straightConnector1">
                            <a:avLst/>
                          </a:prstGeom>
                          <a:ln w="9525" cap="flat" cmpd="sng">
                            <a:solidFill>
                              <a:srgbClr val="000000"/>
                            </a:solidFill>
                            <a:prstDash val="solid"/>
                            <a:headEnd type="none" w="med" len="med"/>
                            <a:tailEnd type="arrow" w="med" len="med"/>
                          </a:ln>
                        </wps:spPr>
                        <wps:bodyPr/>
                      </wps:wsp>
                      <wps:wsp>
                        <wps:cNvPr id="282" name="矩形 227"/>
                        <wps:cNvSpPr/>
                        <wps:spPr>
                          <a:xfrm>
                            <a:off x="1803400" y="2156461"/>
                            <a:ext cx="1016001" cy="269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7706AA">
                              <w:pPr>
                                <w:pStyle w:val="8"/>
                                <w:bidi w:val="0"/>
                                <w:rPr>
                                  <w:rFonts w:hint="default"/>
                                  <w:lang w:val="en-US" w:eastAsia="zh-CN"/>
                                </w:rPr>
                              </w:pPr>
                              <w:r>
                                <w:rPr>
                                  <w:rFonts w:hint="eastAsia"/>
                                  <w:lang w:val="en-US" w:eastAsia="zh-CN"/>
                                </w:rPr>
                                <w:t>甩干</w:t>
                              </w:r>
                            </w:p>
                          </w:txbxContent>
                        </wps:txbx>
                        <wps:bodyPr upright="1"/>
                      </wps:wsp>
                      <wps:wsp>
                        <wps:cNvPr id="283" name="矩形 228"/>
                        <wps:cNvSpPr/>
                        <wps:spPr>
                          <a:xfrm>
                            <a:off x="963295" y="2178685"/>
                            <a:ext cx="753111" cy="273050"/>
                          </a:xfrm>
                          <a:prstGeom prst="rect">
                            <a:avLst/>
                          </a:prstGeom>
                          <a:noFill/>
                          <a:ln>
                            <a:noFill/>
                          </a:ln>
                        </wps:spPr>
                        <wps:txbx>
                          <w:txbxContent>
                            <w:p w14:paraId="5C826ED0">
                              <w:pPr>
                                <w:pStyle w:val="8"/>
                                <w:bidi w:val="0"/>
                                <w:rPr>
                                  <w:rFonts w:hint="default"/>
                                  <w:lang w:val="en-US" w:eastAsia="zh-CN"/>
                                </w:rPr>
                              </w:pPr>
                              <w:r>
                                <w:rPr>
                                  <w:rFonts w:hint="eastAsia"/>
                                  <w:lang w:val="en-US" w:eastAsia="zh-CN"/>
                                </w:rPr>
                                <w:t>N、S1</w:t>
                              </w:r>
                            </w:p>
                          </w:txbxContent>
                        </wps:txbx>
                        <wps:bodyPr upright="1"/>
                      </wps:wsp>
                      <wps:wsp>
                        <wps:cNvPr id="284" name="文本框 247"/>
                        <wps:cNvSpPr txBox="1"/>
                        <wps:spPr>
                          <a:xfrm>
                            <a:off x="3535680" y="1871980"/>
                            <a:ext cx="1638300" cy="1461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20F840">
                              <w:pPr>
                                <w:pStyle w:val="8"/>
                                <w:bidi w:val="0"/>
                                <w:rPr>
                                  <w:rFonts w:hint="default"/>
                                  <w:lang w:val="en-US" w:eastAsia="zh-CN"/>
                                </w:rPr>
                              </w:pPr>
                              <w:r>
                                <w:rPr>
                                  <w:rFonts w:hint="eastAsia"/>
                                  <w:lang w:val="en-US" w:eastAsia="zh-CN"/>
                                </w:rPr>
                                <w:t>图例</w:t>
                              </w:r>
                            </w:p>
                            <w:p w14:paraId="295AA12B">
                              <w:pPr>
                                <w:pStyle w:val="8"/>
                                <w:bidi w:val="0"/>
                                <w:rPr>
                                  <w:rFonts w:hint="default" w:eastAsia="宋体"/>
                                  <w:lang w:val="en-US" w:eastAsia="zh-CN"/>
                                </w:rPr>
                              </w:pPr>
                              <w:r>
                                <w:rPr>
                                  <w:rFonts w:hint="eastAsia" w:eastAsia="宋体"/>
                                  <w:lang w:val="en-US" w:eastAsia="zh-CN"/>
                                </w:rPr>
                                <w:t>N：噪声</w:t>
                              </w:r>
                            </w:p>
                            <w:p w14:paraId="478AE933">
                              <w:pPr>
                                <w:pStyle w:val="8"/>
                                <w:bidi w:val="0"/>
                                <w:rPr>
                                  <w:rFonts w:hint="default" w:ascii="Times New Roman" w:hAnsi="Times New Roman" w:eastAsia="宋体" w:cs="Times New Roman"/>
                                  <w:lang w:val="en-US" w:eastAsia="zh-CN"/>
                                </w:rPr>
                              </w:pPr>
                              <w:r>
                                <w:rPr>
                                  <w:rFonts w:hint="eastAsia" w:eastAsia="宋体"/>
                                  <w:lang w:val="en-US" w:eastAsia="zh-CN"/>
                                </w:rPr>
                                <w:t>G1：</w:t>
                              </w:r>
                              <w:r>
                                <w:rPr>
                                  <w:rFonts w:hint="eastAsia"/>
                                  <w:lang w:val="en-US" w:eastAsia="zh-CN"/>
                                </w:rPr>
                                <w:t>非甲</w:t>
                              </w:r>
                              <w:r>
                                <w:rPr>
                                  <w:rFonts w:hint="eastAsia" w:ascii="Times New Roman" w:hAnsi="Times New Roman" w:eastAsia="宋体" w:cs="Times New Roman"/>
                                  <w:lang w:val="en-US" w:eastAsia="zh-CN"/>
                                </w:rPr>
                                <w:t>烷总烃</w:t>
                              </w:r>
                            </w:p>
                            <w:p w14:paraId="13964EA3">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G2：颗粒物</w:t>
                              </w:r>
                            </w:p>
                            <w:p w14:paraId="417A0BD2">
                              <w:pPr>
                                <w:pStyle w:val="8"/>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G3:臭气浓度</w:t>
                              </w:r>
                            </w:p>
                            <w:p w14:paraId="53CB7330">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S1：废</w:t>
                              </w:r>
                              <w:r>
                                <w:rPr>
                                  <w:rFonts w:hint="eastAsia" w:cs="Times New Roman"/>
                                  <w:lang w:val="en-US" w:eastAsia="zh-CN"/>
                                </w:rPr>
                                <w:t>液</w:t>
                              </w:r>
                            </w:p>
                            <w:p w14:paraId="105BF6F2">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S2：废过滤材料</w:t>
                              </w:r>
                            </w:p>
                            <w:p w14:paraId="3A1DAD77">
                              <w:pPr>
                                <w:pStyle w:val="8"/>
                                <w:bidi w:val="0"/>
                                <w:rPr>
                                  <w:rFonts w:hint="default"/>
                                  <w:lang w:val="en-US" w:eastAsia="zh-CN"/>
                                </w:rPr>
                              </w:pPr>
                              <w:r>
                                <w:rPr>
                                  <w:rFonts w:hint="eastAsia" w:eastAsia="宋体"/>
                                  <w:lang w:val="en-US" w:eastAsia="zh-CN"/>
                                </w:rPr>
                                <w:t>S</w:t>
                              </w:r>
                              <w:r>
                                <w:rPr>
                                  <w:rFonts w:hint="eastAsia"/>
                                  <w:lang w:val="en-US" w:eastAsia="zh-CN"/>
                                </w:rPr>
                                <w:t>3</w:t>
                              </w:r>
                              <w:r>
                                <w:rPr>
                                  <w:rFonts w:hint="eastAsia" w:eastAsia="宋体"/>
                                  <w:lang w:val="en-US" w:eastAsia="zh-CN"/>
                                </w:rPr>
                                <w:t>：废</w:t>
                              </w:r>
                              <w:r>
                                <w:rPr>
                                  <w:rFonts w:hint="eastAsia"/>
                                  <w:lang w:val="en-US" w:eastAsia="zh-CN"/>
                                </w:rPr>
                                <w:t>活性炭</w:t>
                              </w:r>
                            </w:p>
                          </w:txbxContent>
                        </wps:txbx>
                        <wps:bodyPr upright="1"/>
                      </wps:wsp>
                      <wps:wsp>
                        <wps:cNvPr id="285" name="矩形 248"/>
                        <wps:cNvSpPr/>
                        <wps:spPr>
                          <a:xfrm>
                            <a:off x="1036955" y="1132205"/>
                            <a:ext cx="537210" cy="266701"/>
                          </a:xfrm>
                          <a:prstGeom prst="rect">
                            <a:avLst/>
                          </a:prstGeom>
                          <a:noFill/>
                          <a:ln>
                            <a:noFill/>
                          </a:ln>
                        </wps:spPr>
                        <wps:txbx>
                          <w:txbxContent>
                            <w:p w14:paraId="46AF83D8">
                              <w:pPr>
                                <w:pStyle w:val="8"/>
                                <w:bidi w:val="0"/>
                                <w:rPr>
                                  <w:rFonts w:hint="default"/>
                                  <w:lang w:val="en-US" w:eastAsia="zh-CN"/>
                                </w:rPr>
                              </w:pPr>
                              <w:r>
                                <w:rPr>
                                  <w:rFonts w:hint="eastAsia"/>
                                  <w:lang w:val="en-US" w:eastAsia="zh-CN"/>
                                </w:rPr>
                                <w:t>N、G1</w:t>
                              </w:r>
                            </w:p>
                          </w:txbxContent>
                        </wps:txbx>
                        <wps:bodyPr upright="1"/>
                      </wps:wsp>
                      <wps:wsp>
                        <wps:cNvPr id="286" name="矩形 249"/>
                        <wps:cNvSpPr/>
                        <wps:spPr>
                          <a:xfrm>
                            <a:off x="932180" y="1656080"/>
                            <a:ext cx="717550" cy="266700"/>
                          </a:xfrm>
                          <a:prstGeom prst="rect">
                            <a:avLst/>
                          </a:prstGeom>
                          <a:noFill/>
                          <a:ln>
                            <a:noFill/>
                          </a:ln>
                        </wps:spPr>
                        <wps:txbx>
                          <w:txbxContent>
                            <w:p w14:paraId="15BF111A">
                              <w:pPr>
                                <w:pStyle w:val="8"/>
                                <w:bidi w:val="0"/>
                                <w:rPr>
                                  <w:rFonts w:hint="default"/>
                                  <w:lang w:val="en-US" w:eastAsia="zh-CN"/>
                                </w:rPr>
                              </w:pPr>
                              <w:r>
                                <w:rPr>
                                  <w:rFonts w:hint="eastAsia"/>
                                  <w:lang w:val="en-US" w:eastAsia="zh-CN"/>
                                </w:rPr>
                                <w:t>G2、N</w:t>
                              </w:r>
                            </w:p>
                          </w:txbxContent>
                        </wps:txbx>
                        <wps:bodyPr upright="1"/>
                      </wps:wsp>
                      <wps:wsp>
                        <wps:cNvPr id="287" name="自选图形 250"/>
                        <wps:cNvCnPr/>
                        <wps:spPr>
                          <a:xfrm flipV="1">
                            <a:off x="2986405" y="1449705"/>
                            <a:ext cx="336550" cy="6350"/>
                          </a:xfrm>
                          <a:prstGeom prst="straightConnector1">
                            <a:avLst/>
                          </a:prstGeom>
                          <a:ln w="9525" cap="flat" cmpd="sng">
                            <a:solidFill>
                              <a:srgbClr val="000000"/>
                            </a:solidFill>
                            <a:prstDash val="dash"/>
                            <a:headEnd type="none" w="med" len="med"/>
                            <a:tailEnd type="arrow" w="med" len="med"/>
                          </a:ln>
                        </wps:spPr>
                        <wps:bodyPr/>
                      </wps:wsp>
                      <wps:wsp>
                        <wps:cNvPr id="288" name="矩形 251"/>
                        <wps:cNvSpPr/>
                        <wps:spPr>
                          <a:xfrm>
                            <a:off x="4383404" y="605790"/>
                            <a:ext cx="886461" cy="266700"/>
                          </a:xfrm>
                          <a:prstGeom prst="rect">
                            <a:avLst/>
                          </a:prstGeom>
                          <a:noFill/>
                          <a:ln>
                            <a:noFill/>
                          </a:ln>
                        </wps:spPr>
                        <wps:txbx>
                          <w:txbxContent>
                            <w:p w14:paraId="1372BC24">
                              <w:pPr>
                                <w:pStyle w:val="8"/>
                                <w:bidi w:val="0"/>
                                <w:rPr>
                                  <w:rFonts w:hint="default"/>
                                  <w:lang w:val="en-US" w:eastAsia="zh-CN"/>
                                </w:rPr>
                              </w:pPr>
                              <w:r>
                                <w:rPr>
                                  <w:rFonts w:hint="eastAsia"/>
                                  <w:lang w:val="en-US" w:eastAsia="zh-CN"/>
                                </w:rPr>
                                <w:t>23m排气筒</w:t>
                              </w:r>
                            </w:p>
                          </w:txbxContent>
                        </wps:txbx>
                        <wps:bodyPr upright="1"/>
                      </wps:wsp>
                      <wps:wsp>
                        <wps:cNvPr id="289" name="矩形 252"/>
                        <wps:cNvSpPr/>
                        <wps:spPr>
                          <a:xfrm>
                            <a:off x="3322955" y="1322705"/>
                            <a:ext cx="962660" cy="454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6736D4">
                              <w:pPr>
                                <w:pStyle w:val="8"/>
                                <w:bidi w:val="0"/>
                                <w:rPr>
                                  <w:rFonts w:hint="eastAsia" w:eastAsia="宋体"/>
                                  <w:lang w:val="en-US" w:eastAsia="zh-CN"/>
                                </w:rPr>
                              </w:pPr>
                              <w:r>
                                <w:rPr>
                                  <w:rFonts w:hint="eastAsia" w:eastAsia="宋体"/>
                                  <w:lang w:val="en-US" w:eastAsia="zh-CN"/>
                                </w:rPr>
                                <w:t>油雾净化器</w:t>
                              </w:r>
                            </w:p>
                            <w:p w14:paraId="6160582D">
                              <w:pPr>
                                <w:pStyle w:val="8"/>
                                <w:bidi w:val="0"/>
                                <w:rPr>
                                  <w:rFonts w:hint="default" w:eastAsia="宋体"/>
                                  <w:lang w:val="en-US" w:eastAsia="zh-CN"/>
                                </w:rPr>
                              </w:pPr>
                              <w:r>
                                <w:rPr>
                                  <w:rFonts w:hint="eastAsia" w:eastAsia="宋体"/>
                                  <w:lang w:val="en-US" w:eastAsia="zh-CN"/>
                                </w:rPr>
                                <w:t>+活性炭吸附</w:t>
                              </w:r>
                            </w:p>
                          </w:txbxContent>
                        </wps:txbx>
                        <wps:bodyPr upright="1"/>
                      </wps:wsp>
                      <wps:wsp>
                        <wps:cNvPr id="290" name="矩形 253"/>
                        <wps:cNvSpPr/>
                        <wps:spPr>
                          <a:xfrm>
                            <a:off x="2883535" y="1141730"/>
                            <a:ext cx="518160" cy="219075"/>
                          </a:xfrm>
                          <a:prstGeom prst="rect">
                            <a:avLst/>
                          </a:prstGeom>
                          <a:noFill/>
                          <a:ln>
                            <a:noFill/>
                          </a:ln>
                        </wps:spPr>
                        <wps:txbx>
                          <w:txbxContent>
                            <w:p w14:paraId="1D9965E4">
                              <w:pPr>
                                <w:pStyle w:val="8"/>
                                <w:bidi w:val="0"/>
                                <w:rPr>
                                  <w:rFonts w:hint="default"/>
                                  <w:lang w:val="en-US" w:eastAsia="zh-CN"/>
                                </w:rPr>
                              </w:pPr>
                              <w:r>
                                <w:rPr>
                                  <w:rFonts w:hint="eastAsia"/>
                                  <w:lang w:val="en-US" w:eastAsia="zh-CN"/>
                                </w:rPr>
                                <w:t>G1</w:t>
                              </w:r>
                            </w:p>
                          </w:txbxContent>
                        </wps:txbx>
                        <wps:bodyPr upright="1"/>
                      </wps:wsp>
                      <wps:wsp>
                        <wps:cNvPr id="291" name="自选图形 255"/>
                        <wps:cNvCnPr/>
                        <wps:spPr>
                          <a:xfrm>
                            <a:off x="4295775" y="1687830"/>
                            <a:ext cx="268606" cy="8890"/>
                          </a:xfrm>
                          <a:prstGeom prst="straightConnector1">
                            <a:avLst/>
                          </a:prstGeom>
                          <a:ln w="9525" cap="flat" cmpd="sng">
                            <a:solidFill>
                              <a:srgbClr val="000000"/>
                            </a:solidFill>
                            <a:prstDash val="solid"/>
                            <a:headEnd type="none" w="med" len="med"/>
                            <a:tailEnd type="arrow" w="med" len="med"/>
                          </a:ln>
                        </wps:spPr>
                        <wps:bodyPr/>
                      </wps:wsp>
                      <wps:wsp>
                        <wps:cNvPr id="292" name="矩形 256"/>
                        <wps:cNvSpPr/>
                        <wps:spPr>
                          <a:xfrm>
                            <a:off x="4483735" y="1538605"/>
                            <a:ext cx="618490" cy="266700"/>
                          </a:xfrm>
                          <a:prstGeom prst="rect">
                            <a:avLst/>
                          </a:prstGeom>
                          <a:noFill/>
                          <a:ln>
                            <a:noFill/>
                          </a:ln>
                        </wps:spPr>
                        <wps:txbx>
                          <w:txbxContent>
                            <w:p w14:paraId="654C5815">
                              <w:pPr>
                                <w:pStyle w:val="8"/>
                                <w:bidi w:val="0"/>
                                <w:rPr>
                                  <w:rFonts w:hint="default"/>
                                  <w:lang w:val="en-US" w:eastAsia="zh-CN"/>
                                </w:rPr>
                              </w:pPr>
                              <w:r>
                                <w:rPr>
                                  <w:rFonts w:hint="eastAsia"/>
                                  <w:lang w:val="en-US" w:eastAsia="zh-CN"/>
                                </w:rPr>
                                <w:t>S2</w:t>
                              </w:r>
                            </w:p>
                          </w:txbxContent>
                        </wps:txbx>
                        <wps:bodyPr upright="1"/>
                      </wps:wsp>
                      <wps:wsp>
                        <wps:cNvPr id="293" name="矩形 257"/>
                        <wps:cNvSpPr/>
                        <wps:spPr>
                          <a:xfrm>
                            <a:off x="1703705" y="987425"/>
                            <a:ext cx="1244601" cy="1583055"/>
                          </a:xfrm>
                          <a:prstGeom prst="rect">
                            <a:avLst/>
                          </a:prstGeom>
                          <a:solidFill>
                            <a:srgbClr val="000000">
                              <a:alpha val="0"/>
                            </a:srgbClr>
                          </a:solidFill>
                          <a:ln w="9525" cap="flat" cmpd="sng">
                            <a:solidFill>
                              <a:srgbClr val="000000"/>
                            </a:solidFill>
                            <a:prstDash val="dash"/>
                            <a:miter/>
                            <a:headEnd type="none" w="med" len="med"/>
                            <a:tailEnd type="none" w="med" len="med"/>
                          </a:ln>
                        </wps:spPr>
                        <wps:bodyPr upright="1"/>
                      </wps:wsp>
                      <wps:wsp>
                        <wps:cNvPr id="294" name="矩形 358"/>
                        <wps:cNvSpPr/>
                        <wps:spPr>
                          <a:xfrm>
                            <a:off x="3089910" y="42545"/>
                            <a:ext cx="10287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E21868">
                              <w:pPr>
                                <w:pStyle w:val="8"/>
                                <w:bidi w:val="0"/>
                                <w:rPr>
                                  <w:rFonts w:hint="default"/>
                                  <w:lang w:val="en-US" w:eastAsia="zh-CN"/>
                                </w:rPr>
                              </w:pPr>
                              <w:r>
                                <w:rPr>
                                  <w:rFonts w:hint="eastAsia"/>
                                  <w:lang w:val="en-US" w:eastAsia="zh-CN"/>
                                </w:rPr>
                                <w:t>危险废物贮存库</w:t>
                              </w:r>
                            </w:p>
                          </w:txbxContent>
                        </wps:txbx>
                        <wps:bodyPr upright="1"/>
                      </wps:wsp>
                      <wps:wsp>
                        <wps:cNvPr id="295" name="自选图形 359"/>
                        <wps:cNvCnPr/>
                        <wps:spPr>
                          <a:xfrm flipV="1">
                            <a:off x="2814955" y="708660"/>
                            <a:ext cx="330201" cy="0"/>
                          </a:xfrm>
                          <a:prstGeom prst="straightConnector1">
                            <a:avLst/>
                          </a:prstGeom>
                          <a:ln w="9525" cap="flat" cmpd="sng">
                            <a:solidFill>
                              <a:srgbClr val="000000"/>
                            </a:solidFill>
                            <a:prstDash val="dash"/>
                            <a:headEnd type="none" w="med" len="med"/>
                            <a:tailEnd type="arrow" w="med" len="med"/>
                          </a:ln>
                        </wps:spPr>
                        <wps:bodyPr/>
                      </wps:wsp>
                      <wps:wsp>
                        <wps:cNvPr id="296" name="自选图形 360"/>
                        <wps:cNvCnPr/>
                        <wps:spPr>
                          <a:xfrm>
                            <a:off x="3571875" y="301625"/>
                            <a:ext cx="10795" cy="253999"/>
                          </a:xfrm>
                          <a:prstGeom prst="straightConnector1">
                            <a:avLst/>
                          </a:prstGeom>
                          <a:ln w="9525" cap="flat" cmpd="sng">
                            <a:solidFill>
                              <a:srgbClr val="000000"/>
                            </a:solidFill>
                            <a:prstDash val="dash"/>
                            <a:headEnd type="none" w="med" len="med"/>
                            <a:tailEnd type="arrow" w="med" len="med"/>
                          </a:ln>
                        </wps:spPr>
                        <wps:bodyPr/>
                      </wps:wsp>
                      <wps:wsp>
                        <wps:cNvPr id="297" name="矩形 361"/>
                        <wps:cNvSpPr/>
                        <wps:spPr>
                          <a:xfrm>
                            <a:off x="3175000" y="581660"/>
                            <a:ext cx="952501"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8B4A25">
                              <w:pPr>
                                <w:pStyle w:val="8"/>
                                <w:bidi w:val="0"/>
                                <w:rPr>
                                  <w:rFonts w:hint="default" w:eastAsia="宋体"/>
                                  <w:lang w:val="en-US" w:eastAsia="zh-CN"/>
                                </w:rPr>
                              </w:pPr>
                              <w:r>
                                <w:rPr>
                                  <w:rFonts w:hint="eastAsia" w:eastAsia="宋体"/>
                                  <w:lang w:val="en-US" w:eastAsia="zh-CN"/>
                                </w:rPr>
                                <w:t>活性炭吸附</w:t>
                              </w:r>
                            </w:p>
                          </w:txbxContent>
                        </wps:txbx>
                        <wps:bodyPr upright="1"/>
                      </wps:wsp>
                      <wps:wsp>
                        <wps:cNvPr id="298" name="矩形 363"/>
                        <wps:cNvSpPr/>
                        <wps:spPr>
                          <a:xfrm>
                            <a:off x="2713355" y="459105"/>
                            <a:ext cx="508000" cy="215900"/>
                          </a:xfrm>
                          <a:prstGeom prst="rect">
                            <a:avLst/>
                          </a:prstGeom>
                          <a:noFill/>
                          <a:ln>
                            <a:noFill/>
                          </a:ln>
                        </wps:spPr>
                        <wps:txbx>
                          <w:txbxContent>
                            <w:p w14:paraId="22D82F9D">
                              <w:pPr>
                                <w:pStyle w:val="8"/>
                                <w:bidi w:val="0"/>
                                <w:rPr>
                                  <w:rFonts w:hint="default"/>
                                  <w:lang w:val="en-US" w:eastAsia="zh-CN"/>
                                </w:rPr>
                              </w:pPr>
                              <w:r>
                                <w:rPr>
                                  <w:rFonts w:hint="eastAsia"/>
                                  <w:lang w:val="en-US" w:eastAsia="zh-CN"/>
                                </w:rPr>
                                <w:t>G1</w:t>
                              </w:r>
                            </w:p>
                          </w:txbxContent>
                        </wps:txbx>
                        <wps:bodyPr upright="1"/>
                      </wps:wsp>
                      <wps:wsp>
                        <wps:cNvPr id="299" name="矩形 364"/>
                        <wps:cNvSpPr/>
                        <wps:spPr>
                          <a:xfrm>
                            <a:off x="3591560" y="342265"/>
                            <a:ext cx="508000" cy="215900"/>
                          </a:xfrm>
                          <a:prstGeom prst="rect">
                            <a:avLst/>
                          </a:prstGeom>
                          <a:noFill/>
                          <a:ln>
                            <a:noFill/>
                          </a:ln>
                        </wps:spPr>
                        <wps:txbx>
                          <w:txbxContent>
                            <w:p w14:paraId="4D72D0CA">
                              <w:pPr>
                                <w:pStyle w:val="8"/>
                                <w:bidi w:val="0"/>
                                <w:rPr>
                                  <w:rFonts w:hint="default"/>
                                  <w:lang w:val="en-US" w:eastAsia="zh-CN"/>
                                </w:rPr>
                              </w:pPr>
                              <w:r>
                                <w:rPr>
                                  <w:rFonts w:hint="eastAsia"/>
                                  <w:lang w:val="en-US" w:eastAsia="zh-CN"/>
                                </w:rPr>
                                <w:t>G1</w:t>
                              </w:r>
                            </w:p>
                          </w:txbxContent>
                        </wps:txbx>
                        <wps:bodyPr upright="1"/>
                      </wps:wsp>
                      <wps:wsp>
                        <wps:cNvPr id="300" name="自选图形 365"/>
                        <wps:cNvCnPr/>
                        <wps:spPr>
                          <a:xfrm flipV="1">
                            <a:off x="4148455" y="708660"/>
                            <a:ext cx="330201" cy="0"/>
                          </a:xfrm>
                          <a:prstGeom prst="straightConnector1">
                            <a:avLst/>
                          </a:prstGeom>
                          <a:ln w="9525" cap="flat" cmpd="sng">
                            <a:solidFill>
                              <a:srgbClr val="000000"/>
                            </a:solidFill>
                            <a:prstDash val="dash"/>
                            <a:headEnd type="none" w="med" len="med"/>
                            <a:tailEnd type="arrow" w="med" len="med"/>
                          </a:ln>
                        </wps:spPr>
                        <wps:bodyPr/>
                      </wps:wsp>
                      <wps:wsp>
                        <wps:cNvPr id="301" name="自选图形 513"/>
                        <wps:cNvCnPr/>
                        <wps:spPr>
                          <a:xfrm>
                            <a:off x="3646805" y="884555"/>
                            <a:ext cx="3175" cy="168275"/>
                          </a:xfrm>
                          <a:prstGeom prst="straightConnector1">
                            <a:avLst/>
                          </a:prstGeom>
                          <a:ln w="9525" cap="flat" cmpd="sng">
                            <a:solidFill>
                              <a:srgbClr val="000000"/>
                            </a:solidFill>
                            <a:prstDash val="solid"/>
                            <a:headEnd type="none" w="med" len="med"/>
                            <a:tailEnd type="arrow" w="med" len="med"/>
                          </a:ln>
                        </wps:spPr>
                        <wps:bodyPr/>
                      </wps:wsp>
                      <wps:wsp>
                        <wps:cNvPr id="302" name="矩形 514"/>
                        <wps:cNvSpPr/>
                        <wps:spPr>
                          <a:xfrm>
                            <a:off x="3437255" y="1008380"/>
                            <a:ext cx="609599" cy="266700"/>
                          </a:xfrm>
                          <a:prstGeom prst="rect">
                            <a:avLst/>
                          </a:prstGeom>
                          <a:noFill/>
                          <a:ln>
                            <a:noFill/>
                          </a:ln>
                        </wps:spPr>
                        <wps:txbx>
                          <w:txbxContent>
                            <w:p w14:paraId="19A6F95A">
                              <w:pPr>
                                <w:pStyle w:val="8"/>
                                <w:bidi w:val="0"/>
                                <w:rPr>
                                  <w:rFonts w:hint="default"/>
                                  <w:lang w:val="en-US" w:eastAsia="zh-CN"/>
                                </w:rPr>
                              </w:pPr>
                              <w:r>
                                <w:rPr>
                                  <w:rFonts w:hint="eastAsia"/>
                                  <w:lang w:val="en-US" w:eastAsia="zh-CN"/>
                                </w:rPr>
                                <w:t>S3</w:t>
                              </w:r>
                            </w:p>
                          </w:txbxContent>
                        </wps:txbx>
                        <wps:bodyPr upright="1"/>
                      </wps:wsp>
                    </wpc:wpc>
                  </a:graphicData>
                </a:graphic>
              </wp:inline>
            </w:drawing>
          </mc:Choice>
          <mc:Fallback>
            <w:pict>
              <v:group id="画布 176" o:spid="_x0000_s1026" o:spt="203" style="height:265.75pt;width:414.95pt;" coordsize="5269865,3375025" editas="canvas" o:gfxdata="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">
                <o:lock v:ext="edit" aspectratio="f"/>
                <v:shape id="画布 176" o:spid="_x0000_s1026" style="position:absolute;left:0;top:0;height:3375025;width:5269865;" filled="f" stroked="t" coordsize="21600,21600" o:gfxdata="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">
                  <v:fill on="f" focussize="0,0"/>
                  <v:stroke color="#000000" joinstyle="miter"/>
                  <v:imagedata o:title=""/>
                  <o:lock v:ext="edit" aspectratio="t"/>
                </v:shape>
                <v:rect id="矩形 177" o:spid="_x0000_s1026" o:spt="1" style="position:absolute;left:1767840;top:59055;height:269240;width:1031240;" fillcolor="#FFFFFF" filled="t" stroked="f" coordsize="21600,21600" o:gfxdata="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glDN9UAAAAFAQAADwAAAAAAAAABACAAAAAiAAAAZHJz&#10;L2Rvd25yZXYueG1sUEsBAhQAFAAAAAgAh07iQPN26zoHAgAADgQAAA4AAAAAAAAAAQAgAAAAJAEA&#10;AGRycy9lMm9Eb2MueG1sUEsFBgAAAAAGAAYAWQEAAJ0FAAAAAA==&#10;">
                  <v:fill on="t" focussize="0,0"/>
                  <v:stroke on="f" joinstyle="miter"/>
                  <v:imagedata o:title=""/>
                  <o:lock v:ext="edit" aspectratio="f"/>
                  <v:textbox>
                    <w:txbxContent>
                      <w:p w14:paraId="75375258">
                        <w:pPr>
                          <w:pStyle w:val="8"/>
                          <w:bidi w:val="0"/>
                          <w:rPr>
                            <w:rFonts w:hint="default"/>
                            <w:lang w:val="en-US" w:eastAsia="zh-CN"/>
                          </w:rPr>
                        </w:pPr>
                        <w:r>
                          <w:rPr>
                            <w:rFonts w:hint="eastAsia"/>
                            <w:lang w:val="en-US" w:eastAsia="zh-CN"/>
                          </w:rPr>
                          <w:t>含油金属屑</w:t>
                        </w:r>
                      </w:p>
                    </w:txbxContent>
                  </v:textbox>
                </v:rect>
                <v:shape id="自选图形 178" o:spid="_x0000_s1026" o:spt="32" type="#_x0000_t32" style="position:absolute;left:2324735;top:347346;height:251459;width:3810;" filled="f" stroked="t" coordsize="21600,21600" o:gfxdata="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rX31QAAAAUBAAAPAAAAAAAAAAEAIAAAACIA&#10;AABkcnMvZG93bnJldi54bWxQSwECFAAUAAAACACHTuJAFhnlYQwCAAD1AwAADgAAAAAAAAABACAA&#10;AAAkAQAAZHJzL2Uyb0RvYy54bWxQSwUGAAAAAAYABgBZAQAAogUAAAAA&#10;">
                  <v:fill on="f" focussize="0,0"/>
                  <v:stroke color="#000000" joinstyle="round" endarrow="open"/>
                  <v:imagedata o:title=""/>
                  <o:lock v:ext="edit" aspectratio="f"/>
                </v:shape>
                <v:rect id="矩形 179" o:spid="_x0000_s1026" o:spt="1" style="position:absolute;left:1792605;top:596900;height:260350;width:1026796;" fillcolor="#FFFFFF" filled="t" stroked="t" coordsize="21600,21600" o:gfxdata="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PCMadUAAAAFAQAADwAAAAAAAAABACAA&#10;AAAiAAAAZHJzL2Rvd25yZXYueG1sUEsBAhQAFAAAAAgAh07iQPn56oAQAgAAOAQAAA4AAAAAAAAA&#10;AQAgAAAAJAEAAGRycy9lMm9Eb2MueG1sUEsFBgAAAAAGAAYAWQEAAKYFAAAAAA==&#10;">
                  <v:fill on="t" focussize="0,0"/>
                  <v:stroke color="#000000" joinstyle="miter"/>
                  <v:imagedata o:title=""/>
                  <o:lock v:ext="edit" aspectratio="f"/>
                  <v:textbox>
                    <w:txbxContent>
                      <w:p w14:paraId="60325D0A">
                        <w:pPr>
                          <w:pStyle w:val="8"/>
                          <w:bidi w:val="0"/>
                          <w:rPr>
                            <w:rFonts w:hint="default"/>
                            <w:lang w:val="en-US" w:eastAsia="zh-CN"/>
                          </w:rPr>
                        </w:pPr>
                        <w:r>
                          <w:rPr>
                            <w:rFonts w:hint="eastAsia"/>
                            <w:lang w:val="en-US" w:eastAsia="zh-CN"/>
                          </w:rPr>
                          <w:t>原料贮存区</w:t>
                        </w:r>
                      </w:p>
                    </w:txbxContent>
                  </v:textbox>
                </v:rect>
                <v:shape id="自选图形 180" o:spid="_x0000_s1026" o:spt="32" type="#_x0000_t32" style="position:absolute;left:2341880;top:848360;height:246381;width:0;" filled="f" stroked="t" coordsize="21600,21600" o:gfxdata="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rX31QAAAAUBAAAPAAAAAAAAAAEAIAAAACIAAABkcnMv&#10;ZG93bnJldi54bWxQSwECFAAUAAAACACHTuJAalfBYAYCAADyAwAADgAAAAAAAAABACAAAAAkAQAA&#10;ZHJzL2Uyb0RvYy54bWxQSwUGAAAAAAYABgBZAQAAnAUAAAAA&#10;">
                  <v:fill on="f" focussize="0,0"/>
                  <v:stroke color="#000000" joinstyle="round" endarrow="open"/>
                  <v:imagedata o:title=""/>
                  <o:lock v:ext="edit" aspectratio="f"/>
                </v:shape>
                <v:rect id="矩形 181" o:spid="_x0000_s1026" o:spt="1" style="position:absolute;left:1792605;top:1108076;height:260350;width:1026796;" fillcolor="#FFFFFF" filled="t" stroked="t" coordsize="21600,21600" o:gfxdata="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8Ixp1QAAAAUBAAAPAAAAAAAAAAEAIAAA&#10;ACIAAABkcnMvZG93bnJldi54bWxQSwECFAAUAAAACACHTuJA1gDnVA8CAAA5BAAADgAAAAAAAAAB&#10;ACAAAAAkAQAAZHJzL2Uyb0RvYy54bWxQSwUGAAAAAAYABgBZAQAApQUAAAAA&#10;">
                  <v:fill on="t" focussize="0,0"/>
                  <v:stroke color="#000000" joinstyle="miter"/>
                  <v:imagedata o:title=""/>
                  <o:lock v:ext="edit" aspectratio="f"/>
                  <v:textbox>
                    <w:txbxContent>
                      <w:p w14:paraId="4D83D39E">
                        <w:pPr>
                          <w:pStyle w:val="8"/>
                          <w:bidi w:val="0"/>
                          <w:rPr>
                            <w:rFonts w:hint="default"/>
                            <w:lang w:val="en-US" w:eastAsia="zh-CN"/>
                          </w:rPr>
                        </w:pPr>
                        <w:r>
                          <w:rPr>
                            <w:rFonts w:hint="eastAsia"/>
                            <w:lang w:val="en-US" w:eastAsia="zh-CN"/>
                          </w:rPr>
                          <w:t>上料</w:t>
                        </w:r>
                      </w:p>
                    </w:txbxContent>
                  </v:textbox>
                </v:rect>
                <v:shape id="自选图形 182" o:spid="_x0000_s1026" o:spt="32" type="#_x0000_t32" style="position:absolute;left:2348230;top:1386840;height:246380;width:0;" filled="f" stroked="t" coordsize="21600,21600" o:gfxdata="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2a199UAAAAFAQAADwAAAAAAAAABACAAAAAiAAAA&#10;ZHJzL2Rvd25yZXYueG1sUEsBAhQAFAAAAAgAh07iQOf33aMKAgAA8wMAAA4AAAAAAAAAAQAgAAAA&#10;JAEAAGRycy9lMm9Eb2MueG1sUEsFBgAAAAAGAAYAWQEAAKAFAAAAAA==&#10;">
                  <v:fill on="f" focussize="0,0"/>
                  <v:stroke color="#000000" joinstyle="round" endarrow="open"/>
                  <v:imagedata o:title=""/>
                  <o:lock v:ext="edit" aspectratio="f"/>
                </v:shape>
                <v:rect id="矩形 183" o:spid="_x0000_s1026" o:spt="1" style="position:absolute;left:1790065;top:1620521;height:266065;width:1026160;" fillcolor="#FFFFFF" filled="t" stroked="t" coordsize="21600,21600" o:gfxdata="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PCMadUAAAAFAQAADwAAAAAAAAABACAAAAAi&#10;AAAAZHJzL2Rvd25yZXYueG1sUEsBAhQAFAAAAAgAh07iQJjildkNAgAAOQQAAA4AAAAAAAAAAQAg&#10;AAAAJAEAAGRycy9lMm9Eb2MueG1sUEsFBgAAAAAGAAYAWQEAAKMFAAAAAA==&#10;">
                  <v:fill on="t" focussize="0,0"/>
                  <v:stroke color="#000000" joinstyle="miter"/>
                  <v:imagedata o:title=""/>
                  <o:lock v:ext="edit" aspectratio="f"/>
                  <v:textbox>
                    <w:txbxContent>
                      <w:p w14:paraId="3EF257CB">
                        <w:pPr>
                          <w:pStyle w:val="8"/>
                          <w:bidi w:val="0"/>
                          <w:rPr>
                            <w:rFonts w:hint="default"/>
                            <w:lang w:val="en-US" w:eastAsia="zh-CN"/>
                          </w:rPr>
                        </w:pPr>
                        <w:r>
                          <w:rPr>
                            <w:rFonts w:hint="eastAsia"/>
                            <w:lang w:val="en-US" w:eastAsia="zh-CN"/>
                          </w:rPr>
                          <w:t>破碎</w:t>
                        </w:r>
                      </w:p>
                    </w:txbxContent>
                  </v:textbox>
                </v:rect>
                <v:shape id="自选图形 184" o:spid="_x0000_s1026" o:spt="32" type="#_x0000_t32" style="position:absolute;left:2351405;top:1897380;height:247015;width:0;" filled="f" stroked="t" coordsize="21600,21600" o:gfxdata="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&#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2a199UAAAAFAQAADwAAAAAAAAABACAAAAAiAAAA&#10;ZHJzL2Rvd25yZXYueG1sUEsBAhQAFAAAAAgAh07iQHSvgAsKAgAA8wMAAA4AAAAAAAAAAQAgAAAA&#10;JAEAAGRycy9lMm9Eb2MueG1sUEsFBgAAAAAGAAYAWQEAAKAFAAAAAA==&#10;">
                  <v:fill on="f" focussize="0,0"/>
                  <v:stroke color="#000000" joinstyle="round" endarrow="open"/>
                  <v:imagedata o:title=""/>
                  <o:lock v:ext="edit" aspectratio="f"/>
                </v:shape>
                <v:rect id="矩形 185" o:spid="_x0000_s1026" o:spt="1" style="position:absolute;left:1794510;top:2645411;height:260351;width:1026160;" fillcolor="#FFFFFF" filled="t" stroked="t" coordsize="21600,21600" o:gfxdata="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8Ixp1QAAAAUBAAAPAAAAAAAAAAEAIAAA&#10;ACIAAABkcnMvZG93bnJldi54bWxQSwECFAAUAAAACACHTuJAgsISUw8CAAA5BAAADgAAAAAAAAAB&#10;ACAAAAAkAQAAZHJzL2Uyb0RvYy54bWxQSwUGAAAAAAYABgBZAQAApQUAAAAA&#10;">
                  <v:fill on="t" focussize="0,0"/>
                  <v:stroke color="#000000" joinstyle="miter"/>
                  <v:imagedata o:title=""/>
                  <o:lock v:ext="edit" aspectratio="f"/>
                  <v:textbox>
                    <w:txbxContent>
                      <w:p w14:paraId="7B576704">
                        <w:pPr>
                          <w:pStyle w:val="8"/>
                          <w:bidi w:val="0"/>
                          <w:rPr>
                            <w:rFonts w:hint="default"/>
                            <w:lang w:val="en-US" w:eastAsia="zh-CN"/>
                          </w:rPr>
                        </w:pPr>
                        <w:r>
                          <w:rPr>
                            <w:rFonts w:hint="eastAsia"/>
                            <w:lang w:val="en-US" w:eastAsia="zh-CN"/>
                          </w:rPr>
                          <w:t>成品贮存区</w:t>
                        </w:r>
                      </w:p>
                    </w:txbxContent>
                  </v:textbox>
                </v:rect>
                <v:shape id="自选图形 186" o:spid="_x0000_s1026" o:spt="32" type="#_x0000_t32" style="position:absolute;left:2345690;top:2400935;flip:x;height:234951;width:3810;" filled="f" stroked="t" coordsize="21600,21600" o:gfxdata="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zv+PNYAAAAFAQAADwAAAAAAAAAB&#10;ACAAAAAiAAAAZHJzL2Rvd25yZXYueG1sUEsBAhQAFAAAAAgAh07iQIzAogUSAgAAAAQAAA4AAAAA&#10;AAAAAQAgAAAAJQEAAGRycy9lMm9Eb2MueG1sUEsFBgAAAAAGAAYAWQEAAKkFAAAAAA==&#10;">
                  <v:fill on="f" focussize="0,0"/>
                  <v:stroke color="#000000" joinstyle="round" endarrow="open"/>
                  <v:imagedata o:title=""/>
                  <o:lock v:ext="edit" aspectratio="f"/>
                </v:shape>
                <v:shape id="自选图形 206" o:spid="_x0000_s1026" o:spt="32" type="#_x0000_t32" style="position:absolute;left:1553845;top:1259206;flip:x;height:0;width:227965;" filled="f" stroked="t" coordsize="21600,21600" o:gfxdata="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O/481gAAAAUBAAAPAAAAAAAAAAEA&#10;IAAAACIAAABkcnMvZG93bnJldi54bWxQSwECFAAUAAAACACHTuJAngNL1hECAAD9AwAADgAAAAAA&#10;AAABACAAAAAlAQAAZHJzL2Uyb0RvYy54bWxQSwUGAAAAAAYABgBZAQAAqAUAAAAA&#10;">
                  <v:fill on="f" focussize="0,0"/>
                  <v:stroke color="#000000" joinstyle="round" endarrow="open"/>
                  <v:imagedata o:title=""/>
                  <o:lock v:ext="edit" aspectratio="f"/>
                </v:shape>
                <v:rect id="矩形 207" o:spid="_x0000_s1026" o:spt="1" style="position:absolute;left:1033145;top:619760;height:273049;width:590550;"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mQ&#10;lrzXAAAABQEAAA8AAAAAAAAAAQAgAAAAIgAAAGRycy9kb3ducmV2LnhtbFBLAQIUABQAAAAIAIdO&#10;4kCUfa0TsgEAAE8DAAAOAAAAAAAAAAEAIAAAACYBAABkcnMvZTJvRG9jLnhtbFBLBQYAAAAABgAG&#10;AFkBAABKBQAAAAA=&#10;">
                  <v:fill on="f" focussize="0,0"/>
                  <v:stroke on="f"/>
                  <v:imagedata o:title=""/>
                  <o:lock v:ext="edit" aspectratio="f"/>
                  <v:textbox>
                    <w:txbxContent>
                      <w:p w14:paraId="1417A4BC">
                        <w:pPr>
                          <w:pStyle w:val="8"/>
                          <w:bidi w:val="0"/>
                          <w:rPr>
                            <w:rFonts w:hint="default"/>
                            <w:lang w:val="en-US" w:eastAsia="zh-CN"/>
                          </w:rPr>
                        </w:pPr>
                        <w:r>
                          <w:rPr>
                            <w:rFonts w:hint="eastAsia"/>
                            <w:lang w:val="en-US" w:eastAsia="zh-CN"/>
                          </w:rPr>
                          <w:t>N、G3</w:t>
                        </w:r>
                      </w:p>
                    </w:txbxContent>
                  </v:textbox>
                </v:rect>
                <v:shape id="自选图形 211" o:spid="_x0000_s1026" o:spt="32" type="#_x0000_t32" style="position:absolute;left:1562100;top:727710;flip:x;height:0;width:215900;" filled="f" stroked="t" coordsize="21600,21600" o:gfxdata="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zv+PNYAAAAFAQAADwAAAAAAAAABACAA&#10;AAAiAAAAZHJzL2Rvd25yZXYueG1sUEsBAhQAFAAAAAgAh07iQKNAmdAPAgAA/AMAAA4AAAAAAAAA&#10;AQAgAAAAJQEAAGRycy9lMm9Eb2MueG1sUEsFBgAAAAAGAAYAWQEAAKYFAAAAAA==&#10;">
                  <v:fill on="f" focussize="0,0"/>
                  <v:stroke color="#000000" joinstyle="round" endarrow="open"/>
                  <v:imagedata o:title=""/>
                  <o:lock v:ext="edit" aspectratio="f"/>
                </v:shape>
                <v:shape id="自选图形 216" o:spid="_x0000_s1026" o:spt="32" type="#_x0000_t32" style="position:absolute;left:1562100;top:1775461;flip:x;height:0;width:215900;" filled="f" stroked="t" coordsize="21600,21600" o:gfxdata="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O/481gAAAAUBAAAPAAAAAAAAAAEA&#10;IAAAACIAAABkcnMvZG93bnJldi54bWxQSwECFAAUAAAACACHTuJAArq1hBECAAD9AwAADgAAAAAA&#10;AAABACAAAAAlAQAAZHJzL2Uyb0RvYy54bWxQSwUGAAAAAAYABgBZAQAAqAUAAAAA&#10;">
                  <v:fill on="f" focussize="0,0"/>
                  <v:stroke color="#000000" joinstyle="round" endarrow="open"/>
                  <v:imagedata o:title=""/>
                  <o:lock v:ext="edit" aspectratio="f"/>
                </v:shape>
                <v:shape id="自选图形 220" o:spid="_x0000_s1026" o:spt="32" type="#_x0000_t32" style="position:absolute;left:1581150;top:2301876;flip:x;height:0;width:215899;" filled="f" stroked="t" coordsize="21600,21600" o:gfxdata="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7/jzWAAAABQEAAA8AAAAAAAAAAQAg&#10;AAAAIgAAAGRycy9kb3ducmV2LnhtbFBLAQIUABQAAAAIAIdO4kD1ptDcEAIAAP0DAAAOAAAAAAAA&#10;AAEAIAAAACUBAABkcnMvZTJvRG9jLnhtbFBLBQYAAAAABgAGAFkBAACnBQAAAAA=&#10;">
                  <v:fill on="f" focussize="0,0"/>
                  <v:stroke color="#000000" joinstyle="round" endarrow="open"/>
                  <v:imagedata o:title=""/>
                  <o:lock v:ext="edit" aspectratio="f"/>
                </v:shape>
                <v:rect id="矩形 227" o:spid="_x0000_s1026" o:spt="1" style="position:absolute;left:1803400;top:2156461;height:269875;width:1016001;" fillcolor="#FFFFFF" filled="t" stroked="t" coordsize="21600,21600" o:gfxdata="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zwjGnVAAAABQEAAA8AAAAAAAAAAQAgAAAA&#10;IgAAAGRycy9kb3ducmV2LnhtbFBLAQIUABQAAAAIAIdO4kD7pFa7DgIAADkEAAAOAAAAAAAAAAEA&#10;IAAAACQBAABkcnMvZTJvRG9jLnhtbFBLBQYAAAAABgAGAFkBAACkBQAAAAA=&#10;">
                  <v:fill on="t" focussize="0,0"/>
                  <v:stroke color="#000000" joinstyle="miter"/>
                  <v:imagedata o:title=""/>
                  <o:lock v:ext="edit" aspectratio="f"/>
                  <v:textbox>
                    <w:txbxContent>
                      <w:p w14:paraId="157706AA">
                        <w:pPr>
                          <w:pStyle w:val="8"/>
                          <w:bidi w:val="0"/>
                          <w:rPr>
                            <w:rFonts w:hint="default"/>
                            <w:lang w:val="en-US" w:eastAsia="zh-CN"/>
                          </w:rPr>
                        </w:pPr>
                        <w:r>
                          <w:rPr>
                            <w:rFonts w:hint="eastAsia"/>
                            <w:lang w:val="en-US" w:eastAsia="zh-CN"/>
                          </w:rPr>
                          <w:t>甩干</w:t>
                        </w:r>
                      </w:p>
                    </w:txbxContent>
                  </v:textbox>
                </v:rect>
                <v:rect id="矩形 228" o:spid="_x0000_s1026" o:spt="1" style="position:absolute;left:963295;top:2178685;height:273050;width:753111;"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CW&#10;vNcAAAAFAQAADwAAAAAAAAABACAAAAAiAAAAZHJzL2Rvd25yZXYueG1sUEsBAhQAFAAAAAgAh07i&#10;QKg/OW2xAQAATwMAAA4AAAAAAAAAAQAgAAAAJgEAAGRycy9lMm9Eb2MueG1sUEsFBgAAAAAGAAYA&#10;WQEAAEkFAAAAAA==&#10;">
                  <v:fill on="f" focussize="0,0"/>
                  <v:stroke on="f"/>
                  <v:imagedata o:title=""/>
                  <o:lock v:ext="edit" aspectratio="f"/>
                  <v:textbox>
                    <w:txbxContent>
                      <w:p w14:paraId="5C826ED0">
                        <w:pPr>
                          <w:pStyle w:val="8"/>
                          <w:bidi w:val="0"/>
                          <w:rPr>
                            <w:rFonts w:hint="default"/>
                            <w:lang w:val="en-US" w:eastAsia="zh-CN"/>
                          </w:rPr>
                        </w:pPr>
                        <w:r>
                          <w:rPr>
                            <w:rFonts w:hint="eastAsia"/>
                            <w:lang w:val="en-US" w:eastAsia="zh-CN"/>
                          </w:rPr>
                          <w:t>N、S1</w:t>
                        </w:r>
                      </w:p>
                    </w:txbxContent>
                  </v:textbox>
                </v:rect>
                <v:shape id="文本框 247" o:spid="_x0000_s1026" o:spt="202" type="#_x0000_t202" style="position:absolute;left:3535680;top:1871980;height:1461770;width:1638300;" fillcolor="#FFFFFF" filled="t" stroked="t" coordsize="21600,21600" o:gfxdata="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Z8s8PWAAAABQEAAA8A&#10;AAAAAAAAAQAgAAAAIgAAAGRycy9kb3ducmV2LnhtbFBLAQIUABQAAAAIAIdO4kA/oMHEGQIAAEcE&#10;AAAOAAAAAAAAAAEAIAAAACUBAABkcnMvZTJvRG9jLnhtbFBLBQYAAAAABgAGAFkBAACwBQAAAAA=&#10;">
                  <v:fill on="t" focussize="0,0"/>
                  <v:stroke color="#000000" joinstyle="miter"/>
                  <v:imagedata o:title=""/>
                  <o:lock v:ext="edit" aspectratio="f"/>
                  <v:textbox>
                    <w:txbxContent>
                      <w:p w14:paraId="5C20F840">
                        <w:pPr>
                          <w:pStyle w:val="8"/>
                          <w:bidi w:val="0"/>
                          <w:rPr>
                            <w:rFonts w:hint="default"/>
                            <w:lang w:val="en-US" w:eastAsia="zh-CN"/>
                          </w:rPr>
                        </w:pPr>
                        <w:r>
                          <w:rPr>
                            <w:rFonts w:hint="eastAsia"/>
                            <w:lang w:val="en-US" w:eastAsia="zh-CN"/>
                          </w:rPr>
                          <w:t>图例</w:t>
                        </w:r>
                      </w:p>
                      <w:p w14:paraId="295AA12B">
                        <w:pPr>
                          <w:pStyle w:val="8"/>
                          <w:bidi w:val="0"/>
                          <w:rPr>
                            <w:rFonts w:hint="default" w:eastAsia="宋体"/>
                            <w:lang w:val="en-US" w:eastAsia="zh-CN"/>
                          </w:rPr>
                        </w:pPr>
                        <w:r>
                          <w:rPr>
                            <w:rFonts w:hint="eastAsia" w:eastAsia="宋体"/>
                            <w:lang w:val="en-US" w:eastAsia="zh-CN"/>
                          </w:rPr>
                          <w:t>N：噪声</w:t>
                        </w:r>
                      </w:p>
                      <w:p w14:paraId="478AE933">
                        <w:pPr>
                          <w:pStyle w:val="8"/>
                          <w:bidi w:val="0"/>
                          <w:rPr>
                            <w:rFonts w:hint="default" w:ascii="Times New Roman" w:hAnsi="Times New Roman" w:eastAsia="宋体" w:cs="Times New Roman"/>
                            <w:lang w:val="en-US" w:eastAsia="zh-CN"/>
                          </w:rPr>
                        </w:pPr>
                        <w:r>
                          <w:rPr>
                            <w:rFonts w:hint="eastAsia" w:eastAsia="宋体"/>
                            <w:lang w:val="en-US" w:eastAsia="zh-CN"/>
                          </w:rPr>
                          <w:t>G1：</w:t>
                        </w:r>
                        <w:r>
                          <w:rPr>
                            <w:rFonts w:hint="eastAsia"/>
                            <w:lang w:val="en-US" w:eastAsia="zh-CN"/>
                          </w:rPr>
                          <w:t>非甲</w:t>
                        </w:r>
                        <w:r>
                          <w:rPr>
                            <w:rFonts w:hint="eastAsia" w:ascii="Times New Roman" w:hAnsi="Times New Roman" w:eastAsia="宋体" w:cs="Times New Roman"/>
                            <w:lang w:val="en-US" w:eastAsia="zh-CN"/>
                          </w:rPr>
                          <w:t>烷总烃</w:t>
                        </w:r>
                      </w:p>
                      <w:p w14:paraId="13964EA3">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G2：颗粒物</w:t>
                        </w:r>
                      </w:p>
                      <w:p w14:paraId="417A0BD2">
                        <w:pPr>
                          <w:pStyle w:val="8"/>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G3:臭气浓度</w:t>
                        </w:r>
                      </w:p>
                      <w:p w14:paraId="53CB7330">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S1：废</w:t>
                        </w:r>
                        <w:r>
                          <w:rPr>
                            <w:rFonts w:hint="eastAsia" w:cs="Times New Roman"/>
                            <w:lang w:val="en-US" w:eastAsia="zh-CN"/>
                          </w:rPr>
                          <w:t>液</w:t>
                        </w:r>
                      </w:p>
                      <w:p w14:paraId="105BF6F2">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S2：废过滤材料</w:t>
                        </w:r>
                      </w:p>
                      <w:p w14:paraId="3A1DAD77">
                        <w:pPr>
                          <w:pStyle w:val="8"/>
                          <w:bidi w:val="0"/>
                          <w:rPr>
                            <w:rFonts w:hint="default"/>
                            <w:lang w:val="en-US" w:eastAsia="zh-CN"/>
                          </w:rPr>
                        </w:pPr>
                        <w:r>
                          <w:rPr>
                            <w:rFonts w:hint="eastAsia" w:eastAsia="宋体"/>
                            <w:lang w:val="en-US" w:eastAsia="zh-CN"/>
                          </w:rPr>
                          <w:t>S</w:t>
                        </w:r>
                        <w:r>
                          <w:rPr>
                            <w:rFonts w:hint="eastAsia"/>
                            <w:lang w:val="en-US" w:eastAsia="zh-CN"/>
                          </w:rPr>
                          <w:t>3</w:t>
                        </w:r>
                        <w:r>
                          <w:rPr>
                            <w:rFonts w:hint="eastAsia" w:eastAsia="宋体"/>
                            <w:lang w:val="en-US" w:eastAsia="zh-CN"/>
                          </w:rPr>
                          <w:t>：废</w:t>
                        </w:r>
                        <w:r>
                          <w:rPr>
                            <w:rFonts w:hint="eastAsia"/>
                            <w:lang w:val="en-US" w:eastAsia="zh-CN"/>
                          </w:rPr>
                          <w:t>活性炭</w:t>
                        </w:r>
                      </w:p>
                    </w:txbxContent>
                  </v:textbox>
                </v:shape>
                <v:rect id="矩形 248" o:spid="_x0000_s1026" o:spt="1" style="position:absolute;left:1036955;top:1132205;height:266701;width:537210;"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CW&#10;vNcAAAAFAQAADwAAAAAAAAABACAAAAAiAAAAZHJzL2Rvd25yZXYueG1sUEsBAhQAFAAAAAgAh07i&#10;QHBQOB+xAQAAUAMAAA4AAAAAAAAAAQAgAAAAJgEAAGRycy9lMm9Eb2MueG1sUEsFBgAAAAAGAAYA&#10;WQEAAEkFAAAAAA==&#10;">
                  <v:fill on="f" focussize="0,0"/>
                  <v:stroke on="f"/>
                  <v:imagedata o:title=""/>
                  <o:lock v:ext="edit" aspectratio="f"/>
                  <v:textbox>
                    <w:txbxContent>
                      <w:p w14:paraId="46AF83D8">
                        <w:pPr>
                          <w:pStyle w:val="8"/>
                          <w:bidi w:val="0"/>
                          <w:rPr>
                            <w:rFonts w:hint="default"/>
                            <w:lang w:val="en-US" w:eastAsia="zh-CN"/>
                          </w:rPr>
                        </w:pPr>
                        <w:r>
                          <w:rPr>
                            <w:rFonts w:hint="eastAsia"/>
                            <w:lang w:val="en-US" w:eastAsia="zh-CN"/>
                          </w:rPr>
                          <w:t>N、G1</w:t>
                        </w:r>
                      </w:p>
                    </w:txbxContent>
                  </v:textbox>
                </v:rect>
                <v:rect id="矩形 249" o:spid="_x0000_s1026" o:spt="1" style="position:absolute;left:932180;top:1656080;height:266700;width:717550;"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kJa8&#10;1wAAAAUBAAAPAAAAAAAAAAEAIAAAACIAAABkcnMvZG93bnJldi54bWxQSwECFAAUAAAACACHTuJA&#10;HepNx7ABAABPAwAADgAAAAAAAAABACAAAAAmAQAAZHJzL2Uyb0RvYy54bWxQSwUGAAAAAAYABgBZ&#10;AQAASAUAAAAA&#10;">
                  <v:fill on="f" focussize="0,0"/>
                  <v:stroke on="f"/>
                  <v:imagedata o:title=""/>
                  <o:lock v:ext="edit" aspectratio="f"/>
                  <v:textbox>
                    <w:txbxContent>
                      <w:p w14:paraId="15BF111A">
                        <w:pPr>
                          <w:pStyle w:val="8"/>
                          <w:bidi w:val="0"/>
                          <w:rPr>
                            <w:rFonts w:hint="default"/>
                            <w:lang w:val="en-US" w:eastAsia="zh-CN"/>
                          </w:rPr>
                        </w:pPr>
                        <w:r>
                          <w:rPr>
                            <w:rFonts w:hint="eastAsia"/>
                            <w:lang w:val="en-US" w:eastAsia="zh-CN"/>
                          </w:rPr>
                          <w:t>G2、N</w:t>
                        </w:r>
                      </w:p>
                    </w:txbxContent>
                  </v:textbox>
                </v:rect>
                <v:shape id="自选图形 250" o:spid="_x0000_s1026" o:spt="32" type="#_x0000_t32" style="position:absolute;left:2986405;top:1449705;flip:y;height:6350;width:336550;" filled="f" stroked="t" coordsize="21600,21600" o:gfxdata="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0CjutYAAAAFAQAADwAAAAAAAAAB&#10;ACAAAAAiAAAAZHJzL2Rvd25yZXYueG1sUEsBAhQAFAAAAAgAh07iQMe5CvASAgAA/wMAAA4AAAAA&#10;AAAAAQAgAAAAJQEAAGRycy9lMm9Eb2MueG1sUEsFBgAAAAAGAAYAWQEAAKkFAAAAAA==&#10;">
                  <v:fill on="f" focussize="0,0"/>
                  <v:stroke color="#000000" joinstyle="round" dashstyle="dash" endarrow="open"/>
                  <v:imagedata o:title=""/>
                  <o:lock v:ext="edit" aspectratio="f"/>
                </v:shape>
                <v:rect id="矩形 251" o:spid="_x0000_s1026" o:spt="1" style="position:absolute;left:4383404;top:605790;height:266700;width:886461;"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CW&#10;vNcAAAAFAQAADwAAAAAAAAABACAAAAAiAAAAZHJzL2Rvd25yZXYueG1sUEsBAhQAFAAAAAgAh07i&#10;QO5VUh+xAQAATwMAAA4AAAAAAAAAAQAgAAAAJgEAAGRycy9lMm9Eb2MueG1sUEsFBgAAAAAGAAYA&#10;WQEAAEkFAAAAAA==&#10;">
                  <v:fill on="f" focussize="0,0"/>
                  <v:stroke on="f"/>
                  <v:imagedata o:title=""/>
                  <o:lock v:ext="edit" aspectratio="f"/>
                  <v:textbox>
                    <w:txbxContent>
                      <w:p w14:paraId="1372BC24">
                        <w:pPr>
                          <w:pStyle w:val="8"/>
                          <w:bidi w:val="0"/>
                          <w:rPr>
                            <w:rFonts w:hint="default"/>
                            <w:lang w:val="en-US" w:eastAsia="zh-CN"/>
                          </w:rPr>
                        </w:pPr>
                        <w:r>
                          <w:rPr>
                            <w:rFonts w:hint="eastAsia"/>
                            <w:lang w:val="en-US" w:eastAsia="zh-CN"/>
                          </w:rPr>
                          <w:t>23m排气筒</w:t>
                        </w:r>
                      </w:p>
                    </w:txbxContent>
                  </v:textbox>
                </v:rect>
                <v:rect id="矩形 252" o:spid="_x0000_s1026" o:spt="1" style="position:absolute;left:3322955;top:1322705;height:454660;width:962660;" fillcolor="#FFFFFF" filled="t" stroked="t" coordsize="21600,21600" o:gfxdata="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zwjGnVAAAABQEAAA8AAAAAAAAAAQAgAAAA&#10;IgAAAGRycy9kb3ducmV2LnhtbFBLAQIUABQAAAAIAIdO4kCuCzy4DgIAADgEAAAOAAAAAAAAAAEA&#10;IAAAACQBAABkcnMvZTJvRG9jLnhtbFBLBQYAAAAABgAGAFkBAACkBQAAAAA=&#10;">
                  <v:fill on="t" focussize="0,0"/>
                  <v:stroke color="#000000" joinstyle="miter"/>
                  <v:imagedata o:title=""/>
                  <o:lock v:ext="edit" aspectratio="f"/>
                  <v:textbox>
                    <w:txbxContent>
                      <w:p w14:paraId="246736D4">
                        <w:pPr>
                          <w:pStyle w:val="8"/>
                          <w:bidi w:val="0"/>
                          <w:rPr>
                            <w:rFonts w:hint="eastAsia" w:eastAsia="宋体"/>
                            <w:lang w:val="en-US" w:eastAsia="zh-CN"/>
                          </w:rPr>
                        </w:pPr>
                        <w:r>
                          <w:rPr>
                            <w:rFonts w:hint="eastAsia" w:eastAsia="宋体"/>
                            <w:lang w:val="en-US" w:eastAsia="zh-CN"/>
                          </w:rPr>
                          <w:t>油雾净化器</w:t>
                        </w:r>
                      </w:p>
                      <w:p w14:paraId="6160582D">
                        <w:pPr>
                          <w:pStyle w:val="8"/>
                          <w:bidi w:val="0"/>
                          <w:rPr>
                            <w:rFonts w:hint="default" w:eastAsia="宋体"/>
                            <w:lang w:val="en-US" w:eastAsia="zh-CN"/>
                          </w:rPr>
                        </w:pPr>
                        <w:r>
                          <w:rPr>
                            <w:rFonts w:hint="eastAsia" w:eastAsia="宋体"/>
                            <w:lang w:val="en-US" w:eastAsia="zh-CN"/>
                          </w:rPr>
                          <w:t>+活性炭吸附</w:t>
                        </w:r>
                      </w:p>
                    </w:txbxContent>
                  </v:textbox>
                </v:rect>
                <v:rect id="矩形 253" o:spid="_x0000_s1026" o:spt="1" style="position:absolute;left:2883535;top:1141730;height:219075;width:518160;"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mQ&#10;lrzXAAAABQEAAA8AAAAAAAAAAQAgAAAAIgAAAGRycy9kb3ducmV2LnhtbFBLAQIUABQAAAAIAIdO&#10;4kC5GxqpsgEAAFADAAAOAAAAAAAAAAEAIAAAACYBAABkcnMvZTJvRG9jLnhtbFBLBQYAAAAABgAG&#10;AFkBAABKBQAAAAA=&#10;">
                  <v:fill on="f" focussize="0,0"/>
                  <v:stroke on="f"/>
                  <v:imagedata o:title=""/>
                  <o:lock v:ext="edit" aspectratio="f"/>
                  <v:textbox>
                    <w:txbxContent>
                      <w:p w14:paraId="1D9965E4">
                        <w:pPr>
                          <w:pStyle w:val="8"/>
                          <w:bidi w:val="0"/>
                          <w:rPr>
                            <w:rFonts w:hint="default"/>
                            <w:lang w:val="en-US" w:eastAsia="zh-CN"/>
                          </w:rPr>
                        </w:pPr>
                        <w:r>
                          <w:rPr>
                            <w:rFonts w:hint="eastAsia"/>
                            <w:lang w:val="en-US" w:eastAsia="zh-CN"/>
                          </w:rPr>
                          <w:t>G1</w:t>
                        </w:r>
                      </w:p>
                    </w:txbxContent>
                  </v:textbox>
                </v:rect>
                <v:shape id="自选图形 255" o:spid="_x0000_s1026" o:spt="32" type="#_x0000_t32" style="position:absolute;left:4295775;top:1687830;height:8890;width:268606;" filled="f" stroked="t" coordsize="21600,21600" o:gfxdata="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X31QAAAAUBAAAPAAAAAAAAAAEAIAAA&#10;ACIAAABkcnMvZG93bnJldi54bWxQSwECFAAUAAAACACHTuJAdwqJcg8CAAD2AwAADgAAAAAAAAAB&#10;ACAAAAAkAQAAZHJzL2Uyb0RvYy54bWxQSwUGAAAAAAYABgBZAQAApQUAAAAA&#10;">
                  <v:fill on="f" focussize="0,0"/>
                  <v:stroke color="#000000" joinstyle="round" endarrow="open"/>
                  <v:imagedata o:title=""/>
                  <o:lock v:ext="edit" aspectratio="f"/>
                </v:shape>
                <v:rect id="矩形 256" o:spid="_x0000_s1026" o:spt="1" style="position:absolute;left:4483735;top:1538605;height:266700;width:618490;"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ZCWvNcAAAAFAQAADwAAAAAAAAABACAAAAAiAAAAZHJzL2Rvd25yZXYueG1sUEsBAhQAFAAAAAgA&#10;h07iQFiHvZG0AQAAUAMAAA4AAAAAAAAAAQAgAAAAJgEAAGRycy9lMm9Eb2MueG1sUEsFBgAAAAAG&#10;AAYAWQEAAEwFAAAAAA==&#10;">
                  <v:fill on="f" focussize="0,0"/>
                  <v:stroke on="f"/>
                  <v:imagedata o:title=""/>
                  <o:lock v:ext="edit" aspectratio="f"/>
                  <v:textbox>
                    <w:txbxContent>
                      <w:p w14:paraId="654C5815">
                        <w:pPr>
                          <w:pStyle w:val="8"/>
                          <w:bidi w:val="0"/>
                          <w:rPr>
                            <w:rFonts w:hint="default"/>
                            <w:lang w:val="en-US" w:eastAsia="zh-CN"/>
                          </w:rPr>
                        </w:pPr>
                        <w:r>
                          <w:rPr>
                            <w:rFonts w:hint="eastAsia"/>
                            <w:lang w:val="en-US" w:eastAsia="zh-CN"/>
                          </w:rPr>
                          <w:t>S2</w:t>
                        </w:r>
                      </w:p>
                    </w:txbxContent>
                  </v:textbox>
                </v:rect>
                <v:rect id="矩形 257" o:spid="_x0000_s1026" o:spt="1" style="position:absolute;left:1703705;top:987425;height:1583055;width:1244601;" fillcolor="#000000" filled="t" stroked="t" coordsize="21600,21600" o:gfxdata="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2Kn3jXAAAABQEAAA8AAAAA&#10;AAAAAQAgAAAAIgAAAGRycy9kb3ducmV2LnhtbFBLAQIUABQAAAAIAIdO4kCttwybFQIAAEoEAAAO&#10;AAAAAAAAAAEAIAAAACYBAABkcnMvZTJvRG9jLnhtbFBLBQYAAAAABgAGAFkBAACtBQAAAAA=&#10;">
                  <v:fill on="t" opacity="0f" focussize="0,0"/>
                  <v:stroke color="#000000" joinstyle="miter" dashstyle="dash"/>
                  <v:imagedata o:title=""/>
                  <o:lock v:ext="edit" aspectratio="f"/>
                </v:rect>
                <v:rect id="矩形 358" o:spid="_x0000_s1026" o:spt="1" style="position:absolute;left:3089910;top:42545;height:266700;width:1028700;" fillcolor="#FFFFFF" filled="t" stroked="t" coordsize="21600,21600" o:gfxdata="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8Ixp1QAAAAUBAAAPAAAAAAAAAAEAIAAA&#10;ACIAAABkcnMvZG93bnJldi54bWxQSwECFAAUAAAACACHTuJArby//g8CAAA3BAAADgAAAAAAAAAB&#10;ACAAAAAkAQAAZHJzL2Uyb0RvYy54bWxQSwUGAAAAAAYABgBZAQAApQUAAAAA&#10;">
                  <v:fill on="t" focussize="0,0"/>
                  <v:stroke color="#000000" joinstyle="miter"/>
                  <v:imagedata o:title=""/>
                  <o:lock v:ext="edit" aspectratio="f"/>
                  <v:textbox>
                    <w:txbxContent>
                      <w:p w14:paraId="1AE21868">
                        <w:pPr>
                          <w:pStyle w:val="8"/>
                          <w:bidi w:val="0"/>
                          <w:rPr>
                            <w:rFonts w:hint="default"/>
                            <w:lang w:val="en-US" w:eastAsia="zh-CN"/>
                          </w:rPr>
                        </w:pPr>
                        <w:r>
                          <w:rPr>
                            <w:rFonts w:hint="eastAsia"/>
                            <w:lang w:val="en-US" w:eastAsia="zh-CN"/>
                          </w:rPr>
                          <w:t>危险废物贮存库</w:t>
                        </w:r>
                      </w:p>
                    </w:txbxContent>
                  </v:textbox>
                </v:rect>
                <v:shape id="自选图形 359" o:spid="_x0000_s1026" o:spt="32" type="#_x0000_t32" style="position:absolute;left:2814955;top:708660;flip:y;height:0;width:330201;" filled="f" stroked="t" coordsize="21600,21600" o:gfxdata="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QKO61gAAAAUBAAAPAAAAAAAAAAEA&#10;IAAAACIAAABkcnMvZG93bnJldi54bWxQSwECFAAUAAAACACHTuJAkUwyyhECAAD7AwAADgAAAAAA&#10;AAABACAAAAAlAQAAZHJzL2Uyb0RvYy54bWxQSwUGAAAAAAYABgBZAQAAqAUAAAAA&#10;">
                  <v:fill on="f" focussize="0,0"/>
                  <v:stroke color="#000000" joinstyle="round" dashstyle="dash" endarrow="open"/>
                  <v:imagedata o:title=""/>
                  <o:lock v:ext="edit" aspectratio="f"/>
                </v:shape>
                <v:shape id="自选图形 360" o:spid="_x0000_s1026" o:spt="32" type="#_x0000_t32" style="position:absolute;left:3571875;top:301625;height:253999;width:10795;" filled="f" stroked="t" coordsize="21600,21600" o:gfxdata="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tzo+TWAAAABQEAAA8AAAAAAAAAAQAgAAAAIgAA&#10;AGRycy9kb3ducmV2LnhtbFBLAQIUABQAAAAIAIdO4kBGCinlCgIAAPUDAAAOAAAAAAAAAAEAIAAA&#10;ACUBAABkcnMvZTJvRG9jLnhtbFBLBQYAAAAABgAGAFkBAAChBQAAAAA=&#10;">
                  <v:fill on="f" focussize="0,0"/>
                  <v:stroke color="#000000" joinstyle="round" dashstyle="dash" endarrow="open"/>
                  <v:imagedata o:title=""/>
                  <o:lock v:ext="edit" aspectratio="f"/>
                </v:shape>
                <v:rect id="矩形 361" o:spid="_x0000_s1026" o:spt="1" style="position:absolute;left:3175000;top:581660;height:297180;width:952501;" fillcolor="#FFFFFF" filled="t" stroked="t" coordsize="21600,21600" o:gfxdata="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8Ixp1QAAAAUBAAAPAAAAAAAAAAEAIAAA&#10;ACIAAABkcnMvZG93bnJldi54bWxQSwECFAAUAAAACACHTuJAmdVk3g8CAAA3BAAADgAAAAAAAAAB&#10;ACAAAAAkAQAAZHJzL2Uyb0RvYy54bWxQSwUGAAAAAAYABgBZAQAApQUAAAAA&#10;">
                  <v:fill on="t" focussize="0,0"/>
                  <v:stroke color="#000000" joinstyle="miter"/>
                  <v:imagedata o:title=""/>
                  <o:lock v:ext="edit" aspectratio="f"/>
                  <v:textbox>
                    <w:txbxContent>
                      <w:p w14:paraId="7D8B4A25">
                        <w:pPr>
                          <w:pStyle w:val="8"/>
                          <w:bidi w:val="0"/>
                          <w:rPr>
                            <w:rFonts w:hint="default" w:eastAsia="宋体"/>
                            <w:lang w:val="en-US" w:eastAsia="zh-CN"/>
                          </w:rPr>
                        </w:pPr>
                        <w:r>
                          <w:rPr>
                            <w:rFonts w:hint="eastAsia" w:eastAsia="宋体"/>
                            <w:lang w:val="en-US" w:eastAsia="zh-CN"/>
                          </w:rPr>
                          <w:t>活性炭吸附</w:t>
                        </w:r>
                      </w:p>
                    </w:txbxContent>
                  </v:textbox>
                </v:rect>
                <v:rect id="矩形 363" o:spid="_x0000_s1026" o:spt="1" style="position:absolute;left:2713355;top:459105;height:215900;width:508000;"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ZCW&#10;vNcAAAAFAQAADwAAAAAAAAABACAAAAAiAAAAZHJzL2Rvd25yZXYueG1sUEsBAhQAFAAAAAgAh07i&#10;QKzSgsKxAQAATwMAAA4AAAAAAAAAAQAgAAAAJgEAAGRycy9lMm9Eb2MueG1sUEsFBgAAAAAGAAYA&#10;WQEAAEkFAAAAAA==&#10;">
                  <v:fill on="f" focussize="0,0"/>
                  <v:stroke on="f"/>
                  <v:imagedata o:title=""/>
                  <o:lock v:ext="edit" aspectratio="f"/>
                  <v:textbox>
                    <w:txbxContent>
                      <w:p w14:paraId="22D82F9D">
                        <w:pPr>
                          <w:pStyle w:val="8"/>
                          <w:bidi w:val="0"/>
                          <w:rPr>
                            <w:rFonts w:hint="default"/>
                            <w:lang w:val="en-US" w:eastAsia="zh-CN"/>
                          </w:rPr>
                        </w:pPr>
                        <w:r>
                          <w:rPr>
                            <w:rFonts w:hint="eastAsia"/>
                            <w:lang w:val="en-US" w:eastAsia="zh-CN"/>
                          </w:rPr>
                          <w:t>G1</w:t>
                        </w:r>
                      </w:p>
                    </w:txbxContent>
                  </v:textbox>
                </v:rect>
                <v:rect id="矩形 364" o:spid="_x0000_s1026" o:spt="1" style="position:absolute;left:3591560;top:342265;height:215900;width:508000;"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mQlrzX&#10;AAAABQEAAA8AAAAAAAAAAQAgAAAAIgAAAGRycy9kb3ducmV2LnhtbFBLAQIUABQAAAAIAIdO4kAu&#10;Yv6xrwEAAE8DAAAOAAAAAAAAAAEAIAAAACYBAABkcnMvZTJvRG9jLnhtbFBLBQYAAAAABgAGAFkB&#10;AABHBQAAAAA=&#10;">
                  <v:fill on="f" focussize="0,0"/>
                  <v:stroke on="f"/>
                  <v:imagedata o:title=""/>
                  <o:lock v:ext="edit" aspectratio="f"/>
                  <v:textbox>
                    <w:txbxContent>
                      <w:p w14:paraId="4D72D0CA">
                        <w:pPr>
                          <w:pStyle w:val="8"/>
                          <w:bidi w:val="0"/>
                          <w:rPr>
                            <w:rFonts w:hint="default"/>
                            <w:lang w:val="en-US" w:eastAsia="zh-CN"/>
                          </w:rPr>
                        </w:pPr>
                        <w:r>
                          <w:rPr>
                            <w:rFonts w:hint="eastAsia"/>
                            <w:lang w:val="en-US" w:eastAsia="zh-CN"/>
                          </w:rPr>
                          <w:t>G1</w:t>
                        </w:r>
                      </w:p>
                    </w:txbxContent>
                  </v:textbox>
                </v:rect>
                <v:shape id="自选图形 365" o:spid="_x0000_s1026" o:spt="32" type="#_x0000_t32" style="position:absolute;left:4148455;top:708660;flip:y;height:0;width:330201;" filled="f" stroked="t" coordsize="21600,21600" o:gfxdata="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QKO61gAAAAUBAAAPAAAAAAAAAAEA&#10;IAAAACIAAABkcnMvZG93bnJldi54bWxQSwECFAAUAAAACACHTuJAVGnBdBECAAD7AwAADgAAAAAA&#10;AAABACAAAAAlAQAAZHJzL2Uyb0RvYy54bWxQSwUGAAAAAAYABgBZAQAAqAUAAAAA&#10;">
                  <v:fill on="f" focussize="0,0"/>
                  <v:stroke color="#000000" joinstyle="round" dashstyle="dash" endarrow="open"/>
                  <v:imagedata o:title=""/>
                  <o:lock v:ext="edit" aspectratio="f"/>
                </v:shape>
                <v:shape id="自选图形 513" o:spid="_x0000_s1026" o:spt="32" type="#_x0000_t32" style="position:absolute;left:3646805;top:884555;height:168275;width:3175;" filled="f" stroked="t" coordsize="21600,21600" o:gfxdata="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&#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2a199UAAAAFAQAADwAAAAAAAAABACAAAAAiAAAA&#10;ZHJzL2Rvd25yZXYueG1sUEsBAhQAFAAAAAgAh07iQMKYHbYKAgAA9QMAAA4AAAAAAAAAAQAgAAAA&#10;JAEAAGRycy9lMm9Eb2MueG1sUEsFBgAAAAAGAAYAWQEAAKAFAAAAAA==&#10;">
                  <v:fill on="f" focussize="0,0"/>
                  <v:stroke color="#000000" joinstyle="round" endarrow="open"/>
                  <v:imagedata o:title=""/>
                  <o:lock v:ext="edit" aspectratio="f"/>
                </v:shape>
                <v:rect id="矩形 514" o:spid="_x0000_s1026" o:spt="1" style="position:absolute;left:3437255;top:1008380;height:266700;width:609599;" filled="f" stroked="f" coordsize="21600,21600" o:gfxdata="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mQ&#10;lrzXAAAABQEAAA8AAAAAAAAAAQAgAAAAIgAAAGRycy9kb3ducmV2LnhtbFBLAQIUABQAAAAIAIdO&#10;4kCphQZWsgEAAFADAAAOAAAAAAAAAAEAIAAAACYBAABkcnMvZTJvRG9jLnhtbFBLBQYAAAAABgAG&#10;AFkBAABKBQAAAAA=&#10;">
                  <v:fill on="f" focussize="0,0"/>
                  <v:stroke on="f"/>
                  <v:imagedata o:title=""/>
                  <o:lock v:ext="edit" aspectratio="f"/>
                  <v:textbox>
                    <w:txbxContent>
                      <w:p w14:paraId="19A6F95A">
                        <w:pPr>
                          <w:pStyle w:val="8"/>
                          <w:bidi w:val="0"/>
                          <w:rPr>
                            <w:rFonts w:hint="default"/>
                            <w:lang w:val="en-US" w:eastAsia="zh-CN"/>
                          </w:rPr>
                        </w:pPr>
                        <w:r>
                          <w:rPr>
                            <w:rFonts w:hint="eastAsia"/>
                            <w:lang w:val="en-US" w:eastAsia="zh-CN"/>
                          </w:rPr>
                          <w:t>S3</w:t>
                        </w:r>
                      </w:p>
                    </w:txbxContent>
                  </v:textbox>
                </v:rect>
                <w10:wrap type="none"/>
                <w10:anchorlock/>
              </v:group>
            </w:pict>
          </mc:Fallback>
        </mc:AlternateContent>
      </w:r>
    </w:p>
    <w:p w14:paraId="267A2CF3">
      <w:pPr>
        <w:pStyle w:val="7"/>
        <w:bidi w:val="0"/>
        <w:rPr>
          <w:highlight w:val="none"/>
        </w:rPr>
      </w:pPr>
      <w:r>
        <w:rPr>
          <w:highlight w:val="none"/>
        </w:rPr>
        <w:t>图3-</w:t>
      </w:r>
      <w:r>
        <w:rPr>
          <w:rFonts w:hint="eastAsia"/>
          <w:highlight w:val="none"/>
          <w:lang w:val="en-US" w:eastAsia="zh-CN"/>
        </w:rPr>
        <w:t>2</w:t>
      </w:r>
      <w:r>
        <w:rPr>
          <w:highlight w:val="none"/>
        </w:rPr>
        <w:t>-</w:t>
      </w:r>
      <w:r>
        <w:rPr>
          <w:rFonts w:hint="eastAsia"/>
          <w:highlight w:val="none"/>
          <w:lang w:val="en-US" w:eastAsia="zh-CN"/>
        </w:rPr>
        <w:t>1含油金属屑</w:t>
      </w:r>
      <w:r>
        <w:rPr>
          <w:highlight w:val="none"/>
        </w:rPr>
        <w:t>生产工艺流程及产排污节点图</w:t>
      </w:r>
    </w:p>
    <w:p w14:paraId="4D011158">
      <w:pPr>
        <w:bidi w:val="0"/>
        <w:rPr>
          <w:highlight w:val="none"/>
        </w:rPr>
      </w:pPr>
      <w:r>
        <w:rPr>
          <w:highlight w:val="none"/>
        </w:rPr>
        <w:t>主要生产工序及产污环节分析：</w:t>
      </w:r>
    </w:p>
    <w:p w14:paraId="6336FEC5">
      <w:pPr>
        <w:keepNext w:val="0"/>
        <w:keepLines w:val="0"/>
        <w:widowControl/>
        <w:numPr>
          <w:ilvl w:val="0"/>
          <w:numId w:val="9"/>
        </w:numPr>
        <w:suppressLineNumbers w:val="0"/>
        <w:jc w:val="left"/>
        <w:rPr>
          <w:rFonts w:hint="eastAsia"/>
          <w:highlight w:val="none"/>
          <w:lang w:val="en-US" w:eastAsia="zh-CN"/>
        </w:rPr>
      </w:pPr>
      <w:r>
        <w:rPr>
          <w:rFonts w:hint="eastAsia"/>
          <w:highlight w:val="none"/>
          <w:lang w:val="en-US" w:eastAsia="zh-CN"/>
        </w:rPr>
        <w:t>含油金属屑、废铁质油桶在产废车间收运时将金属屑直接装入密封转运车，由专业运输车辆经规定的运输线路运至拟建项目原料贮存区进行卸料，车辆不进入堆放区内，避免油污带出车间。卸车前进行危险废物登记及称重，完成卸车后专业运输车回原单位待命，不在厂区内停放和清洗。要求卸车工作人员熟悉危险废物类别及其危险特性，在卸料过程中规范操作避免包装物损坏。危险废物的盛装应足够安全，并经过周密检查，严防在卸料过程中出现渗漏、抛洒等情况。含油金属屑卸料过程在生产车间内进行，且卸料时间极短，因此，不单独考虑卸料过程中的废气，纳入原料暂存废气中一并考虑。根据各厂家含油的废金属屑的不同，分质分类进行收集暂存。含油金属屑分类堆放区布置在封闭的原料贮存区内。此工序产生油雾、挥发性有机物、臭气浓度及噪声。</w:t>
      </w:r>
    </w:p>
    <w:p w14:paraId="78A50E9C">
      <w:pPr>
        <w:keepNext w:val="0"/>
        <w:keepLines w:val="0"/>
        <w:widowControl/>
        <w:numPr>
          <w:ilvl w:val="0"/>
          <w:numId w:val="9"/>
        </w:numPr>
        <w:suppressLineNumbers w:val="0"/>
        <w:jc w:val="left"/>
        <w:rPr>
          <w:rFonts w:hint="eastAsia"/>
          <w:highlight w:val="none"/>
          <w:lang w:val="en-US" w:eastAsia="zh-CN"/>
        </w:rPr>
      </w:pPr>
      <w:r>
        <w:rPr>
          <w:rFonts w:hint="eastAsia"/>
          <w:highlight w:val="none"/>
          <w:lang w:val="en-US" w:eastAsia="zh-CN"/>
        </w:rPr>
        <w:t>含油金属屑、废铁质油桶使用传送带送至上料机入料口，进入金属屑粉碎机，传送过程及设备均密闭，金属屑粉碎机将大块金属破碎成小块。在粉碎过程中，由于不将金属屑破碎成微细小块或粉尘，破碎后粒径约为3-5cm，且含油金属屑含油率较大，设备密闭，可视为湿法加工。此工序产生非甲烷总烃、臭气浓度、颗粒物、噪声。</w:t>
      </w:r>
    </w:p>
    <w:p w14:paraId="3C31B463">
      <w:pPr>
        <w:keepNext w:val="0"/>
        <w:keepLines w:val="0"/>
        <w:widowControl/>
        <w:numPr>
          <w:ilvl w:val="0"/>
          <w:numId w:val="9"/>
        </w:numPr>
        <w:suppressLineNumbers w:val="0"/>
        <w:jc w:val="left"/>
        <w:rPr>
          <w:rFonts w:hint="eastAsia"/>
          <w:highlight w:val="none"/>
          <w:lang w:val="en-US" w:eastAsia="zh-CN"/>
        </w:rPr>
      </w:pPr>
      <w:r>
        <w:rPr>
          <w:rFonts w:hint="eastAsia"/>
          <w:highlight w:val="none"/>
          <w:lang w:val="en-US" w:eastAsia="zh-CN"/>
        </w:rPr>
        <w:t>破碎后的含油金属屑通过密闭输送机输送至脱油机，采用离心力将金属屑与废液分离。本项目脱油过程全密闭，脱油后金属屑自动排出到输送机排到吨袋中收集，可满足《国家危险废物名录（2025版）》附</w:t>
      </w:r>
      <w:r>
        <w:rPr>
          <w:rFonts w:ascii="宋体" w:hAnsi="宋体" w:eastAsia="宋体" w:cs="宋体"/>
          <w:sz w:val="24"/>
          <w:szCs w:val="24"/>
          <w:highlight w:val="none"/>
        </w:rPr>
        <w:t>录《危险废物豁免管理清单》</w:t>
      </w:r>
      <w:r>
        <w:rPr>
          <w:rFonts w:hint="eastAsia" w:ascii="宋体" w:hAnsi="宋体" w:eastAsia="宋体" w:cs="宋体"/>
          <w:sz w:val="24"/>
          <w:szCs w:val="24"/>
          <w:highlight w:val="none"/>
          <w:lang w:val="en-US" w:eastAsia="zh-CN"/>
        </w:rPr>
        <w:t>中“</w:t>
      </w:r>
      <w:r>
        <w:rPr>
          <w:rFonts w:ascii="宋体" w:hAnsi="宋体" w:eastAsia="宋体" w:cs="宋体"/>
          <w:sz w:val="24"/>
          <w:szCs w:val="24"/>
          <w:highlight w:val="none"/>
        </w:rPr>
        <w:t>压榨、压滤、过滤除</w:t>
      </w:r>
      <w:r>
        <w:rPr>
          <w:rFonts w:hint="eastAsia"/>
          <w:highlight w:val="none"/>
          <w:lang w:val="en-US" w:eastAsia="zh-CN"/>
        </w:rPr>
        <w:t>油达到静置无滴漏后打包压块用于金属冶炼。”要求，脱油金属屑按危险废物管理，采用符合要求的危险废物容器收集后，交由有资质单位作为原料使用。此工序产生油雾、挥发性有机物、臭气浓度、废油、噪声。</w:t>
      </w:r>
    </w:p>
    <w:p w14:paraId="44438D42">
      <w:pPr>
        <w:keepNext w:val="0"/>
        <w:keepLines w:val="0"/>
        <w:widowControl/>
        <w:numPr>
          <w:ilvl w:val="0"/>
          <w:numId w:val="9"/>
        </w:numPr>
        <w:suppressLineNumbers w:val="0"/>
        <w:jc w:val="left"/>
        <w:rPr>
          <w:rFonts w:hint="default"/>
          <w:highlight w:val="none"/>
          <w:lang w:val="en-US" w:eastAsia="zh-CN"/>
        </w:rPr>
      </w:pPr>
      <w:r>
        <w:rPr>
          <w:rFonts w:hint="eastAsia"/>
          <w:highlight w:val="none"/>
          <w:lang w:val="en-US" w:eastAsia="zh-CN"/>
        </w:rPr>
        <w:t>本项目生产产生的废气收集后，经油雾净化器+活性炭吸附装置处理后经1根15m高排气筒（DA001）排放；危险废物贮存库产生的废气收集后经活性炭吸附装置处理后经15m高排气筒（DA002）排放。此工序产生废过滤材料、废活性炭。</w:t>
      </w:r>
    </w:p>
    <w:p w14:paraId="3C36901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eastAsiaTheme="minorEastAsia"/>
          <w:kern w:val="0"/>
          <w:sz w:val="24"/>
          <w:highlight w:val="none"/>
        </w:rPr>
      </w:pPr>
      <w:r>
        <w:drawing>
          <wp:inline distT="0" distB="0" distL="114300" distR="114300">
            <wp:extent cx="1971675" cy="3600450"/>
            <wp:effectExtent l="9525" t="9525" r="19050" b="9525"/>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27"/>
                    <a:stretch>
                      <a:fillRect/>
                    </a:stretch>
                  </pic:blipFill>
                  <pic:spPr>
                    <a:xfrm>
                      <a:off x="0" y="0"/>
                      <a:ext cx="1971675" cy="3600450"/>
                    </a:xfrm>
                    <a:prstGeom prst="rect">
                      <a:avLst/>
                    </a:prstGeom>
                    <a:noFill/>
                    <a:ln>
                      <a:solidFill>
                        <a:schemeClr val="tx1"/>
                      </a:solidFill>
                    </a:ln>
                  </pic:spPr>
                </pic:pic>
              </a:graphicData>
            </a:graphic>
          </wp:inline>
        </w:drawing>
      </w:r>
    </w:p>
    <w:p w14:paraId="573C3EE3">
      <w:pPr>
        <w:pStyle w:val="7"/>
        <w:bidi w:val="0"/>
        <w:rPr>
          <w:highlight w:val="none"/>
        </w:rPr>
      </w:pPr>
      <w:r>
        <w:rPr>
          <w:highlight w:val="none"/>
        </w:rPr>
        <w:t>图3-</w:t>
      </w:r>
      <w:r>
        <w:rPr>
          <w:rFonts w:hint="eastAsia"/>
          <w:highlight w:val="none"/>
          <w:lang w:val="en-US" w:eastAsia="zh-CN"/>
        </w:rPr>
        <w:t>2</w:t>
      </w:r>
      <w:r>
        <w:rPr>
          <w:highlight w:val="none"/>
        </w:rPr>
        <w:t>-</w:t>
      </w:r>
      <w:r>
        <w:rPr>
          <w:rFonts w:hint="eastAsia"/>
          <w:highlight w:val="none"/>
          <w:lang w:val="en-US" w:eastAsia="zh-CN"/>
        </w:rPr>
        <w:t>2废锂电池收集储存</w:t>
      </w:r>
      <w:r>
        <w:rPr>
          <w:highlight w:val="none"/>
        </w:rPr>
        <w:t>工艺流程图及产排污节点图</w:t>
      </w:r>
    </w:p>
    <w:p w14:paraId="0BDD86FC">
      <w:pPr>
        <w:bidi w:val="0"/>
        <w:rPr>
          <w:highlight w:val="none"/>
        </w:rPr>
      </w:pPr>
      <w:r>
        <w:rPr>
          <w:highlight w:val="none"/>
        </w:rPr>
        <w:t>主要生产工序及产污环节分析：</w:t>
      </w:r>
    </w:p>
    <w:p w14:paraId="44CEAC7F">
      <w:pPr>
        <w:bidi w:val="0"/>
        <w:rPr>
          <w:rFonts w:hint="eastAsia"/>
          <w:lang w:val="zh-CN"/>
        </w:rPr>
      </w:pPr>
      <w:r>
        <w:rPr>
          <w:lang w:val="zh-CN"/>
        </w:rPr>
        <w:t>（1）</w:t>
      </w:r>
      <w:r>
        <w:rPr>
          <w:rFonts w:hint="eastAsia"/>
          <w:lang w:val="zh-CN"/>
        </w:rPr>
        <w:t>收集、装车：项目主要收集汽车修理厂等产生的新能源汽车的锂电池。收集过程中，先检查废旧锂电池的外观，并在电池上张贴标签，注明来源、规格等信息，将完好的锂电池进行收集，破损的锂电池不进行收集。收集的锂电池委托有资质的运输单位采用专用运输车运输。</w:t>
      </w:r>
    </w:p>
    <w:p w14:paraId="08D87E18">
      <w:pPr>
        <w:bidi w:val="0"/>
        <w:rPr>
          <w:rFonts w:hint="eastAsia"/>
          <w:lang w:val="zh-CN"/>
        </w:rPr>
      </w:pPr>
      <w:r>
        <w:rPr>
          <w:lang w:val="zh-CN"/>
        </w:rPr>
        <w:t>（2）</w:t>
      </w:r>
      <w:r>
        <w:rPr>
          <w:rFonts w:hint="eastAsia"/>
          <w:lang w:val="zh-CN"/>
        </w:rPr>
        <w:t>卸货：运输至厂区后，车辆进入装卸区，用叉车卸货，同时人工进行称重、登记，装入专用包装材料内然后由叉车运至储存区暂存。</w:t>
      </w:r>
    </w:p>
    <w:p w14:paraId="20280576">
      <w:pPr>
        <w:bidi w:val="0"/>
        <w:rPr>
          <w:rFonts w:hint="eastAsia"/>
          <w:lang w:val="zh-CN"/>
        </w:rPr>
      </w:pPr>
      <w:r>
        <w:rPr>
          <w:lang w:val="zh-CN"/>
        </w:rPr>
        <w:t>（</w:t>
      </w:r>
      <w:r>
        <w:rPr>
          <w:rFonts w:hint="eastAsia"/>
          <w:lang w:val="en-US" w:eastAsia="zh-CN"/>
        </w:rPr>
        <w:t>3</w:t>
      </w:r>
      <w:r>
        <w:rPr>
          <w:lang w:val="zh-CN"/>
        </w:rPr>
        <w:t>）</w:t>
      </w:r>
      <w:r>
        <w:rPr>
          <w:rFonts w:hint="eastAsia"/>
          <w:lang w:val="zh-CN"/>
        </w:rPr>
        <w:t>贮存：根据《电池废料贮运规范》(GB/T26493-2011)标准要求，将回收的废锂电池进行储存。根据建设单位的设计方案，废旧锂电池储存库房地面将根据《一般工业固体废物贮存和填埋污染控制标准》(GB18599-2020)要求设置。</w:t>
      </w:r>
    </w:p>
    <w:p w14:paraId="1D9BB8D7">
      <w:pPr>
        <w:bidi w:val="0"/>
      </w:pPr>
      <w:r>
        <w:rPr>
          <w:rFonts w:hint="eastAsia"/>
          <w:lang w:val="zh-CN"/>
        </w:rPr>
        <w:t>本项目仅收集贮存完好的锂电池，不收集破损的锂电池。锂电池放于塑料托盘内。运输或贮存过程中出现破损则会泄漏出电解液，废电解液属于危险废物。破损的废旧电池以及因废旧电池破损而渗漏的电解液需贮存在专用具盖密封耐酸容器中，暂存于危险废物贮存库，委托有资质单位进行处置</w:t>
      </w:r>
      <w:r>
        <w:rPr>
          <w:lang w:val="zh-CN"/>
        </w:rPr>
        <w:t>。</w:t>
      </w:r>
    </w:p>
    <w:p w14:paraId="5D5711AB">
      <w:pPr>
        <w:bidi w:val="0"/>
        <w:rPr>
          <w:lang w:val="zh-CN"/>
        </w:rPr>
      </w:pPr>
      <w:r>
        <w:rPr>
          <w:lang w:val="zh-CN"/>
        </w:rPr>
        <w:t>（3）</w:t>
      </w:r>
      <w:r>
        <w:rPr>
          <w:rFonts w:hint="eastAsia"/>
          <w:lang w:val="zh-CN"/>
        </w:rPr>
        <w:t>外运：厂内转移至下游接收单位的运输过程委托具有专业危险品运输营运资质的车辆完成。项目贮存区存量满足运输公司发货车辆额定载重后，立即装车转运，并做好登记工作。装车时用叉车直接连同包装一并装车，降低搬运过程中使电池受损的可能</w:t>
      </w:r>
      <w:r>
        <w:rPr>
          <w:lang w:val="zh-CN"/>
        </w:rPr>
        <w:t>。</w:t>
      </w:r>
    </w:p>
    <w:p w14:paraId="55956497">
      <w:pPr>
        <w:pStyle w:val="6"/>
        <w:bidi w:val="0"/>
        <w:rPr>
          <w:highlight w:val="none"/>
        </w:rPr>
      </w:pPr>
      <w:r>
        <w:rPr>
          <w:highlight w:val="none"/>
        </w:rPr>
        <w:t>3.</w:t>
      </w:r>
      <w:r>
        <w:rPr>
          <w:rFonts w:hint="eastAsia"/>
          <w:highlight w:val="none"/>
          <w:lang w:val="en-US" w:eastAsia="zh-CN"/>
        </w:rPr>
        <w:t>2</w:t>
      </w:r>
      <w:r>
        <w:rPr>
          <w:highlight w:val="none"/>
        </w:rPr>
        <w:t>.</w:t>
      </w:r>
      <w:r>
        <w:rPr>
          <w:rFonts w:hint="eastAsia"/>
          <w:highlight w:val="none"/>
        </w:rPr>
        <w:t>3</w:t>
      </w:r>
      <w:r>
        <w:rPr>
          <w:highlight w:val="none"/>
        </w:rPr>
        <w:t>.2废气污染分析</w:t>
      </w:r>
    </w:p>
    <w:p w14:paraId="680D5011">
      <w:pPr>
        <w:bidi w:val="0"/>
        <w:rPr>
          <w:highlight w:val="none"/>
        </w:rPr>
      </w:pPr>
      <w:r>
        <w:rPr>
          <w:rFonts w:hAnsiTheme="minorEastAsia" w:eastAsiaTheme="minorEastAsia"/>
          <w:sz w:val="24"/>
          <w:highlight w:val="none"/>
        </w:rPr>
        <w:t>根据生产工艺及产排污分析，本项目主要产生</w:t>
      </w:r>
      <w:r>
        <w:rPr>
          <w:rFonts w:hint="eastAsia"/>
          <w:highlight w:val="none"/>
          <w:lang w:val="en-US" w:eastAsia="zh-CN"/>
        </w:rPr>
        <w:t>含油金属屑处理产生颗粒物、</w:t>
      </w:r>
      <w:r>
        <w:rPr>
          <w:rFonts w:hint="default"/>
          <w:highlight w:val="none"/>
        </w:rPr>
        <w:t>油雾</w:t>
      </w:r>
      <w:r>
        <w:rPr>
          <w:rFonts w:hAnsiTheme="minorEastAsia" w:eastAsiaTheme="minorEastAsia"/>
          <w:sz w:val="24"/>
          <w:highlight w:val="none"/>
        </w:rPr>
        <w:t>（以非甲烷总烃计）</w:t>
      </w:r>
      <w:r>
        <w:rPr>
          <w:rFonts w:hint="eastAsia"/>
          <w:highlight w:val="none"/>
          <w:lang w:eastAsia="zh-CN"/>
        </w:rPr>
        <w:t>、</w:t>
      </w:r>
      <w:r>
        <w:rPr>
          <w:rFonts w:hint="eastAsia"/>
          <w:highlight w:val="none"/>
          <w:lang w:val="en-US" w:eastAsia="zh-CN"/>
        </w:rPr>
        <w:t>挥发性有机物</w:t>
      </w:r>
      <w:r>
        <w:rPr>
          <w:rFonts w:hAnsiTheme="minorEastAsia" w:eastAsiaTheme="minorEastAsia"/>
          <w:sz w:val="24"/>
          <w:highlight w:val="none"/>
        </w:rPr>
        <w:t>（以非甲烷总烃计）</w:t>
      </w:r>
      <w:r>
        <w:rPr>
          <w:rFonts w:hint="eastAsia"/>
          <w:highlight w:val="none"/>
          <w:lang w:val="en-US" w:eastAsia="zh-CN"/>
        </w:rPr>
        <w:t>、臭气浓度</w:t>
      </w:r>
      <w:r>
        <w:rPr>
          <w:highlight w:val="none"/>
        </w:rPr>
        <w:t>。</w:t>
      </w:r>
    </w:p>
    <w:p w14:paraId="4F2C9FB6">
      <w:pPr>
        <w:pStyle w:val="6"/>
        <w:bidi w:val="0"/>
        <w:rPr>
          <w:rFonts w:hint="eastAsia"/>
          <w:highlight w:val="none"/>
          <w:lang w:val="en-US" w:eastAsia="zh-CN"/>
        </w:rPr>
      </w:pPr>
      <w:r>
        <w:rPr>
          <w:rFonts w:hint="eastAsia"/>
          <w:highlight w:val="none"/>
          <w:lang w:val="en-US" w:eastAsia="zh-CN"/>
        </w:rPr>
        <w:t>3.2.3.3废水污染分析</w:t>
      </w:r>
    </w:p>
    <w:p w14:paraId="15DCEB7A">
      <w:pPr>
        <w:rPr>
          <w:rFonts w:hint="eastAsia" w:eastAsiaTheme="minorEastAsia"/>
          <w:highlight w:val="none"/>
          <w:lang w:val="en-US" w:eastAsia="zh-CN"/>
        </w:rPr>
      </w:pPr>
      <w:r>
        <w:rPr>
          <w:rFonts w:hint="eastAsia" w:ascii="Times New Roman" w:hAnsi="Times New Roman" w:eastAsia="宋体" w:cs="Times New Roman"/>
          <w:highlight w:val="none"/>
        </w:rPr>
        <w:t>生活污水</w:t>
      </w:r>
      <w:r>
        <w:rPr>
          <w:rFonts w:hint="eastAsia" w:cs="Times New Roman"/>
          <w:highlight w:val="none"/>
          <w:lang w:eastAsia="zh-CN"/>
        </w:rPr>
        <w:t>依托周边企业</w:t>
      </w:r>
      <w:r>
        <w:rPr>
          <w:rFonts w:hint="eastAsia" w:ascii="Times New Roman" w:hAnsi="Times New Roman" w:eastAsia="宋体" w:cs="Times New Roman"/>
          <w:highlight w:val="none"/>
        </w:rPr>
        <w:t>防渗旱厕，定期清掏，外运堆肥</w:t>
      </w:r>
      <w:r>
        <w:rPr>
          <w:rFonts w:hint="eastAsia" w:ascii="Times New Roman" w:hAnsi="Times New Roman" w:eastAsia="宋体" w:cs="Times New Roman"/>
          <w:highlight w:val="none"/>
          <w:lang w:eastAsia="zh-CN"/>
        </w:rPr>
        <w:t>，不外排</w:t>
      </w:r>
      <w:r>
        <w:rPr>
          <w:rFonts w:hint="eastAsia" w:hAnsiTheme="minorEastAsia" w:eastAsiaTheme="minorEastAsia"/>
          <w:sz w:val="24"/>
          <w:highlight w:val="none"/>
          <w:lang w:eastAsia="zh-CN"/>
        </w:rPr>
        <w:t>。</w:t>
      </w:r>
    </w:p>
    <w:p w14:paraId="35D8B6B3">
      <w:pPr>
        <w:pStyle w:val="6"/>
        <w:bidi w:val="0"/>
        <w:rPr>
          <w:highlight w:val="none"/>
        </w:rPr>
      </w:pPr>
      <w:r>
        <w:rPr>
          <w:highlight w:val="none"/>
        </w:rPr>
        <w:t>3.</w:t>
      </w:r>
      <w:r>
        <w:rPr>
          <w:rFonts w:hint="eastAsia"/>
          <w:highlight w:val="none"/>
          <w:lang w:val="en-US" w:eastAsia="zh-CN"/>
        </w:rPr>
        <w:t>2</w:t>
      </w:r>
      <w:r>
        <w:rPr>
          <w:highlight w:val="none"/>
        </w:rPr>
        <w:t>.</w:t>
      </w:r>
      <w:r>
        <w:rPr>
          <w:rFonts w:hint="eastAsia"/>
          <w:highlight w:val="none"/>
        </w:rPr>
        <w:t>3</w:t>
      </w:r>
      <w:r>
        <w:rPr>
          <w:highlight w:val="none"/>
        </w:rPr>
        <w:t>.4噪声污染源分析</w:t>
      </w:r>
    </w:p>
    <w:p w14:paraId="63F1FE0C">
      <w:pPr>
        <w:bidi w:val="0"/>
        <w:rPr>
          <w:highlight w:val="none"/>
        </w:rPr>
      </w:pPr>
      <w:r>
        <w:rPr>
          <w:highlight w:val="none"/>
        </w:rPr>
        <w:t>本项目主要噪声源为</w:t>
      </w:r>
      <w:r>
        <w:rPr>
          <w:rFonts w:hint="eastAsia"/>
          <w:highlight w:val="none"/>
          <w:lang w:val="en-US" w:eastAsia="zh-CN"/>
        </w:rPr>
        <w:t>设备运行产生噪声</w:t>
      </w:r>
      <w:r>
        <w:rPr>
          <w:highlight w:val="none"/>
        </w:rPr>
        <w:t>等。</w:t>
      </w:r>
    </w:p>
    <w:p w14:paraId="571E1F63">
      <w:pPr>
        <w:pStyle w:val="6"/>
        <w:bidi w:val="0"/>
        <w:rPr>
          <w:highlight w:val="none"/>
        </w:rPr>
      </w:pPr>
      <w:r>
        <w:rPr>
          <w:highlight w:val="none"/>
        </w:rPr>
        <w:t>3.</w:t>
      </w:r>
      <w:r>
        <w:rPr>
          <w:rFonts w:hint="eastAsia"/>
          <w:highlight w:val="none"/>
          <w:lang w:val="en-US" w:eastAsia="zh-CN"/>
        </w:rPr>
        <w:t>2</w:t>
      </w:r>
      <w:r>
        <w:rPr>
          <w:highlight w:val="none"/>
        </w:rPr>
        <w:t>.</w:t>
      </w:r>
      <w:r>
        <w:rPr>
          <w:rFonts w:hint="eastAsia"/>
          <w:highlight w:val="none"/>
        </w:rPr>
        <w:t>3</w:t>
      </w:r>
      <w:r>
        <w:rPr>
          <w:highlight w:val="none"/>
        </w:rPr>
        <w:t>.5固体废物的污染分析</w:t>
      </w:r>
    </w:p>
    <w:p w14:paraId="52BB8CFB">
      <w:pPr>
        <w:bidi w:val="0"/>
        <w:rPr>
          <w:highlight w:val="none"/>
        </w:rPr>
      </w:pPr>
      <w:r>
        <w:rPr>
          <w:highlight w:val="none"/>
        </w:rPr>
        <w:t>一般工业固体废物：</w:t>
      </w:r>
      <w:r>
        <w:rPr>
          <w:rFonts w:hint="eastAsia"/>
          <w:highlight w:val="none"/>
          <w:lang w:eastAsia="zh-CN"/>
        </w:rPr>
        <w:t>收集的废新能源锂电池</w:t>
      </w:r>
      <w:r>
        <w:rPr>
          <w:highlight w:val="none"/>
        </w:rPr>
        <w:t>。</w:t>
      </w:r>
    </w:p>
    <w:p w14:paraId="1ACBC1BE">
      <w:pPr>
        <w:bidi w:val="0"/>
        <w:rPr>
          <w:highlight w:val="none"/>
        </w:rPr>
      </w:pPr>
      <w:r>
        <w:rPr>
          <w:highlight w:val="none"/>
        </w:rPr>
        <w:t>危险废物</w:t>
      </w:r>
      <w:r>
        <w:rPr>
          <w:rFonts w:ascii="Times New Roman" w:hAnsi="Times New Roman" w:eastAsia="宋体" w:cs="Times New Roman"/>
          <w:highlight w:val="none"/>
        </w:rPr>
        <w:t>：</w:t>
      </w:r>
      <w:r>
        <w:rPr>
          <w:rFonts w:hint="eastAsia" w:ascii="Times New Roman" w:hAnsi="Times New Roman" w:eastAsia="宋体" w:cs="Times New Roman"/>
          <w:highlight w:val="none"/>
          <w:lang w:val="en-US" w:eastAsia="zh-CN"/>
        </w:rPr>
        <w:t xml:space="preserve"> 脱油产生的</w:t>
      </w:r>
      <w:r>
        <w:rPr>
          <w:rFonts w:hint="default" w:ascii="Times New Roman" w:hAnsi="Times New Roman" w:eastAsia="宋体" w:cs="Times New Roman"/>
          <w:highlight w:val="none"/>
          <w:lang w:val="en-US" w:eastAsia="zh-CN"/>
        </w:rPr>
        <w:t>废</w:t>
      </w:r>
      <w:r>
        <w:rPr>
          <w:rFonts w:hint="eastAsia" w:ascii="Times New Roman" w:hAnsi="Times New Roman" w:eastAsia="宋体" w:cs="Times New Roman"/>
          <w:highlight w:val="none"/>
          <w:lang w:val="en-US" w:eastAsia="zh-CN"/>
        </w:rPr>
        <w:t>液</w:t>
      </w:r>
      <w:r>
        <w:rPr>
          <w:rFonts w:hint="default" w:ascii="Times New Roman" w:hAnsi="Times New Roman" w:eastAsia="宋体" w:cs="Times New Roman"/>
          <w:highlight w:val="none"/>
          <w:lang w:val="en-US" w:eastAsia="zh-CN"/>
        </w:rPr>
        <w:t>（类别：HW08，代码：900-249-08</w:t>
      </w:r>
      <w:r>
        <w:rPr>
          <w:rFonts w:hint="eastAsia" w:ascii="Times New Roman" w:hAnsi="Times New Roman" w:eastAsia="宋体" w:cs="Times New Roman"/>
          <w:highlight w:val="none"/>
          <w:lang w:val="en-US" w:eastAsia="zh-CN"/>
        </w:rPr>
        <w:t>、类别：HW09，代码900-007-09</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、油雾净化器产生的废过滤材料</w:t>
      </w:r>
      <w:r>
        <w:rPr>
          <w:rFonts w:hint="default" w:ascii="Times New Roman" w:hAnsi="Times New Roman" w:eastAsia="宋体" w:cs="Times New Roman"/>
          <w:highlight w:val="none"/>
          <w:lang w:val="en-US" w:eastAsia="zh-CN"/>
        </w:rPr>
        <w:t>（类别：HW49，代码：900-041-49）</w:t>
      </w:r>
      <w:r>
        <w:rPr>
          <w:rFonts w:hint="eastAsia" w:ascii="Times New Roman" w:hAnsi="Times New Roman" w:eastAsia="宋体" w:cs="Times New Roman"/>
          <w:highlight w:val="none"/>
          <w:lang w:val="en-US" w:eastAsia="zh-CN"/>
        </w:rPr>
        <w:t>、活性炭吸附装置产生的废活性炭（</w:t>
      </w:r>
      <w:r>
        <w:rPr>
          <w:rFonts w:hint="default" w:ascii="Times New Roman" w:hAnsi="Times New Roman" w:eastAsia="宋体" w:cs="Times New Roman"/>
          <w:highlight w:val="none"/>
          <w:lang w:val="en-US" w:eastAsia="zh-CN"/>
        </w:rPr>
        <w:t>类别：HW49，代码：900-</w:t>
      </w:r>
      <w:r>
        <w:rPr>
          <w:rFonts w:hint="eastAsia" w:ascii="Times New Roman" w:hAnsi="Times New Roman" w:eastAsia="宋体" w:cs="Times New Roman"/>
          <w:highlight w:val="none"/>
          <w:lang w:val="en-US" w:eastAsia="zh-CN"/>
        </w:rPr>
        <w:t>039</w:t>
      </w:r>
      <w:r>
        <w:rPr>
          <w:rFonts w:hint="default" w:ascii="Times New Roman" w:hAnsi="Times New Roman" w:eastAsia="宋体" w:cs="Times New Roman"/>
          <w:highlight w:val="none"/>
          <w:lang w:val="en-US" w:eastAsia="zh-CN"/>
        </w:rPr>
        <w:t>-49</w:t>
      </w:r>
      <w:r>
        <w:rPr>
          <w:rFonts w:hint="eastAsia" w:ascii="Times New Roman" w:hAnsi="Times New Roman" w:eastAsia="宋体" w:cs="Times New Roman"/>
          <w:highlight w:val="none"/>
          <w:lang w:val="en-US" w:eastAsia="zh-CN"/>
        </w:rPr>
        <w:t>）、收集过程破损的废电解液和电池（</w:t>
      </w:r>
      <w:r>
        <w:rPr>
          <w:rFonts w:hint="default" w:ascii="Times New Roman" w:hAnsi="Times New Roman" w:eastAsia="宋体" w:cs="Times New Roman"/>
          <w:highlight w:val="none"/>
          <w:lang w:val="en-US" w:eastAsia="zh-CN"/>
        </w:rPr>
        <w:t>类别：HW49，代码：900-04</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-49</w:t>
      </w:r>
      <w:r>
        <w:rPr>
          <w:rFonts w:hint="eastAsia" w:ascii="Times New Roman" w:hAnsi="Times New Roman" w:eastAsia="宋体" w:cs="Times New Roman"/>
          <w:highlight w:val="none"/>
          <w:lang w:val="en-US" w:eastAsia="zh-CN"/>
        </w:rPr>
        <w:t>）、脱油铁屑</w:t>
      </w:r>
      <w:r>
        <w:rPr>
          <w:rFonts w:hint="default" w:ascii="Times New Roman" w:hAnsi="Times New Roman" w:eastAsia="宋体" w:cs="Times New Roman"/>
          <w:highlight w:val="none"/>
          <w:lang w:val="en-US" w:eastAsia="zh-CN"/>
        </w:rPr>
        <w:t>（类别：HW08，代码：900-249-08</w:t>
      </w:r>
      <w:r>
        <w:rPr>
          <w:rFonts w:hint="eastAsia" w:ascii="Times New Roman" w:hAnsi="Times New Roman" w:eastAsia="宋体" w:cs="Times New Roman"/>
          <w:highlight w:val="none"/>
          <w:lang w:val="en-US" w:eastAsia="zh-CN"/>
        </w:rPr>
        <w:t>、类别：HW09，代码900-007-09</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、脱油铝屑</w:t>
      </w:r>
      <w:r>
        <w:rPr>
          <w:rFonts w:hint="eastAsia" w:ascii="Times New Roman" w:hAnsi="Times New Roman" w:cs="Times New Roman" w:eastAsiaTheme="minorEastAsia"/>
          <w:sz w:val="24"/>
          <w:highlight w:val="none"/>
          <w:lang w:val="en-US" w:eastAsia="zh-CN"/>
        </w:rPr>
        <w:t>（HW09 900-006-09）</w:t>
      </w:r>
      <w:r>
        <w:rPr>
          <w:rFonts w:ascii="Times New Roman" w:hAnsi="Times New Roman" w:eastAsia="宋体" w:cs="Times New Roman"/>
          <w:highlight w:val="none"/>
        </w:rPr>
        <w:t>。</w:t>
      </w:r>
    </w:p>
    <w:p w14:paraId="3F6B339E">
      <w:pPr>
        <w:pStyle w:val="6"/>
        <w:bidi w:val="0"/>
        <w:rPr>
          <w:highlight w:val="none"/>
        </w:rPr>
      </w:pPr>
      <w:r>
        <w:rPr>
          <w:highlight w:val="none"/>
        </w:rPr>
        <w:t>3.</w:t>
      </w:r>
      <w:r>
        <w:rPr>
          <w:rFonts w:hint="eastAsia"/>
          <w:highlight w:val="none"/>
          <w:lang w:val="en-US" w:eastAsia="zh-CN"/>
        </w:rPr>
        <w:t>2</w:t>
      </w:r>
      <w:r>
        <w:rPr>
          <w:highlight w:val="none"/>
        </w:rPr>
        <w:t>.</w:t>
      </w:r>
      <w:r>
        <w:rPr>
          <w:rFonts w:hint="eastAsia"/>
          <w:highlight w:val="none"/>
        </w:rPr>
        <w:t>3</w:t>
      </w:r>
      <w:r>
        <w:rPr>
          <w:highlight w:val="none"/>
        </w:rPr>
        <w:t>.6环境风险的污染分析</w:t>
      </w:r>
    </w:p>
    <w:p w14:paraId="2A6BD370">
      <w:pPr>
        <w:bidi w:val="0"/>
        <w:rPr>
          <w:highlight w:val="none"/>
        </w:rPr>
      </w:pPr>
      <w:r>
        <w:rPr>
          <w:highlight w:val="none"/>
        </w:rPr>
        <w:t>项目</w:t>
      </w:r>
      <w:r>
        <w:rPr>
          <w:rFonts w:hint="eastAsia"/>
          <w:highlight w:val="none"/>
          <w:lang w:eastAsia="zh-CN"/>
        </w:rPr>
        <w:t>涉及的</w:t>
      </w:r>
      <w:r>
        <w:rPr>
          <w:highlight w:val="none"/>
        </w:rPr>
        <w:t>物料多数为</w:t>
      </w:r>
      <w:r>
        <w:rPr>
          <w:rFonts w:hint="eastAsia"/>
          <w:highlight w:val="none"/>
          <w:lang w:val="en-US" w:eastAsia="zh-CN"/>
        </w:rPr>
        <w:t>油类物质</w:t>
      </w:r>
      <w:r>
        <w:rPr>
          <w:highlight w:val="none"/>
        </w:rPr>
        <w:t>，一旦发生事故，会对环境和人体健康造成危害，为落实《关于进一步加强环境影响评价管理防范环境风险的通知》（环发[2012]77号）的要求，采用风险识别、风险分析和后果计算等方法进行环境风险评价提出减少风险事故应急措施及应急预案，为工程设计和环境管理提供资料和依据，以达到降低环境风险的目的。</w:t>
      </w:r>
    </w:p>
    <w:p w14:paraId="2015DEDB">
      <w:pPr>
        <w:bidi w:val="0"/>
        <w:rPr>
          <w:highlight w:val="none"/>
        </w:rPr>
      </w:pPr>
      <w:bookmarkStart w:id="246" w:name="_Toc2802"/>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风险调查</w:t>
      </w:r>
      <w:bookmarkEnd w:id="246"/>
    </w:p>
    <w:p w14:paraId="248BE823">
      <w:pPr>
        <w:spacing w:line="360" w:lineRule="auto"/>
        <w:ind w:firstLine="480" w:firstLineChars="200"/>
        <w:rPr>
          <w:rFonts w:eastAsiaTheme="minorEastAsia"/>
          <w:sz w:val="24"/>
          <w:highlight w:val="none"/>
        </w:rPr>
      </w:pPr>
      <w:r>
        <w:rPr>
          <w:rFonts w:hAnsiTheme="minorEastAsia" w:eastAsiaTheme="minorEastAsia"/>
          <w:sz w:val="24"/>
          <w:highlight w:val="none"/>
        </w:rPr>
        <w:t>根据《建设项目环境风险评价技术导则》（</w:t>
      </w:r>
      <w:r>
        <w:rPr>
          <w:rFonts w:eastAsiaTheme="minorEastAsia"/>
          <w:sz w:val="24"/>
          <w:highlight w:val="none"/>
        </w:rPr>
        <w:t>HJ169-2018</w:t>
      </w:r>
      <w:r>
        <w:rPr>
          <w:rFonts w:hAnsiTheme="minorEastAsia" w:eastAsiaTheme="minorEastAsia"/>
          <w:sz w:val="24"/>
          <w:highlight w:val="none"/>
        </w:rPr>
        <w:t>）</w:t>
      </w:r>
      <w:r>
        <w:rPr>
          <w:rFonts w:eastAsiaTheme="minorEastAsia"/>
          <w:sz w:val="24"/>
          <w:highlight w:val="none"/>
        </w:rPr>
        <w:t>“</w:t>
      </w:r>
      <w:r>
        <w:rPr>
          <w:rFonts w:hAnsiTheme="minorEastAsia" w:eastAsiaTheme="minorEastAsia"/>
          <w:sz w:val="24"/>
          <w:highlight w:val="none"/>
        </w:rPr>
        <w:t>附录</w:t>
      </w:r>
      <w:r>
        <w:rPr>
          <w:rFonts w:eastAsiaTheme="minorEastAsia"/>
          <w:sz w:val="24"/>
          <w:highlight w:val="none"/>
        </w:rPr>
        <w:t>B</w:t>
      </w:r>
      <w:r>
        <w:rPr>
          <w:rFonts w:hAnsiTheme="minorEastAsia" w:eastAsiaTheme="minorEastAsia"/>
          <w:sz w:val="24"/>
          <w:highlight w:val="none"/>
        </w:rPr>
        <w:t>重点关注的危险物质及临界量</w:t>
      </w:r>
      <w:r>
        <w:rPr>
          <w:rFonts w:eastAsiaTheme="minorEastAsia"/>
          <w:sz w:val="24"/>
          <w:highlight w:val="none"/>
        </w:rPr>
        <w:t>”</w:t>
      </w:r>
      <w:r>
        <w:rPr>
          <w:rFonts w:hAnsiTheme="minorEastAsia" w:eastAsiaTheme="minorEastAsia"/>
          <w:sz w:val="24"/>
          <w:highlight w:val="none"/>
        </w:rPr>
        <w:t>可知，本项目所涉及的危险物质包括：</w:t>
      </w:r>
      <w:r>
        <w:rPr>
          <w:rFonts w:hint="eastAsia" w:hAnsiTheme="minorEastAsia" w:eastAsiaTheme="minorEastAsia"/>
          <w:sz w:val="24"/>
          <w:highlight w:val="none"/>
          <w:lang w:val="en-US" w:eastAsia="zh-CN"/>
        </w:rPr>
        <w:t>含油金属屑中的油类物质及脱出的废液、运输或贮存过程中出现破损泄漏的电解液（主要成分为碳酸乙烯酯、六氟磷酸锂）</w:t>
      </w:r>
      <w:r>
        <w:rPr>
          <w:rFonts w:hAnsiTheme="minorEastAsia" w:eastAsiaTheme="minorEastAsia"/>
          <w:sz w:val="24"/>
          <w:highlight w:val="none"/>
        </w:rPr>
        <w:t>。</w:t>
      </w:r>
    </w:p>
    <w:p w14:paraId="517F16ED">
      <w:pPr>
        <w:spacing w:line="360" w:lineRule="auto"/>
        <w:ind w:firstLine="480" w:firstLineChars="200"/>
        <w:rPr>
          <w:rFonts w:eastAsiaTheme="minorEastAsia"/>
          <w:sz w:val="24"/>
          <w:highlight w:val="none"/>
        </w:rPr>
      </w:pPr>
      <w:r>
        <w:rPr>
          <w:rFonts w:hint="eastAsia" w:eastAsiaTheme="minorEastAsia"/>
          <w:sz w:val="24"/>
          <w:highlight w:val="none"/>
          <w:lang w:eastAsia="zh-CN"/>
        </w:rPr>
        <w:t>（</w:t>
      </w:r>
      <w:r>
        <w:rPr>
          <w:rFonts w:hint="eastAsia" w:eastAsiaTheme="minorEastAsia"/>
          <w:sz w:val="24"/>
          <w:highlight w:val="none"/>
          <w:lang w:val="en-US" w:eastAsia="zh-CN"/>
        </w:rPr>
        <w:t>2</w:t>
      </w:r>
      <w:r>
        <w:rPr>
          <w:rFonts w:hint="eastAsia" w:eastAsiaTheme="minorEastAsia"/>
          <w:sz w:val="24"/>
          <w:highlight w:val="none"/>
          <w:lang w:eastAsia="zh-CN"/>
        </w:rPr>
        <w:t>）</w:t>
      </w:r>
      <w:r>
        <w:rPr>
          <w:rFonts w:hAnsiTheme="minorEastAsia" w:eastAsiaTheme="minorEastAsia"/>
          <w:sz w:val="24"/>
          <w:highlight w:val="none"/>
        </w:rPr>
        <w:t>风险识别</w:t>
      </w:r>
    </w:p>
    <w:p w14:paraId="0CE4C399">
      <w:pPr>
        <w:spacing w:line="360" w:lineRule="auto"/>
        <w:ind w:firstLine="480" w:firstLineChars="200"/>
        <w:rPr>
          <w:rFonts w:eastAsiaTheme="minorEastAsia"/>
          <w:sz w:val="24"/>
          <w:highlight w:val="none"/>
        </w:rPr>
      </w:pPr>
      <w:r>
        <w:rPr>
          <w:rFonts w:eastAsiaTheme="minorEastAsia"/>
          <w:sz w:val="24"/>
          <w:highlight w:val="none"/>
        </w:rPr>
        <w:fldChar w:fldCharType="begin"/>
      </w:r>
      <w:r>
        <w:rPr>
          <w:rFonts w:eastAsiaTheme="minorEastAsia"/>
          <w:sz w:val="24"/>
          <w:highlight w:val="none"/>
        </w:rPr>
        <w:instrText xml:space="preserve"> = 1 \* GB3 </w:instrText>
      </w:r>
      <w:r>
        <w:rPr>
          <w:rFonts w:eastAsiaTheme="minorEastAsia"/>
          <w:sz w:val="24"/>
          <w:highlight w:val="none"/>
        </w:rPr>
        <w:fldChar w:fldCharType="separate"/>
      </w:r>
      <w:r>
        <w:rPr>
          <w:rFonts w:hAnsiTheme="minorEastAsia" w:eastAsiaTheme="minorEastAsia"/>
          <w:sz w:val="24"/>
          <w:highlight w:val="none"/>
        </w:rPr>
        <w:t>①</w:t>
      </w:r>
      <w:r>
        <w:rPr>
          <w:rFonts w:eastAsiaTheme="minorEastAsia"/>
          <w:sz w:val="24"/>
          <w:highlight w:val="none"/>
        </w:rPr>
        <w:fldChar w:fldCharType="end"/>
      </w:r>
      <w:r>
        <w:rPr>
          <w:rFonts w:hAnsiTheme="minorEastAsia" w:eastAsiaTheme="minorEastAsia"/>
          <w:sz w:val="24"/>
          <w:highlight w:val="none"/>
        </w:rPr>
        <w:t>物质危险性识别</w:t>
      </w:r>
    </w:p>
    <w:p w14:paraId="462F7E47">
      <w:pPr>
        <w:spacing w:line="360" w:lineRule="auto"/>
        <w:ind w:firstLine="480" w:firstLineChars="200"/>
        <w:rPr>
          <w:rFonts w:eastAsiaTheme="minorEastAsia"/>
          <w:b/>
          <w:highlight w:val="none"/>
        </w:rPr>
      </w:pPr>
      <w:r>
        <w:rPr>
          <w:rFonts w:hAnsiTheme="minorEastAsia" w:eastAsiaTheme="minorEastAsia"/>
          <w:sz w:val="24"/>
          <w:highlight w:val="none"/>
        </w:rPr>
        <w:t>本次评价通过对原辅材料、产品、生产过程排放的</w:t>
      </w:r>
      <w:r>
        <w:rPr>
          <w:rFonts w:eastAsiaTheme="minorEastAsia"/>
          <w:sz w:val="24"/>
          <w:highlight w:val="none"/>
        </w:rPr>
        <w:t>“</w:t>
      </w:r>
      <w:r>
        <w:rPr>
          <w:rFonts w:hAnsiTheme="minorEastAsia" w:eastAsiaTheme="minorEastAsia"/>
          <w:sz w:val="24"/>
          <w:highlight w:val="none"/>
        </w:rPr>
        <w:t>三废</w:t>
      </w:r>
      <w:r>
        <w:rPr>
          <w:rFonts w:eastAsiaTheme="minorEastAsia"/>
          <w:sz w:val="24"/>
          <w:highlight w:val="none"/>
        </w:rPr>
        <w:t>”</w:t>
      </w:r>
      <w:r>
        <w:rPr>
          <w:rFonts w:hAnsiTheme="minorEastAsia" w:eastAsiaTheme="minorEastAsia"/>
          <w:sz w:val="24"/>
          <w:highlight w:val="none"/>
        </w:rPr>
        <w:t>污染物及火灾、爆炸伴生</w:t>
      </w:r>
      <w:r>
        <w:rPr>
          <w:rFonts w:eastAsiaTheme="minorEastAsia"/>
          <w:sz w:val="24"/>
          <w:highlight w:val="none"/>
        </w:rPr>
        <w:t>/</w:t>
      </w:r>
      <w:r>
        <w:rPr>
          <w:rFonts w:hAnsiTheme="minorEastAsia" w:eastAsiaTheme="minorEastAsia"/>
          <w:sz w:val="24"/>
          <w:highlight w:val="none"/>
        </w:rPr>
        <w:t>次生危险物质分析，工程涉及的危险物质理化特性及毒理指标见表下</w:t>
      </w:r>
      <w:r>
        <w:rPr>
          <w:rFonts w:hAnsiTheme="minorEastAsia" w:eastAsiaTheme="minorEastAsia"/>
          <w:highlight w:val="none"/>
        </w:rPr>
        <w:t>。</w:t>
      </w:r>
    </w:p>
    <w:p w14:paraId="1A9259F0">
      <w:pPr>
        <w:pStyle w:val="7"/>
        <w:bidi w:val="0"/>
        <w:rPr>
          <w:rFonts w:hint="eastAsia" w:eastAsia="宋体"/>
          <w:highlight w:val="none"/>
          <w:lang w:eastAsia="zh-CN"/>
        </w:rPr>
      </w:pPr>
      <w:r>
        <w:rPr>
          <w:highlight w:val="none"/>
        </w:rPr>
        <w:t>表3-</w:t>
      </w:r>
      <w:r>
        <w:rPr>
          <w:rFonts w:hint="eastAsia"/>
          <w:highlight w:val="none"/>
          <w:lang w:val="en-US" w:eastAsia="zh-CN"/>
        </w:rPr>
        <w:t>2</w:t>
      </w:r>
      <w:r>
        <w:rPr>
          <w:highlight w:val="none"/>
        </w:rPr>
        <w:t>-</w:t>
      </w:r>
      <w:r>
        <w:rPr>
          <w:rFonts w:hint="eastAsia"/>
          <w:highlight w:val="none"/>
          <w:lang w:val="en-US" w:eastAsia="zh-CN"/>
        </w:rPr>
        <w:t>2</w:t>
      </w:r>
      <w:r>
        <w:rPr>
          <w:highlight w:val="none"/>
        </w:rPr>
        <w:t>理化性质及危险性</w:t>
      </w:r>
      <w:r>
        <w:rPr>
          <w:rFonts w:hint="eastAsia"/>
          <w:highlight w:val="none"/>
          <w:lang w:eastAsia="zh-CN"/>
        </w:rPr>
        <w:t>一览表</w:t>
      </w:r>
    </w:p>
    <w:tbl>
      <w:tblPr>
        <w:tblStyle w:val="45"/>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7"/>
        <w:gridCol w:w="872"/>
        <w:gridCol w:w="781"/>
        <w:gridCol w:w="2559"/>
        <w:gridCol w:w="2742"/>
        <w:gridCol w:w="901"/>
      </w:tblGrid>
      <w:tr w14:paraId="40CBA3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tcBorders>
              <w:tl2br w:val="nil"/>
              <w:tr2bl w:val="nil"/>
            </w:tcBorders>
            <w:vAlign w:val="center"/>
          </w:tcPr>
          <w:p w14:paraId="46E9A01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序号</w:t>
            </w:r>
          </w:p>
        </w:tc>
        <w:tc>
          <w:tcPr>
            <w:tcW w:w="872" w:type="dxa"/>
            <w:tcBorders>
              <w:tl2br w:val="nil"/>
              <w:tr2bl w:val="nil"/>
            </w:tcBorders>
            <w:vAlign w:val="center"/>
          </w:tcPr>
          <w:p w14:paraId="0B0B270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名称</w:t>
            </w:r>
          </w:p>
        </w:tc>
        <w:tc>
          <w:tcPr>
            <w:tcW w:w="781" w:type="dxa"/>
            <w:tcBorders>
              <w:tl2br w:val="nil"/>
              <w:tr2bl w:val="nil"/>
            </w:tcBorders>
            <w:vAlign w:val="center"/>
          </w:tcPr>
          <w:p w14:paraId="373B1DC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毒性鉴别</w:t>
            </w:r>
          </w:p>
        </w:tc>
        <w:tc>
          <w:tcPr>
            <w:tcW w:w="2559" w:type="dxa"/>
            <w:tcBorders>
              <w:tl2br w:val="nil"/>
              <w:tr2bl w:val="nil"/>
            </w:tcBorders>
            <w:vAlign w:val="center"/>
          </w:tcPr>
          <w:p w14:paraId="757B6CE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理化性质</w:t>
            </w:r>
          </w:p>
        </w:tc>
        <w:tc>
          <w:tcPr>
            <w:tcW w:w="2742" w:type="dxa"/>
            <w:tcBorders>
              <w:tl2br w:val="nil"/>
              <w:tr2bl w:val="nil"/>
            </w:tcBorders>
            <w:vAlign w:val="center"/>
          </w:tcPr>
          <w:p w14:paraId="7666774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危险特性</w:t>
            </w:r>
          </w:p>
        </w:tc>
        <w:tc>
          <w:tcPr>
            <w:tcW w:w="901" w:type="dxa"/>
            <w:tcBorders>
              <w:tl2br w:val="nil"/>
              <w:tr2bl w:val="nil"/>
            </w:tcBorders>
            <w:vAlign w:val="center"/>
          </w:tcPr>
          <w:p w14:paraId="6224273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毒理指标</w:t>
            </w:r>
          </w:p>
        </w:tc>
      </w:tr>
      <w:tr w14:paraId="13F725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tcBorders>
              <w:tl2br w:val="nil"/>
              <w:tr2bl w:val="nil"/>
            </w:tcBorders>
            <w:vAlign w:val="center"/>
          </w:tcPr>
          <w:p w14:paraId="58AFFBB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1</w:t>
            </w:r>
          </w:p>
        </w:tc>
        <w:tc>
          <w:tcPr>
            <w:tcW w:w="872" w:type="dxa"/>
            <w:tcBorders>
              <w:tl2br w:val="nil"/>
              <w:tr2bl w:val="nil"/>
            </w:tcBorders>
            <w:vAlign w:val="center"/>
          </w:tcPr>
          <w:p w14:paraId="42AAFCC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切削液</w:t>
            </w:r>
          </w:p>
        </w:tc>
        <w:tc>
          <w:tcPr>
            <w:tcW w:w="781" w:type="dxa"/>
            <w:tcBorders>
              <w:tl2br w:val="nil"/>
              <w:tr2bl w:val="nil"/>
            </w:tcBorders>
            <w:vAlign w:val="center"/>
          </w:tcPr>
          <w:p w14:paraId="2AEF662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可燃</w:t>
            </w:r>
          </w:p>
        </w:tc>
        <w:tc>
          <w:tcPr>
            <w:tcW w:w="2559" w:type="dxa"/>
            <w:tcBorders>
              <w:tl2br w:val="nil"/>
              <w:tr2bl w:val="nil"/>
            </w:tcBorders>
            <w:vAlign w:val="center"/>
          </w:tcPr>
          <w:p w14:paraId="6C4F99F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含有特定的脂肪衍生物，以及抗氧、防锈、抗磨极压、阻燃等添加剂与高精炼矿物油调配而成的，黄色透明液体，主要成分为矿物油，密度0.95~0.99g/cm</w:t>
            </w:r>
            <w:r>
              <w:rPr>
                <w:rFonts w:hint="default" w:hAnsiTheme="minorEastAsia" w:eastAsiaTheme="minorEastAsia"/>
                <w:bCs/>
                <w:kern w:val="0"/>
                <w:sz w:val="21"/>
                <w:szCs w:val="21"/>
                <w:highlight w:val="none"/>
                <w:vertAlign w:val="superscript"/>
              </w:rPr>
              <w:t>3</w:t>
            </w:r>
            <w:r>
              <w:rPr>
                <w:rFonts w:hint="default" w:hAnsiTheme="minorEastAsia" w:eastAsiaTheme="minorEastAsia"/>
                <w:bCs/>
                <w:kern w:val="0"/>
                <w:sz w:val="21"/>
                <w:szCs w:val="21"/>
                <w:highlight w:val="none"/>
              </w:rPr>
              <w:t>，pH8.0~10.0，消泡性≤2ml，表面张力≤30dyn/cm，闪点115℃</w:t>
            </w:r>
          </w:p>
        </w:tc>
        <w:tc>
          <w:tcPr>
            <w:tcW w:w="2742" w:type="dxa"/>
            <w:tcBorders>
              <w:tl2br w:val="nil"/>
              <w:tr2bl w:val="nil"/>
            </w:tcBorders>
            <w:vAlign w:val="center"/>
          </w:tcPr>
          <w:p w14:paraId="6D06C43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遇阳光直射、高温烘烤、火焰及强氧化剂接触，有引起燃烧爆炸的危险；长期接触可引起皮炎；油基切削的雾化会使操作环境恶化，损伤人的呼吸器官</w:t>
            </w:r>
          </w:p>
        </w:tc>
        <w:tc>
          <w:tcPr>
            <w:tcW w:w="901" w:type="dxa"/>
            <w:tcBorders>
              <w:tl2br w:val="nil"/>
              <w:tr2bl w:val="nil"/>
            </w:tcBorders>
            <w:vAlign w:val="center"/>
          </w:tcPr>
          <w:p w14:paraId="5DAA6AD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w:t>
            </w:r>
          </w:p>
        </w:tc>
      </w:tr>
      <w:tr w14:paraId="4ED13E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tcBorders>
              <w:tl2br w:val="nil"/>
              <w:tr2bl w:val="nil"/>
            </w:tcBorders>
            <w:vAlign w:val="center"/>
          </w:tcPr>
          <w:p w14:paraId="784D6B8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2</w:t>
            </w:r>
          </w:p>
        </w:tc>
        <w:tc>
          <w:tcPr>
            <w:tcW w:w="872" w:type="dxa"/>
            <w:tcBorders>
              <w:tl2br w:val="nil"/>
              <w:tr2bl w:val="nil"/>
            </w:tcBorders>
            <w:vAlign w:val="center"/>
          </w:tcPr>
          <w:p w14:paraId="47994F6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eastAsia" w:hAnsiTheme="minorEastAsia" w:eastAsiaTheme="minorEastAsia"/>
                <w:sz w:val="24"/>
                <w:highlight w:val="none"/>
                <w:lang w:val="en-US" w:eastAsia="zh-CN"/>
              </w:rPr>
              <w:t>碳酸乙烯酯</w:t>
            </w:r>
          </w:p>
        </w:tc>
        <w:tc>
          <w:tcPr>
            <w:tcW w:w="781" w:type="dxa"/>
            <w:tcBorders>
              <w:tl2br w:val="nil"/>
              <w:tr2bl w:val="nil"/>
            </w:tcBorders>
            <w:vAlign w:val="center"/>
          </w:tcPr>
          <w:p w14:paraId="358CC25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健康危险急性毒性物质（类别</w:t>
            </w:r>
            <w:r>
              <w:rPr>
                <w:rFonts w:hint="eastAsia" w:hAnsiTheme="minorEastAsia" w:eastAsiaTheme="minorEastAsia"/>
                <w:bCs/>
                <w:kern w:val="0"/>
                <w:sz w:val="21"/>
                <w:szCs w:val="21"/>
                <w:highlight w:val="none"/>
                <w:lang w:val="en-US" w:eastAsia="zh-CN"/>
              </w:rPr>
              <w:t>2</w:t>
            </w:r>
            <w:r>
              <w:rPr>
                <w:rFonts w:hint="default" w:hAnsiTheme="minorEastAsia" w:eastAsiaTheme="minorEastAsia"/>
                <w:bCs/>
                <w:kern w:val="0"/>
                <w:sz w:val="21"/>
                <w:szCs w:val="21"/>
                <w:highlight w:val="none"/>
              </w:rPr>
              <w:t>）</w:t>
            </w:r>
          </w:p>
        </w:tc>
        <w:tc>
          <w:tcPr>
            <w:tcW w:w="2559" w:type="dxa"/>
            <w:tcBorders>
              <w:tl2br w:val="nil"/>
              <w:tr2bl w:val="nil"/>
            </w:tcBorders>
            <w:vAlign w:val="center"/>
          </w:tcPr>
          <w:p w14:paraId="0F8EA6B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高纯度可用于充电锂离子电池电解液；纺织上的抽丝液；直接作脱除酸性气体的溶剂及混凝土的添加剂；医药上用作痢特灵的原料；用作塑料发泡剂及合成润滑油的稳</w:t>
            </w:r>
            <w:r>
              <w:rPr>
                <w:rFonts w:hint="eastAsia" w:hAnsiTheme="minorEastAsia" w:eastAsiaTheme="minorEastAsia"/>
                <w:bCs/>
                <w:kern w:val="0"/>
                <w:sz w:val="21"/>
                <w:szCs w:val="21"/>
                <w:highlight w:val="none"/>
                <w:lang w:eastAsia="zh-CN"/>
              </w:rPr>
              <w:t>定</w:t>
            </w:r>
            <w:r>
              <w:rPr>
                <w:rFonts w:hint="default" w:hAnsiTheme="minorEastAsia" w:eastAsiaTheme="minorEastAsia"/>
                <w:bCs/>
                <w:kern w:val="0"/>
                <w:sz w:val="21"/>
                <w:szCs w:val="21"/>
                <w:highlight w:val="none"/>
              </w:rPr>
              <w:t>剂；性能优良的溶剂和有机合成中间体，聚丙烯腈、聚氯乙烯的良好溶剂，有机化学工业的基础原料，作为羟乙基化剂及化工原料用于有机合成，水玻璃系浆料，纤维整理剂</w:t>
            </w:r>
          </w:p>
        </w:tc>
        <w:tc>
          <w:tcPr>
            <w:tcW w:w="2742" w:type="dxa"/>
            <w:tcBorders>
              <w:tl2br w:val="nil"/>
              <w:tr2bl w:val="nil"/>
            </w:tcBorders>
            <w:vAlign w:val="center"/>
          </w:tcPr>
          <w:p w14:paraId="40CA41C9">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imes New Roman" w:cs="Times New Roman" w:hAnsiTheme="minorEastAsia" w:eastAsiaTheme="minorEastAsia"/>
                <w:bCs/>
                <w:kern w:val="0"/>
                <w:position w:val="0"/>
                <w:sz w:val="21"/>
                <w:szCs w:val="21"/>
                <w:highlight w:val="none"/>
                <w:lang w:val="en-US" w:eastAsia="zh-CN" w:bidi="ar-SA"/>
              </w:rPr>
            </w:pPr>
            <w:r>
              <w:rPr>
                <w:rFonts w:hint="default" w:ascii="Times New Roman" w:cs="Times New Roman" w:hAnsiTheme="minorEastAsia" w:eastAsiaTheme="minorEastAsia"/>
                <w:bCs/>
                <w:kern w:val="0"/>
                <w:position w:val="0"/>
                <w:sz w:val="21"/>
                <w:szCs w:val="21"/>
                <w:highlight w:val="none"/>
                <w:lang w:val="en-US" w:eastAsia="zh-CN" w:bidi="ar-SA"/>
              </w:rPr>
              <w:t>H302 吞咽有害。</w:t>
            </w:r>
          </w:p>
          <w:p w14:paraId="6B46BC50">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imes New Roman" w:cs="Times New Roman" w:hAnsiTheme="minorEastAsia" w:eastAsiaTheme="minorEastAsia"/>
                <w:bCs/>
                <w:kern w:val="0"/>
                <w:position w:val="0"/>
                <w:sz w:val="21"/>
                <w:szCs w:val="21"/>
                <w:highlight w:val="none"/>
                <w:lang w:val="en-US" w:eastAsia="zh-CN" w:bidi="ar-SA"/>
              </w:rPr>
            </w:pPr>
            <w:r>
              <w:rPr>
                <w:rFonts w:hint="default" w:ascii="Times New Roman" w:cs="Times New Roman" w:hAnsiTheme="minorEastAsia" w:eastAsiaTheme="minorEastAsia"/>
                <w:bCs/>
                <w:kern w:val="0"/>
                <w:position w:val="0"/>
                <w:sz w:val="21"/>
                <w:szCs w:val="21"/>
                <w:highlight w:val="none"/>
                <w:lang w:val="en-US" w:eastAsia="zh-CN" w:bidi="ar-SA"/>
              </w:rPr>
              <w:t>H319 造成严重眼刺激。</w:t>
            </w:r>
          </w:p>
          <w:p w14:paraId="15DD240F">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imes New Roman" w:cs="Times New Roman" w:hAnsiTheme="minorEastAsia" w:eastAsiaTheme="minorEastAsia"/>
                <w:bCs/>
                <w:kern w:val="0"/>
                <w:position w:val="0"/>
                <w:sz w:val="21"/>
                <w:szCs w:val="21"/>
                <w:highlight w:val="none"/>
                <w:lang w:val="en-US" w:eastAsia="zh-CN" w:bidi="ar-SA"/>
              </w:rPr>
            </w:pPr>
            <w:r>
              <w:rPr>
                <w:rFonts w:hint="default" w:ascii="Times New Roman" w:cs="Times New Roman" w:hAnsiTheme="minorEastAsia" w:eastAsiaTheme="minorEastAsia"/>
                <w:bCs/>
                <w:kern w:val="0"/>
                <w:position w:val="0"/>
                <w:sz w:val="21"/>
                <w:szCs w:val="21"/>
                <w:highlight w:val="none"/>
                <w:lang w:val="en-US" w:eastAsia="zh-CN" w:bidi="ar-SA"/>
              </w:rPr>
              <w:t>H373 长期或反复接触可能对器官造成伤害。</w:t>
            </w:r>
          </w:p>
          <w:p w14:paraId="442A480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cs="Times New Roman" w:hAnsiTheme="minorEastAsia" w:eastAsiaTheme="minorEastAsia"/>
                <w:bCs/>
                <w:kern w:val="0"/>
                <w:position w:val="0"/>
                <w:sz w:val="21"/>
                <w:szCs w:val="21"/>
                <w:highlight w:val="none"/>
                <w:lang w:val="en-US" w:eastAsia="zh-CN" w:bidi="ar-SA"/>
              </w:rPr>
            </w:pPr>
          </w:p>
        </w:tc>
        <w:tc>
          <w:tcPr>
            <w:tcW w:w="901" w:type="dxa"/>
            <w:tcBorders>
              <w:tl2br w:val="nil"/>
              <w:tr2bl w:val="nil"/>
            </w:tcBorders>
            <w:vAlign w:val="center"/>
          </w:tcPr>
          <w:p w14:paraId="1843893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w:t>
            </w:r>
          </w:p>
        </w:tc>
      </w:tr>
      <w:tr w14:paraId="6FC271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tcBorders>
              <w:tl2br w:val="nil"/>
              <w:tr2bl w:val="nil"/>
            </w:tcBorders>
            <w:vAlign w:val="center"/>
          </w:tcPr>
          <w:p w14:paraId="61B9F57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hAnsiTheme="minorEastAsia" w:eastAsiaTheme="minorEastAsia"/>
                <w:bCs/>
                <w:kern w:val="0"/>
                <w:sz w:val="21"/>
                <w:szCs w:val="21"/>
                <w:highlight w:val="none"/>
                <w:lang w:val="en-US" w:eastAsia="zh-CN"/>
              </w:rPr>
            </w:pPr>
            <w:r>
              <w:rPr>
                <w:rFonts w:hint="eastAsia" w:hAnsiTheme="minorEastAsia" w:eastAsiaTheme="minorEastAsia"/>
                <w:bCs/>
                <w:kern w:val="0"/>
                <w:sz w:val="21"/>
                <w:szCs w:val="21"/>
                <w:highlight w:val="none"/>
                <w:lang w:val="en-US" w:eastAsia="zh-CN"/>
              </w:rPr>
              <w:t>3</w:t>
            </w:r>
          </w:p>
        </w:tc>
        <w:tc>
          <w:tcPr>
            <w:tcW w:w="872" w:type="dxa"/>
            <w:tcBorders>
              <w:tl2br w:val="nil"/>
              <w:tr2bl w:val="nil"/>
            </w:tcBorders>
            <w:vAlign w:val="center"/>
          </w:tcPr>
          <w:p w14:paraId="10E20C5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hAnsiTheme="minorEastAsia" w:eastAsiaTheme="minorEastAsia"/>
                <w:sz w:val="24"/>
                <w:highlight w:val="none"/>
                <w:lang w:val="en-US" w:eastAsia="zh-CN"/>
              </w:rPr>
            </w:pPr>
            <w:r>
              <w:rPr>
                <w:rFonts w:hint="eastAsia" w:hAnsiTheme="minorEastAsia" w:eastAsiaTheme="minorEastAsia"/>
                <w:sz w:val="24"/>
                <w:highlight w:val="none"/>
                <w:lang w:val="en-US" w:eastAsia="zh-CN"/>
              </w:rPr>
              <w:t>六氟磷酸锂</w:t>
            </w:r>
          </w:p>
        </w:tc>
        <w:tc>
          <w:tcPr>
            <w:tcW w:w="781" w:type="dxa"/>
            <w:tcBorders>
              <w:tl2br w:val="nil"/>
              <w:tr2bl w:val="nil"/>
            </w:tcBorders>
            <w:vAlign w:val="center"/>
          </w:tcPr>
          <w:p w14:paraId="20FA9DC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健康危险急性毒性物质（类别</w:t>
            </w:r>
            <w:r>
              <w:rPr>
                <w:rFonts w:hint="eastAsia" w:hAnsiTheme="minorEastAsia" w:eastAsiaTheme="minorEastAsia"/>
                <w:bCs/>
                <w:kern w:val="0"/>
                <w:sz w:val="21"/>
                <w:szCs w:val="21"/>
                <w:highlight w:val="none"/>
                <w:lang w:val="en-US" w:eastAsia="zh-CN"/>
              </w:rPr>
              <w:t>3</w:t>
            </w:r>
            <w:r>
              <w:rPr>
                <w:rFonts w:hint="default" w:hAnsiTheme="minorEastAsia" w:eastAsiaTheme="minorEastAsia"/>
                <w:bCs/>
                <w:kern w:val="0"/>
                <w:sz w:val="21"/>
                <w:szCs w:val="21"/>
                <w:highlight w:val="none"/>
              </w:rPr>
              <w:t>）</w:t>
            </w:r>
          </w:p>
        </w:tc>
        <w:tc>
          <w:tcPr>
            <w:tcW w:w="2559" w:type="dxa"/>
            <w:tcBorders>
              <w:tl2br w:val="nil"/>
              <w:tr2bl w:val="nil"/>
            </w:tcBorders>
            <w:vAlign w:val="center"/>
          </w:tcPr>
          <w:p w14:paraId="2FEAB7C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hAnsiTheme="minorEastAsia" w:eastAsiaTheme="minorEastAsia"/>
                <w:bCs/>
                <w:kern w:val="0"/>
                <w:sz w:val="21"/>
                <w:szCs w:val="21"/>
                <w:highlight w:val="none"/>
              </w:rPr>
            </w:pPr>
            <w:r>
              <w:rPr>
                <w:rFonts w:hint="default" w:hAnsiTheme="minorEastAsia" w:eastAsiaTheme="minorEastAsia"/>
                <w:bCs/>
                <w:kern w:val="0"/>
                <w:sz w:val="21"/>
                <w:szCs w:val="21"/>
                <w:highlight w:val="none"/>
              </w:rPr>
              <w:t>白色结晶或粉末，相对密度1.50，潮解性强；易溶于水，还溶于低浓度甲醇、乙醇、丙醇、碳酸酯等有机溶剂。暴露空气中或加热时分解</w:t>
            </w:r>
          </w:p>
        </w:tc>
        <w:tc>
          <w:tcPr>
            <w:tcW w:w="2742" w:type="dxa"/>
            <w:tcBorders>
              <w:tl2br w:val="nil"/>
              <w:tr2bl w:val="nil"/>
            </w:tcBorders>
            <w:vAlign w:val="center"/>
          </w:tcPr>
          <w:p w14:paraId="644E483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hAnsiTheme="minorEastAsia" w:eastAsiaTheme="minorEastAsia"/>
                <w:bCs/>
                <w:kern w:val="0"/>
                <w:sz w:val="21"/>
                <w:szCs w:val="21"/>
                <w:highlight w:val="none"/>
                <w:lang w:val="en-US" w:eastAsia="zh-CN"/>
              </w:rPr>
            </w:pPr>
            <w:r>
              <w:rPr>
                <w:rFonts w:hint="default" w:hAnsiTheme="minorEastAsia" w:eastAsiaTheme="minorEastAsia"/>
                <w:bCs/>
                <w:kern w:val="0"/>
                <w:sz w:val="21"/>
                <w:szCs w:val="21"/>
                <w:highlight w:val="none"/>
              </w:rPr>
              <w:t>六氟磷酸锂在空气中迅速分解，导致白色烟雾产生。此外，对眼睛、皮肤和肺部都存在侵蚀作用。水蒸气的作用也会加剧其分解速度。</w:t>
            </w:r>
          </w:p>
        </w:tc>
        <w:tc>
          <w:tcPr>
            <w:tcW w:w="901" w:type="dxa"/>
            <w:tcBorders>
              <w:tl2br w:val="nil"/>
              <w:tr2bl w:val="nil"/>
            </w:tcBorders>
            <w:vAlign w:val="center"/>
          </w:tcPr>
          <w:p w14:paraId="5048867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hAnsiTheme="minorEastAsia" w:eastAsiaTheme="minorEastAsia"/>
                <w:bCs/>
                <w:kern w:val="0"/>
                <w:sz w:val="21"/>
                <w:szCs w:val="21"/>
                <w:highlight w:val="none"/>
                <w:lang w:val="en-US" w:eastAsia="zh-CN"/>
              </w:rPr>
            </w:pPr>
            <w:r>
              <w:rPr>
                <w:rFonts w:hint="eastAsia" w:hAnsiTheme="minorEastAsia" w:eastAsiaTheme="minorEastAsia"/>
                <w:bCs/>
                <w:kern w:val="0"/>
                <w:sz w:val="21"/>
                <w:szCs w:val="21"/>
                <w:highlight w:val="none"/>
                <w:lang w:val="en-US" w:eastAsia="zh-CN"/>
              </w:rPr>
              <w:t>/</w:t>
            </w:r>
          </w:p>
        </w:tc>
      </w:tr>
    </w:tbl>
    <w:p w14:paraId="50DDC236">
      <w:pPr>
        <w:bidi w:val="0"/>
        <w:rPr>
          <w:highlight w:val="none"/>
        </w:rPr>
      </w:pPr>
      <w:r>
        <w:rPr>
          <w:rFonts w:hint="default" w:ascii="Times New Roman" w:hAnsi="Times New Roman" w:cs="Times New Roman"/>
          <w:highlight w:val="none"/>
        </w:rPr>
        <w:t>②</w:t>
      </w:r>
      <w:r>
        <w:rPr>
          <w:highlight w:val="none"/>
        </w:rPr>
        <w:t>识别结果</w:t>
      </w:r>
    </w:p>
    <w:p w14:paraId="3600A9A0">
      <w:pPr>
        <w:pageBreakBefore w:val="0"/>
        <w:kinsoku/>
        <w:wordWrap w:val="0"/>
        <w:overflowPunct/>
        <w:topLinePunct w:val="0"/>
        <w:autoSpaceDE/>
        <w:autoSpaceDN/>
        <w:bidi w:val="0"/>
        <w:adjustRightInd w:val="0"/>
        <w:snapToGrid w:val="0"/>
        <w:spacing w:line="360" w:lineRule="auto"/>
        <w:ind w:firstLine="480" w:firstLineChars="200"/>
        <w:outlineLvl w:val="9"/>
        <w:rPr>
          <w:rFonts w:hint="eastAsia" w:ascii="Times New Roman" w:cs="Times New Roman" w:hAnsiTheme="minorEastAsia" w:eastAsiaTheme="minorEastAsia"/>
          <w:sz w:val="24"/>
          <w:highlight w:val="none"/>
          <w:lang w:val="en-US" w:eastAsia="zh-CN"/>
        </w:rPr>
      </w:pPr>
      <w:r>
        <w:rPr>
          <w:highlight w:val="none"/>
        </w:rPr>
        <w:t>根据以上物质危险特性，参照《建设项目环境风险评价技术导则》（HJ169-2018）中物质危险性标准分类原则，</w:t>
      </w:r>
      <w:bookmarkStart w:id="247" w:name="_Toc27565"/>
      <w:bookmarkStart w:id="248" w:name="_Toc31955"/>
      <w:r>
        <w:rPr>
          <w:rFonts w:hint="eastAsia" w:hAnsiTheme="minorEastAsia" w:eastAsiaTheme="minorEastAsia"/>
          <w:sz w:val="24"/>
          <w:highlight w:val="none"/>
          <w:lang w:val="en-US" w:eastAsia="zh-CN"/>
        </w:rPr>
        <w:t>含油金属屑中的油类物质及脱出的废液、运输或贮存过程中出现破损泄漏的电解液</w:t>
      </w:r>
      <w:r>
        <w:rPr>
          <w:rFonts w:hAnsiTheme="minorEastAsia" w:eastAsiaTheme="minorEastAsia"/>
          <w:sz w:val="24"/>
          <w:highlight w:val="none"/>
        </w:rPr>
        <w:t>，根据原辅材料消耗表，</w:t>
      </w:r>
      <w:r>
        <w:rPr>
          <w:rFonts w:hint="eastAsia" w:hAnsiTheme="minorEastAsia" w:eastAsiaTheme="minorEastAsia"/>
          <w:sz w:val="24"/>
          <w:highlight w:val="none"/>
          <w:lang w:val="en-US" w:eastAsia="zh-CN"/>
        </w:rPr>
        <w:t>废液</w:t>
      </w:r>
      <w:r>
        <w:rPr>
          <w:rFonts w:hint="eastAsia" w:ascii="Times New Roman" w:cs="Times New Roman" w:hAnsiTheme="minorEastAsia" w:eastAsiaTheme="minorEastAsia"/>
          <w:sz w:val="24"/>
          <w:highlight w:val="none"/>
          <w:lang w:val="en-US" w:eastAsia="zh-CN"/>
        </w:rPr>
        <w:t>全年产生量503.2t，每月转运一次，最大储存量约50.32t，含油金属屑中的油最大储存量</w:t>
      </w:r>
      <w:r>
        <w:rPr>
          <w:rFonts w:hint="eastAsia" w:cs="Times New Roman" w:hAnsiTheme="minorEastAsia" w:eastAsiaTheme="minorEastAsia"/>
          <w:sz w:val="24"/>
          <w:highlight w:val="none"/>
          <w:lang w:val="en-US" w:eastAsia="zh-CN"/>
        </w:rPr>
        <w:t>121.6</w:t>
      </w:r>
      <w:r>
        <w:rPr>
          <w:rFonts w:hint="eastAsia" w:ascii="Times New Roman" w:cs="Times New Roman" w:hAnsiTheme="minorEastAsia" w:eastAsiaTheme="minorEastAsia"/>
          <w:sz w:val="24"/>
          <w:highlight w:val="none"/>
          <w:lang w:val="en-US" w:eastAsia="zh-CN"/>
        </w:rPr>
        <w:t>t，故本项目油类物质最大储存量为</w:t>
      </w:r>
      <w:r>
        <w:rPr>
          <w:rFonts w:hint="eastAsia" w:cs="Times New Roman" w:hAnsiTheme="minorEastAsia" w:eastAsiaTheme="minorEastAsia"/>
          <w:sz w:val="24"/>
          <w:highlight w:val="none"/>
          <w:lang w:val="en-US" w:eastAsia="zh-CN"/>
        </w:rPr>
        <w:t>171.92</w:t>
      </w:r>
      <w:r>
        <w:rPr>
          <w:rFonts w:hint="eastAsia" w:ascii="Times New Roman" w:cs="Times New Roman" w:hAnsiTheme="minorEastAsia" w:eastAsiaTheme="minorEastAsia"/>
          <w:sz w:val="24"/>
          <w:highlight w:val="none"/>
          <w:lang w:val="en-US" w:eastAsia="zh-CN"/>
        </w:rPr>
        <w:t>t。</w:t>
      </w:r>
    </w:p>
    <w:p w14:paraId="68CB26C9">
      <w:pPr>
        <w:bidi w:val="0"/>
        <w:rPr>
          <w:rFonts w:hint="eastAsia" w:hAnsiTheme="minorEastAsia" w:eastAsiaTheme="minorEastAsia"/>
          <w:highlight w:val="none"/>
          <w:lang w:val="en-US" w:eastAsia="zh-CN"/>
        </w:rPr>
      </w:pPr>
      <w:r>
        <w:rPr>
          <w:rFonts w:hint="eastAsia" w:ascii="Times New Roman" w:cs="Times New Roman" w:hAnsiTheme="minorEastAsia" w:eastAsiaTheme="minorEastAsia"/>
          <w:sz w:val="24"/>
          <w:highlight w:val="none"/>
          <w:lang w:val="en-US" w:eastAsia="zh-CN"/>
        </w:rPr>
        <w:t>本项目仅收集贮存完好的锂电池，不收集破损的锂电池，锂电池放于塑料托盘内。运输或贮存过程中出现破损则会泄漏出电解液，新能源汽车锂电池电解液的主要成分为碳酸乙烯酯、六氟磷酸锂。常见的锂电池重量为</w:t>
      </w:r>
      <w:r>
        <w:rPr>
          <w:rFonts w:hint="default" w:ascii="Times New Roman" w:cs="Times New Roman" w:hAnsiTheme="minorEastAsia" w:eastAsiaTheme="minorEastAsia"/>
          <w:sz w:val="24"/>
          <w:highlight w:val="none"/>
          <w:lang w:val="en-US" w:eastAsia="zh-CN"/>
        </w:rPr>
        <w:t>300kg</w:t>
      </w:r>
      <w:r>
        <w:rPr>
          <w:rFonts w:hint="eastAsia" w:ascii="Times New Roman" w:cs="Times New Roman" w:hAnsiTheme="minorEastAsia" w:eastAsiaTheme="minorEastAsia"/>
          <w:sz w:val="24"/>
          <w:highlight w:val="none"/>
          <w:lang w:val="en-US" w:eastAsia="zh-CN"/>
        </w:rPr>
        <w:t>，其中电解液含量约为</w:t>
      </w:r>
      <w:r>
        <w:rPr>
          <w:rFonts w:hint="default" w:ascii="Times New Roman" w:cs="Times New Roman" w:hAnsiTheme="minorEastAsia" w:eastAsiaTheme="minorEastAsia"/>
          <w:sz w:val="24"/>
          <w:highlight w:val="none"/>
          <w:lang w:val="en-US" w:eastAsia="zh-CN"/>
        </w:rPr>
        <w:t>10%</w:t>
      </w:r>
      <w:r>
        <w:rPr>
          <w:rFonts w:hint="eastAsia" w:ascii="Times New Roman" w:cs="Times New Roman" w:hAnsiTheme="minorEastAsia" w:eastAsiaTheme="minorEastAsia"/>
          <w:sz w:val="24"/>
          <w:highlight w:val="none"/>
          <w:lang w:val="en-US" w:eastAsia="zh-CN"/>
        </w:rPr>
        <w:t>，本次评价假设</w:t>
      </w:r>
      <w:r>
        <w:rPr>
          <w:rFonts w:hint="default" w:ascii="Times New Roman" w:cs="Times New Roman" w:hAnsiTheme="minorEastAsia" w:eastAsiaTheme="minorEastAsia"/>
          <w:sz w:val="24"/>
          <w:highlight w:val="none"/>
          <w:lang w:val="en-US" w:eastAsia="zh-CN"/>
        </w:rPr>
        <w:t>10</w:t>
      </w:r>
      <w:r>
        <w:rPr>
          <w:rFonts w:hint="eastAsia" w:ascii="Times New Roman" w:cs="Times New Roman" w:hAnsiTheme="minorEastAsia" w:eastAsiaTheme="minorEastAsia"/>
          <w:sz w:val="24"/>
          <w:highlight w:val="none"/>
          <w:lang w:val="en-US" w:eastAsia="zh-CN"/>
        </w:rPr>
        <w:t>个锂电池在</w:t>
      </w:r>
      <w:r>
        <w:rPr>
          <w:rFonts w:hint="eastAsia" w:cs="Times New Roman" w:hAnsiTheme="minorEastAsia" w:eastAsiaTheme="minorEastAsia"/>
          <w:sz w:val="24"/>
          <w:highlight w:val="none"/>
          <w:lang w:val="en-US" w:eastAsia="zh-CN"/>
        </w:rPr>
        <w:t>收集</w:t>
      </w:r>
      <w:r>
        <w:rPr>
          <w:rFonts w:hint="eastAsia" w:ascii="Times New Roman" w:cs="Times New Roman" w:hAnsiTheme="minorEastAsia" w:eastAsiaTheme="minorEastAsia"/>
          <w:sz w:val="24"/>
          <w:highlight w:val="none"/>
          <w:lang w:val="en-US" w:eastAsia="zh-CN"/>
        </w:rPr>
        <w:t>储存的过程中发生泄漏，则电解液泄漏量为</w:t>
      </w:r>
      <w:r>
        <w:rPr>
          <w:rFonts w:hint="default" w:ascii="Times New Roman" w:cs="Times New Roman" w:hAnsiTheme="minorEastAsia" w:eastAsiaTheme="minorEastAsia"/>
          <w:sz w:val="24"/>
          <w:highlight w:val="none"/>
          <w:lang w:val="en-US" w:eastAsia="zh-CN"/>
        </w:rPr>
        <w:t>0.3t</w:t>
      </w:r>
      <w:r>
        <w:rPr>
          <w:rFonts w:hint="eastAsia" w:hAnsiTheme="minorEastAsia" w:eastAsiaTheme="minorEastAsia"/>
          <w:sz w:val="24"/>
          <w:highlight w:val="none"/>
          <w:lang w:val="en-US" w:eastAsia="zh-CN"/>
        </w:rPr>
        <w:t>。</w:t>
      </w:r>
    </w:p>
    <w:p w14:paraId="611BBD48">
      <w:pPr>
        <w:pStyle w:val="4"/>
        <w:bidi w:val="0"/>
        <w:rPr>
          <w:highlight w:val="none"/>
        </w:rPr>
      </w:pPr>
      <w:bookmarkStart w:id="249" w:name="_Toc4682"/>
      <w:r>
        <w:rPr>
          <w:highlight w:val="none"/>
        </w:rPr>
        <w:t>3.</w:t>
      </w:r>
      <w:r>
        <w:rPr>
          <w:rFonts w:hint="eastAsia"/>
          <w:highlight w:val="none"/>
          <w:lang w:val="en-US" w:eastAsia="zh-CN"/>
        </w:rPr>
        <w:t>3</w:t>
      </w:r>
      <w:r>
        <w:rPr>
          <w:highlight w:val="none"/>
        </w:rPr>
        <w:t>污染源源强核算</w:t>
      </w:r>
      <w:bookmarkEnd w:id="247"/>
      <w:bookmarkEnd w:id="248"/>
      <w:bookmarkEnd w:id="249"/>
    </w:p>
    <w:p w14:paraId="04D88811">
      <w:pPr>
        <w:pStyle w:val="5"/>
        <w:bidi w:val="0"/>
        <w:rPr>
          <w:highlight w:val="none"/>
        </w:rPr>
      </w:pPr>
      <w:bookmarkStart w:id="250" w:name="_Toc25776"/>
      <w:bookmarkStart w:id="251" w:name="_Toc19561"/>
      <w:r>
        <w:rPr>
          <w:highlight w:val="none"/>
        </w:rPr>
        <w:t>3.</w:t>
      </w:r>
      <w:r>
        <w:rPr>
          <w:rFonts w:hint="eastAsia"/>
          <w:highlight w:val="none"/>
          <w:lang w:val="en-US" w:eastAsia="zh-CN"/>
        </w:rPr>
        <w:t>3</w:t>
      </w:r>
      <w:r>
        <w:rPr>
          <w:highlight w:val="none"/>
        </w:rPr>
        <w:t>.1施工期污染源分析</w:t>
      </w:r>
      <w:bookmarkEnd w:id="250"/>
      <w:bookmarkEnd w:id="251"/>
    </w:p>
    <w:p w14:paraId="3DD1BC41">
      <w:pPr>
        <w:pStyle w:val="6"/>
        <w:bidi w:val="0"/>
        <w:rPr>
          <w:highlight w:val="none"/>
        </w:rPr>
      </w:pPr>
      <w:r>
        <w:rPr>
          <w:rFonts w:hint="eastAsia"/>
          <w:highlight w:val="none"/>
          <w:lang w:val="en-US" w:eastAsia="zh-CN"/>
        </w:rPr>
        <w:t>3.3.1.1</w:t>
      </w:r>
      <w:r>
        <w:rPr>
          <w:highlight w:val="none"/>
        </w:rPr>
        <w:t>废水</w:t>
      </w:r>
    </w:p>
    <w:p w14:paraId="3DCCCD8D">
      <w:pPr>
        <w:bidi w:val="0"/>
        <w:rPr>
          <w:highlight w:val="none"/>
        </w:rPr>
      </w:pPr>
      <w:r>
        <w:rPr>
          <w:rFonts w:ascii="Times New Roman" w:cs="Times New Roman" w:hAnsiTheme="minorEastAsia"/>
          <w:highlight w:val="none"/>
        </w:rPr>
        <w:t>项目施工人员生活污水，施工人员高峰期可达</w:t>
      </w:r>
      <w:r>
        <w:rPr>
          <w:rFonts w:hint="eastAsia" w:cs="Times New Roman"/>
          <w:highlight w:val="none"/>
          <w:lang w:val="en-US" w:eastAsia="zh-CN"/>
        </w:rPr>
        <w:t>1</w:t>
      </w:r>
      <w:r>
        <w:rPr>
          <w:rFonts w:ascii="Times New Roman" w:hAnsi="Times New Roman" w:cs="Times New Roman"/>
          <w:highlight w:val="none"/>
        </w:rPr>
        <w:t>0</w:t>
      </w:r>
      <w:r>
        <w:rPr>
          <w:rFonts w:ascii="Times New Roman" w:cs="Times New Roman" w:hAnsiTheme="minorEastAsia"/>
          <w:highlight w:val="none"/>
        </w:rPr>
        <w:t>人，施工人员用水量按</w:t>
      </w:r>
      <w:r>
        <w:rPr>
          <w:rFonts w:hint="eastAsia" w:cs="Times New Roman"/>
          <w:highlight w:val="none"/>
          <w:lang w:val="en-US" w:eastAsia="zh-CN"/>
        </w:rPr>
        <w:t>1</w:t>
      </w:r>
      <w:r>
        <w:rPr>
          <w:rFonts w:ascii="Times New Roman" w:hAnsi="Times New Roman" w:cs="Times New Roman"/>
          <w:highlight w:val="none"/>
        </w:rPr>
        <w:t>0L/d•</w:t>
      </w:r>
      <w:r>
        <w:rPr>
          <w:rFonts w:ascii="Times New Roman" w:cs="Times New Roman" w:hAnsiTheme="minorEastAsia"/>
          <w:highlight w:val="none"/>
        </w:rPr>
        <w:t>人，则施工人员生活用水量为</w:t>
      </w:r>
      <w:r>
        <w:rPr>
          <w:rFonts w:hint="eastAsia" w:cs="Times New Roman"/>
          <w:highlight w:val="none"/>
          <w:lang w:val="en-US" w:eastAsia="zh-CN"/>
        </w:rPr>
        <w:t>0.1</w:t>
      </w:r>
      <w:r>
        <w:rPr>
          <w:rFonts w:ascii="Times New Roman" w:hAnsi="Times New Roman" w:cs="Times New Roman"/>
          <w:highlight w:val="none"/>
        </w:rPr>
        <w:t>m</w:t>
      </w:r>
      <w:r>
        <w:rPr>
          <w:rFonts w:ascii="Times New Roman" w:hAnsi="Times New Roman" w:cs="Times New Roman"/>
          <w:highlight w:val="none"/>
          <w:vertAlign w:val="superscript"/>
        </w:rPr>
        <w:t>3</w:t>
      </w:r>
      <w:r>
        <w:rPr>
          <w:rFonts w:ascii="Times New Roman" w:hAnsi="Times New Roman" w:cs="Times New Roman"/>
          <w:highlight w:val="none"/>
        </w:rPr>
        <w:t>/d</w:t>
      </w:r>
      <w:r>
        <w:rPr>
          <w:rFonts w:ascii="Times New Roman" w:cs="Times New Roman" w:hAnsiTheme="minorEastAsia"/>
          <w:highlight w:val="none"/>
        </w:rPr>
        <w:t>；生活污水排放量按用水量的</w:t>
      </w:r>
      <w:r>
        <w:rPr>
          <w:rFonts w:ascii="Times New Roman" w:hAnsi="Times New Roman" w:cs="Times New Roman"/>
          <w:highlight w:val="none"/>
        </w:rPr>
        <w:t>80%</w:t>
      </w:r>
      <w:r>
        <w:rPr>
          <w:rFonts w:ascii="Times New Roman" w:cs="Times New Roman" w:hAnsiTheme="minorEastAsia"/>
          <w:highlight w:val="none"/>
        </w:rPr>
        <w:t>计，则厂区生活污水产生量约为</w:t>
      </w:r>
      <w:r>
        <w:rPr>
          <w:rFonts w:hint="eastAsia" w:cs="Times New Roman"/>
          <w:highlight w:val="none"/>
          <w:lang w:val="en-US" w:eastAsia="zh-CN"/>
        </w:rPr>
        <w:t>0.08</w:t>
      </w:r>
      <w:r>
        <w:rPr>
          <w:rFonts w:ascii="Times New Roman" w:hAnsi="Times New Roman" w:cs="Times New Roman"/>
          <w:highlight w:val="none"/>
        </w:rPr>
        <w:t>m</w:t>
      </w:r>
      <w:r>
        <w:rPr>
          <w:rFonts w:ascii="Times New Roman" w:hAnsi="Times New Roman" w:cs="Times New Roman"/>
          <w:highlight w:val="none"/>
          <w:vertAlign w:val="superscript"/>
        </w:rPr>
        <w:t>3</w:t>
      </w:r>
      <w:r>
        <w:rPr>
          <w:rFonts w:ascii="Times New Roman" w:hAnsi="Times New Roman" w:cs="Times New Roman"/>
          <w:highlight w:val="none"/>
        </w:rPr>
        <w:t>/d</w:t>
      </w:r>
      <w:r>
        <w:rPr>
          <w:rFonts w:ascii="Times New Roman" w:cs="Times New Roman" w:hAnsiTheme="minorEastAsia"/>
          <w:highlight w:val="none"/>
        </w:rPr>
        <w:t>。废水中主要污染物及浓度为</w:t>
      </w:r>
      <w:r>
        <w:rPr>
          <w:rFonts w:ascii="Times New Roman" w:hAnsi="Times New Roman" w:cs="Times New Roman"/>
          <w:highlight w:val="none"/>
        </w:rPr>
        <w:t>COD350mg/L</w:t>
      </w:r>
      <w:r>
        <w:rPr>
          <w:rFonts w:ascii="Times New Roman" w:cs="Times New Roman" w:hAnsiTheme="minorEastAsia"/>
          <w:highlight w:val="none"/>
        </w:rPr>
        <w:t>、氨氮：</w:t>
      </w:r>
      <w:r>
        <w:rPr>
          <w:rFonts w:ascii="Times New Roman" w:hAnsi="Times New Roman" w:cs="Times New Roman"/>
          <w:highlight w:val="none"/>
        </w:rPr>
        <w:t>30mg/L</w:t>
      </w:r>
      <w:r>
        <w:rPr>
          <w:rFonts w:ascii="Times New Roman" w:cs="Times New Roman" w:hAnsiTheme="minorEastAsia"/>
          <w:highlight w:val="none"/>
        </w:rPr>
        <w:t>、</w:t>
      </w:r>
      <w:r>
        <w:rPr>
          <w:rFonts w:ascii="Times New Roman" w:hAnsi="Times New Roman" w:cs="Times New Roman"/>
          <w:highlight w:val="none"/>
        </w:rPr>
        <w:t>pH</w:t>
      </w:r>
      <w:r>
        <w:rPr>
          <w:rFonts w:ascii="Times New Roman" w:cs="Times New Roman" w:hAnsiTheme="minorEastAsia"/>
          <w:highlight w:val="none"/>
        </w:rPr>
        <w:t>：</w:t>
      </w:r>
      <w:r>
        <w:rPr>
          <w:rFonts w:ascii="Times New Roman" w:hAnsi="Times New Roman" w:cs="Times New Roman"/>
          <w:highlight w:val="none"/>
        </w:rPr>
        <w:t>6.5-7.5</w:t>
      </w:r>
      <w:r>
        <w:rPr>
          <w:rFonts w:ascii="Times New Roman" w:cs="Times New Roman" w:hAnsiTheme="minorEastAsia"/>
          <w:highlight w:val="none"/>
        </w:rPr>
        <w:t>、</w:t>
      </w:r>
      <w:r>
        <w:rPr>
          <w:rFonts w:ascii="Times New Roman" w:hAnsi="Times New Roman" w:cs="Times New Roman"/>
          <w:highlight w:val="none"/>
        </w:rPr>
        <w:t>BOD</w:t>
      </w:r>
      <w:r>
        <w:rPr>
          <w:rFonts w:ascii="Times New Roman" w:hAnsi="Times New Roman" w:cs="Times New Roman"/>
          <w:highlight w:val="none"/>
          <w:vertAlign w:val="subscript"/>
        </w:rPr>
        <w:t>5</w:t>
      </w:r>
      <w:r>
        <w:rPr>
          <w:rFonts w:ascii="Times New Roman" w:cs="Times New Roman" w:hAnsiTheme="minorEastAsia"/>
          <w:highlight w:val="none"/>
        </w:rPr>
        <w:t>：</w:t>
      </w:r>
      <w:r>
        <w:rPr>
          <w:rFonts w:ascii="Times New Roman" w:hAnsi="Times New Roman" w:cs="Times New Roman"/>
          <w:highlight w:val="none"/>
        </w:rPr>
        <w:t>180mg/L</w:t>
      </w:r>
      <w:r>
        <w:rPr>
          <w:rFonts w:ascii="Times New Roman" w:cs="Times New Roman" w:hAnsiTheme="minorEastAsia"/>
          <w:highlight w:val="none"/>
        </w:rPr>
        <w:t>、</w:t>
      </w:r>
      <w:r>
        <w:rPr>
          <w:rFonts w:ascii="Times New Roman" w:hAnsi="Times New Roman" w:cs="Times New Roman"/>
          <w:highlight w:val="none"/>
        </w:rPr>
        <w:t>SS</w:t>
      </w:r>
      <w:r>
        <w:rPr>
          <w:rFonts w:ascii="Times New Roman" w:cs="Times New Roman" w:hAnsiTheme="minorEastAsia"/>
          <w:highlight w:val="none"/>
        </w:rPr>
        <w:t>：</w:t>
      </w:r>
      <w:r>
        <w:rPr>
          <w:rFonts w:ascii="Times New Roman" w:hAnsi="Times New Roman" w:cs="Times New Roman"/>
          <w:highlight w:val="none"/>
        </w:rPr>
        <w:t>200mg/L</w:t>
      </w:r>
      <w:r>
        <w:rPr>
          <w:rFonts w:ascii="Times New Roman" w:cs="Times New Roman" w:hAnsiTheme="minorEastAsia"/>
          <w:highlight w:val="none"/>
        </w:rPr>
        <w:t>。</w:t>
      </w:r>
      <w:r>
        <w:rPr>
          <w:rFonts w:ascii="Times New Roman" w:cs="Times New Roman" w:hAnsiTheme="minorEastAsia"/>
          <w:snapToGrid w:val="0"/>
          <w:highlight w:val="none"/>
          <w:lang w:val="zh-CN"/>
        </w:rPr>
        <w:t>生活污水</w:t>
      </w:r>
      <w:r>
        <w:rPr>
          <w:rFonts w:ascii="Times New Roman" w:cs="Times New Roman" w:hAnsiTheme="minorEastAsia"/>
          <w:highlight w:val="none"/>
        </w:rPr>
        <w:t>依托</w:t>
      </w:r>
      <w:r>
        <w:rPr>
          <w:rFonts w:hint="eastAsia" w:cs="Times New Roman" w:hAnsiTheme="minorEastAsia"/>
          <w:highlight w:val="none"/>
          <w:lang w:eastAsia="zh-CN"/>
        </w:rPr>
        <w:t>周边企业防渗旱厕，定期清掏外运堆肥</w:t>
      </w:r>
      <w:r>
        <w:rPr>
          <w:highlight w:val="none"/>
        </w:rPr>
        <w:t>。</w:t>
      </w:r>
    </w:p>
    <w:p w14:paraId="5FCB72AB">
      <w:pPr>
        <w:pStyle w:val="6"/>
        <w:bidi w:val="0"/>
        <w:rPr>
          <w:highlight w:val="none"/>
        </w:rPr>
      </w:pPr>
      <w:r>
        <w:rPr>
          <w:highlight w:val="none"/>
        </w:rPr>
        <w:t>3.</w:t>
      </w:r>
      <w:r>
        <w:rPr>
          <w:rFonts w:hint="eastAsia"/>
          <w:highlight w:val="none"/>
          <w:lang w:val="en-US" w:eastAsia="zh-CN"/>
        </w:rPr>
        <w:t>3</w:t>
      </w:r>
      <w:r>
        <w:rPr>
          <w:highlight w:val="none"/>
        </w:rPr>
        <w:t>.1.</w:t>
      </w:r>
      <w:r>
        <w:rPr>
          <w:rFonts w:hint="eastAsia"/>
          <w:highlight w:val="none"/>
          <w:lang w:val="en-US" w:eastAsia="zh-CN"/>
        </w:rPr>
        <w:t>3</w:t>
      </w:r>
      <w:r>
        <w:rPr>
          <w:highlight w:val="none"/>
        </w:rPr>
        <w:t>噪声</w:t>
      </w:r>
    </w:p>
    <w:p w14:paraId="15B890B4">
      <w:pPr>
        <w:bidi w:val="0"/>
        <w:rPr>
          <w:highlight w:val="none"/>
        </w:rPr>
      </w:pPr>
      <w:r>
        <w:rPr>
          <w:highlight w:val="none"/>
        </w:rPr>
        <w:t>施工期噪声主要来自设备安装及升级改造机器和运输设备噪声，噪声强度均在77～95dB（A）。</w:t>
      </w:r>
    </w:p>
    <w:p w14:paraId="235E44E5">
      <w:pPr>
        <w:pStyle w:val="6"/>
        <w:bidi w:val="0"/>
        <w:rPr>
          <w:highlight w:val="none"/>
        </w:rPr>
      </w:pPr>
      <w:bookmarkStart w:id="252" w:name="_Toc6732"/>
      <w:r>
        <w:rPr>
          <w:highlight w:val="none"/>
        </w:rPr>
        <w:t>3.</w:t>
      </w:r>
      <w:r>
        <w:rPr>
          <w:rFonts w:hint="eastAsia"/>
          <w:highlight w:val="none"/>
          <w:lang w:val="en-US" w:eastAsia="zh-CN"/>
        </w:rPr>
        <w:t>3</w:t>
      </w:r>
      <w:r>
        <w:rPr>
          <w:highlight w:val="none"/>
        </w:rPr>
        <w:t>.1.</w:t>
      </w:r>
      <w:r>
        <w:rPr>
          <w:rFonts w:hint="eastAsia"/>
          <w:highlight w:val="none"/>
          <w:lang w:val="en-US" w:eastAsia="zh-CN"/>
        </w:rPr>
        <w:t>4</w:t>
      </w:r>
      <w:r>
        <w:rPr>
          <w:highlight w:val="none"/>
        </w:rPr>
        <w:t>固废</w:t>
      </w:r>
      <w:bookmarkEnd w:id="252"/>
    </w:p>
    <w:p w14:paraId="7C3116DC">
      <w:pPr>
        <w:bidi w:val="0"/>
        <w:rPr>
          <w:highlight w:val="none"/>
        </w:rPr>
      </w:pPr>
      <w:r>
        <w:rPr>
          <w:highlight w:val="none"/>
        </w:rPr>
        <w:t>施工作业固体废物主要为建筑垃圾及生活垃圾。建筑垃圾产生量为</w:t>
      </w:r>
      <w:r>
        <w:rPr>
          <w:rFonts w:hAnsi="Times New Roman"/>
          <w:highlight w:val="none"/>
        </w:rPr>
        <w:t>4.0t/a</w:t>
      </w:r>
      <w:r>
        <w:rPr>
          <w:highlight w:val="none"/>
        </w:rPr>
        <w:t>；生活垃圾产生量按</w:t>
      </w:r>
      <w:r>
        <w:rPr>
          <w:rFonts w:hAnsi="Times New Roman"/>
          <w:highlight w:val="none"/>
        </w:rPr>
        <w:t>0.2kg/</w:t>
      </w:r>
      <w:r>
        <w:rPr>
          <w:highlight w:val="none"/>
        </w:rPr>
        <w:t>人</w:t>
      </w:r>
      <w:r>
        <w:rPr>
          <w:rFonts w:hAnsi="Times New Roman"/>
          <w:highlight w:val="none"/>
        </w:rPr>
        <w:t>▪d</w:t>
      </w:r>
      <w:r>
        <w:rPr>
          <w:highlight w:val="none"/>
        </w:rPr>
        <w:t>计，施工人员高峰期为</w:t>
      </w:r>
      <w:r>
        <w:rPr>
          <w:rFonts w:hint="eastAsia"/>
          <w:highlight w:val="none"/>
          <w:lang w:val="en-US" w:eastAsia="zh-CN"/>
        </w:rPr>
        <w:t>1</w:t>
      </w:r>
      <w:r>
        <w:rPr>
          <w:rFonts w:hAnsi="Times New Roman"/>
          <w:highlight w:val="none"/>
        </w:rPr>
        <w:t>0</w:t>
      </w:r>
      <w:r>
        <w:rPr>
          <w:highlight w:val="none"/>
        </w:rPr>
        <w:t>人，施工人员生活垃圾产生量为</w:t>
      </w:r>
      <w:r>
        <w:rPr>
          <w:rFonts w:hint="eastAsia"/>
          <w:highlight w:val="none"/>
          <w:lang w:val="en-US" w:eastAsia="zh-CN"/>
        </w:rPr>
        <w:t>2</w:t>
      </w:r>
      <w:r>
        <w:rPr>
          <w:rFonts w:hAnsi="Times New Roman"/>
          <w:highlight w:val="none"/>
        </w:rPr>
        <w:t>kg/d</w:t>
      </w:r>
      <w:r>
        <w:rPr>
          <w:highlight w:val="none"/>
        </w:rPr>
        <w:t>，收集后由环卫部门统一清运处置。</w:t>
      </w:r>
    </w:p>
    <w:p w14:paraId="596AF5F7">
      <w:pPr>
        <w:pStyle w:val="5"/>
        <w:bidi w:val="0"/>
        <w:rPr>
          <w:highlight w:val="none"/>
        </w:rPr>
      </w:pPr>
      <w:bookmarkStart w:id="253" w:name="_Toc11859"/>
      <w:bookmarkStart w:id="254" w:name="_Toc8309"/>
      <w:r>
        <w:rPr>
          <w:highlight w:val="none"/>
        </w:rPr>
        <w:t>3.</w:t>
      </w:r>
      <w:r>
        <w:rPr>
          <w:rFonts w:hint="eastAsia"/>
          <w:highlight w:val="none"/>
          <w:lang w:val="en-US" w:eastAsia="zh-CN"/>
        </w:rPr>
        <w:t>3</w:t>
      </w:r>
      <w:r>
        <w:rPr>
          <w:highlight w:val="none"/>
        </w:rPr>
        <w:t>.2营运期污染源分析</w:t>
      </w:r>
      <w:bookmarkEnd w:id="253"/>
      <w:bookmarkEnd w:id="254"/>
    </w:p>
    <w:p w14:paraId="1496EE97">
      <w:pPr>
        <w:pStyle w:val="6"/>
        <w:bidi w:val="0"/>
        <w:rPr>
          <w:highlight w:val="none"/>
        </w:rPr>
      </w:pPr>
      <w:r>
        <w:rPr>
          <w:highlight w:val="none"/>
        </w:rPr>
        <w:t>3.</w:t>
      </w:r>
      <w:r>
        <w:rPr>
          <w:rFonts w:hint="eastAsia"/>
          <w:highlight w:val="none"/>
          <w:lang w:val="en-US" w:eastAsia="zh-CN"/>
        </w:rPr>
        <w:t>3</w:t>
      </w:r>
      <w:r>
        <w:rPr>
          <w:highlight w:val="none"/>
        </w:rPr>
        <w:t>.2.1废气</w:t>
      </w:r>
    </w:p>
    <w:p w14:paraId="698457B7">
      <w:pPr>
        <w:bidi w:val="0"/>
        <w:rPr>
          <w:rFonts w:hint="default" w:eastAsia="宋体"/>
          <w:highlight w:val="none"/>
          <w:lang w:val="en-US"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lang w:val="en-US" w:eastAsia="zh-CN"/>
        </w:rPr>
        <w:t>原料贮存废气</w:t>
      </w:r>
    </w:p>
    <w:p w14:paraId="02EABE0D">
      <w:pPr>
        <w:bidi w:val="0"/>
        <w:rPr>
          <w:rFonts w:hint="eastAsia"/>
          <w:highlight w:val="none"/>
          <w:lang w:val="en-US" w:eastAsia="zh-CN"/>
        </w:rPr>
      </w:pPr>
      <w:r>
        <w:rPr>
          <w:rFonts w:hint="eastAsia"/>
          <w:highlight w:val="none"/>
        </w:rPr>
        <w:t>项目含油</w:t>
      </w:r>
      <w:r>
        <w:rPr>
          <w:rFonts w:hint="eastAsia"/>
          <w:highlight w:val="none"/>
          <w:lang w:val="en-US" w:eastAsia="zh-CN"/>
        </w:rPr>
        <w:t>金属</w:t>
      </w:r>
      <w:r>
        <w:rPr>
          <w:rFonts w:hint="eastAsia"/>
          <w:highlight w:val="none"/>
        </w:rPr>
        <w:t>屑</w:t>
      </w:r>
      <w:r>
        <w:rPr>
          <w:rFonts w:hint="eastAsia"/>
          <w:highlight w:val="none"/>
          <w:lang w:val="en-US" w:eastAsia="zh-CN"/>
        </w:rPr>
        <w:t>贮存</w:t>
      </w:r>
      <w:r>
        <w:rPr>
          <w:rFonts w:hint="eastAsia"/>
          <w:highlight w:val="none"/>
        </w:rPr>
        <w:t>过程中，会有少量</w:t>
      </w:r>
      <w:r>
        <w:rPr>
          <w:rFonts w:hint="eastAsia"/>
          <w:highlight w:val="none"/>
          <w:lang w:val="en-US" w:eastAsia="zh-CN"/>
        </w:rPr>
        <w:t>油雾、挥发性有机物（以非甲烷总烃计）、臭气浓度</w:t>
      </w:r>
      <w:r>
        <w:rPr>
          <w:rFonts w:hint="eastAsia"/>
          <w:highlight w:val="none"/>
        </w:rPr>
        <w:t>挥发产生</w:t>
      </w:r>
      <w:r>
        <w:rPr>
          <w:rFonts w:hint="eastAsia"/>
          <w:highlight w:val="none"/>
          <w:lang w:eastAsia="zh-CN"/>
        </w:rPr>
        <w:t>。</w:t>
      </w:r>
      <w:r>
        <w:rPr>
          <w:rFonts w:hint="eastAsia"/>
          <w:highlight w:val="none"/>
          <w:lang w:val="en-US" w:eastAsia="zh-CN"/>
        </w:rPr>
        <w:t>本项目类比《黑龙江宏贝壹德环境科技有限公司再生资源利用项目竣工环境保护验收监测报告》中原料暂存库排气筒监测数据，原料暂存库暂存量约为200t，废气收集后经活性炭吸附装置处理后排放，非甲烷总烃排放速率最大为0.003kg/h，臭气浓度最大排放浓度为851（无量纲）；该项目</w:t>
      </w:r>
      <w:r>
        <w:rPr>
          <w:rFonts w:ascii="Times New Roman" w:hAnsi="Times New Roman" w:cs="Times New Roman"/>
          <w:color w:val="000000"/>
          <w:highlight w:val="none"/>
        </w:rPr>
        <w:t>活性炭</w:t>
      </w:r>
      <w:r>
        <w:rPr>
          <w:rFonts w:hint="eastAsia" w:cs="Times New Roman"/>
          <w:color w:val="000000"/>
          <w:highlight w:val="none"/>
          <w:lang w:val="en-US" w:eastAsia="zh-CN"/>
        </w:rPr>
        <w:t>对非甲烷总烃</w:t>
      </w:r>
      <w:r>
        <w:rPr>
          <w:rFonts w:ascii="Times New Roman" w:hAnsi="Times New Roman" w:cs="Times New Roman"/>
          <w:color w:val="000000"/>
          <w:highlight w:val="none"/>
        </w:rPr>
        <w:t>处理</w:t>
      </w:r>
      <w:r>
        <w:rPr>
          <w:rFonts w:hint="eastAsia" w:cs="Times New Roman"/>
          <w:color w:val="000000"/>
          <w:highlight w:val="none"/>
          <w:lang w:val="en-US" w:eastAsia="zh-CN"/>
        </w:rPr>
        <w:t>效率为58.3%，收集效率约为90%，经效率反推该项目</w:t>
      </w:r>
      <w:r>
        <w:rPr>
          <w:rFonts w:hint="eastAsia"/>
          <w:highlight w:val="none"/>
          <w:lang w:val="en-US" w:eastAsia="zh-CN"/>
        </w:rPr>
        <w:t>非甲烷总烃产生速率最大为0.007kg/h。该项目储存原料与本项目储存原料类似，储存原料含油率约为8%，与本项目类似，废气处理设备与本项目一致，类比可行。</w:t>
      </w:r>
    </w:p>
    <w:p w14:paraId="4B2E7836">
      <w:pPr>
        <w:bidi w:val="0"/>
        <w:rPr>
          <w:highlight w:val="none"/>
        </w:rPr>
      </w:pPr>
      <w:r>
        <w:rPr>
          <w:rFonts w:hint="eastAsia"/>
          <w:highlight w:val="none"/>
          <w:lang w:val="en-US" w:eastAsia="zh-CN"/>
        </w:rPr>
        <w:t>本项目最大储存量1520t，每次将运料贮存区清空后再接收新原料，堆存时长最大为1288小时，则类比后本项目非甲烷总烃最大产生速率约为0.053kg/h，0.068t/a。本项目废气集中收集（效率90%）设计风机风量为5000m</w:t>
      </w:r>
      <w:r>
        <w:rPr>
          <w:rFonts w:hint="eastAsia"/>
          <w:highlight w:val="none"/>
          <w:vertAlign w:val="superscript"/>
          <w:lang w:val="en-US" w:eastAsia="zh-CN"/>
        </w:rPr>
        <w:t>3</w:t>
      </w:r>
      <w:r>
        <w:rPr>
          <w:rFonts w:hint="eastAsia"/>
          <w:highlight w:val="none"/>
          <w:lang w:val="en-US" w:eastAsia="zh-CN"/>
        </w:rPr>
        <w:t>/h。参考《</w:t>
      </w:r>
      <w:r>
        <w:rPr>
          <w:highlight w:val="none"/>
        </w:rPr>
        <w:fldChar w:fldCharType="begin"/>
      </w:r>
      <w:r>
        <w:rPr>
          <w:highlight w:val="none"/>
        </w:rPr>
        <w:instrText xml:space="preserve"> HYPERLINK "https://www.mee.gov.cn/ywgz/fgbz/bz/bzwb/wrfzjszc/202002/W020200213574302008065.pdf" </w:instrText>
      </w:r>
      <w:r>
        <w:rPr>
          <w:highlight w:val="none"/>
        </w:rPr>
        <w:fldChar w:fldCharType="separate"/>
      </w:r>
      <w:r>
        <w:rPr>
          <w:rFonts w:hint="eastAsia"/>
          <w:highlight w:val="none"/>
        </w:rPr>
        <w:t>污染源源强核算技术指南 汽车制造</w:t>
      </w:r>
      <w:r>
        <w:rPr>
          <w:rFonts w:hint="eastAsia"/>
          <w:highlight w:val="none"/>
        </w:rPr>
        <w:fldChar w:fldCharType="end"/>
      </w:r>
      <w:r>
        <w:rPr>
          <w:rFonts w:hint="eastAsia"/>
          <w:highlight w:val="none"/>
          <w:lang w:val="en-US" w:eastAsia="zh-CN"/>
        </w:rPr>
        <w:t>》（</w:t>
      </w:r>
      <w:r>
        <w:rPr>
          <w:rFonts w:hint="eastAsia"/>
          <w:highlight w:val="none"/>
          <w:lang w:val="en-US" w:eastAsia="zh-CN"/>
        </w:rPr>
        <w:fldChar w:fldCharType="begin"/>
      </w:r>
      <w:r>
        <w:rPr>
          <w:rFonts w:hint="eastAsia"/>
          <w:highlight w:val="none"/>
          <w:lang w:val="en-US" w:eastAsia="zh-CN"/>
        </w:rPr>
        <w:instrText xml:space="preserve"> HYPERLINK "https://www.mee.gov.cn/ywgz/fgbz/bz/bzwb/wrfzjszc/202002/W020200213574302008065.pdf" </w:instrText>
      </w:r>
      <w:r>
        <w:rPr>
          <w:rFonts w:hint="eastAsia"/>
          <w:highlight w:val="none"/>
          <w:lang w:val="en-US" w:eastAsia="zh-CN"/>
        </w:rPr>
        <w:fldChar w:fldCharType="separate"/>
      </w:r>
      <w:r>
        <w:rPr>
          <w:rFonts w:hint="eastAsia"/>
          <w:highlight w:val="none"/>
          <w:lang w:val="en-US" w:eastAsia="zh-CN"/>
        </w:rPr>
        <w:t>HJ 1097—2020</w:t>
      </w:r>
      <w:r>
        <w:rPr>
          <w:rFonts w:hint="eastAsia"/>
          <w:highlight w:val="none"/>
          <w:lang w:val="en-US" w:eastAsia="zh-CN"/>
        </w:rPr>
        <w:fldChar w:fldCharType="end"/>
      </w:r>
      <w:r>
        <w:rPr>
          <w:rFonts w:hint="eastAsia" w:ascii="Times New Roman" w:hAnsi="Times New Roman" w:eastAsia="宋体" w:cs="Times New Roman"/>
          <w:highlight w:val="none"/>
          <w:lang w:val="en-US" w:eastAsia="zh-CN"/>
        </w:rPr>
        <w:t>）表F.1油雾净化器净化效率为90%，根据文献</w:t>
      </w:r>
      <w:r>
        <w:rPr>
          <w:rFonts w:hint="eastAsia" w:hAnsiTheme="minorEastAsia" w:eastAsiaTheme="minorEastAsia"/>
          <w:kern w:val="0"/>
          <w:sz w:val="24"/>
          <w:highlight w:val="none"/>
        </w:rPr>
        <w:t>（</w:t>
      </w:r>
      <w:r>
        <w:rPr>
          <w:rFonts w:hint="eastAsia" w:ascii="Times New Roman" w:hAnsi="Times New Roman" w:eastAsia="宋体" w:cs="Times New Roman"/>
          <w:highlight w:val="none"/>
          <w:lang w:val="en-US" w:eastAsia="zh-CN"/>
        </w:rPr>
        <w:t>吴丽娟</w:t>
      </w:r>
      <w:r>
        <w:rPr>
          <w:rFonts w:hAnsiTheme="minorEastAsia" w:eastAsiaTheme="minorEastAsia"/>
          <w:kern w:val="0"/>
          <w:sz w:val="24"/>
          <w:highlight w:val="none"/>
        </w:rPr>
        <w:t>.</w:t>
      </w:r>
      <w:r>
        <w:rPr>
          <w:rFonts w:hint="eastAsia" w:ascii="Times New Roman" w:hAnsi="Times New Roman" w:eastAsia="宋体" w:cs="Times New Roman"/>
          <w:highlight w:val="none"/>
          <w:lang w:val="en-US" w:eastAsia="zh-CN"/>
        </w:rPr>
        <w:t>机械加工企业VOCs废气处理中活性炭吸附效率的研究</w:t>
      </w:r>
      <w:r>
        <w:rPr>
          <w:rFonts w:hAnsiTheme="minorEastAsia" w:eastAsiaTheme="minorEastAsia"/>
          <w:kern w:val="0"/>
          <w:sz w:val="24"/>
          <w:highlight w:val="none"/>
        </w:rPr>
        <w:t>[J].</w:t>
      </w:r>
      <w:r>
        <w:rPr>
          <w:rFonts w:hint="eastAsia" w:ascii="Times New Roman" w:hAnsi="Times New Roman" w:eastAsia="宋体" w:cs="Times New Roman"/>
          <w:highlight w:val="none"/>
          <w:lang w:val="en-US" w:eastAsia="zh-CN"/>
        </w:rPr>
        <w:t>环保与节能</w:t>
      </w:r>
      <w:r>
        <w:rPr>
          <w:rFonts w:hAnsiTheme="minorEastAsia" w:eastAsiaTheme="minorEastAsia"/>
          <w:kern w:val="0"/>
          <w:sz w:val="24"/>
          <w:highlight w:val="none"/>
        </w:rPr>
        <w:t>,20</w:t>
      </w:r>
      <w:r>
        <w:rPr>
          <w:rFonts w:hint="eastAsia" w:hAnsiTheme="minorEastAsia" w:eastAsiaTheme="minorEastAsia"/>
          <w:kern w:val="0"/>
          <w:sz w:val="24"/>
          <w:highlight w:val="none"/>
          <w:lang w:val="en-US" w:eastAsia="zh-CN"/>
        </w:rPr>
        <w:t>22</w:t>
      </w:r>
      <w:r>
        <w:rPr>
          <w:rFonts w:hAnsiTheme="minorEastAsia" w:eastAsiaTheme="minorEastAsia"/>
          <w:kern w:val="0"/>
          <w:sz w:val="24"/>
          <w:highlight w:val="none"/>
        </w:rPr>
        <w:t>(1</w:t>
      </w:r>
      <w:r>
        <w:rPr>
          <w:rFonts w:hint="eastAsia" w:hAnsiTheme="minorEastAsia" w:eastAsiaTheme="minorEastAsia"/>
          <w:kern w:val="0"/>
          <w:sz w:val="24"/>
          <w:highlight w:val="none"/>
          <w:lang w:val="en-US" w:eastAsia="zh-CN"/>
        </w:rPr>
        <w:t>1</w:t>
      </w:r>
      <w:r>
        <w:rPr>
          <w:rFonts w:hAnsiTheme="minorEastAsia" w:eastAsiaTheme="minorEastAsia"/>
          <w:kern w:val="0"/>
          <w:sz w:val="24"/>
          <w:highlight w:val="none"/>
        </w:rPr>
        <w:t>):</w:t>
      </w:r>
      <w:r>
        <w:rPr>
          <w:rFonts w:hint="eastAsia" w:hAnsiTheme="minorEastAsia" w:eastAsiaTheme="minorEastAsia"/>
          <w:kern w:val="0"/>
          <w:sz w:val="24"/>
          <w:highlight w:val="none"/>
          <w:lang w:val="en-US" w:eastAsia="zh-CN"/>
        </w:rPr>
        <w:t>58</w:t>
      </w:r>
      <w:r>
        <w:rPr>
          <w:rFonts w:hAnsiTheme="minorEastAsia" w:eastAsiaTheme="minorEastAsia"/>
          <w:kern w:val="0"/>
          <w:sz w:val="24"/>
          <w:highlight w:val="none"/>
        </w:rPr>
        <w:t>-</w:t>
      </w:r>
      <w:r>
        <w:rPr>
          <w:rFonts w:hint="eastAsia" w:hAnsiTheme="minorEastAsia" w:eastAsiaTheme="minorEastAsia"/>
          <w:kern w:val="0"/>
          <w:sz w:val="24"/>
          <w:highlight w:val="none"/>
          <w:lang w:val="en-US" w:eastAsia="zh-CN"/>
        </w:rPr>
        <w:t>64</w:t>
      </w:r>
      <w:r>
        <w:rPr>
          <w:rFonts w:hAnsiTheme="minorEastAsia" w:eastAsiaTheme="minorEastAsia"/>
          <w:kern w:val="0"/>
          <w:sz w:val="24"/>
          <w:highlight w:val="none"/>
        </w:rPr>
        <w:t>.</w:t>
      </w:r>
      <w:r>
        <w:rPr>
          <w:rFonts w:hint="eastAsia" w:hAnsiTheme="minorEastAsia" w:eastAsiaTheme="minorEastAsia"/>
          <w:kern w:val="0"/>
          <w:sz w:val="24"/>
          <w:highlight w:val="none"/>
        </w:rPr>
        <w:t>）</w:t>
      </w:r>
      <w:r>
        <w:rPr>
          <w:rFonts w:hint="eastAsia" w:hAnsiTheme="minorEastAsia" w:eastAsiaTheme="minorEastAsia"/>
          <w:kern w:val="0"/>
          <w:sz w:val="24"/>
          <w:highlight w:val="none"/>
          <w:lang w:eastAsia="zh-CN"/>
        </w:rPr>
        <w:t>，</w:t>
      </w:r>
      <w:r>
        <w:rPr>
          <w:rFonts w:hint="eastAsia" w:hAnsiTheme="minorEastAsia" w:eastAsiaTheme="minorEastAsia"/>
          <w:kern w:val="0"/>
          <w:sz w:val="24"/>
          <w:highlight w:val="none"/>
          <w:lang w:val="en-US" w:eastAsia="zh-CN"/>
        </w:rPr>
        <w:t>活性炭吸附效率为</w:t>
      </w:r>
      <w:r>
        <w:rPr>
          <w:rFonts w:hint="eastAsia" w:ascii="Times New Roman" w:hAnsi="Times New Roman" w:eastAsia="宋体" w:cs="Times New Roman"/>
          <w:highlight w:val="none"/>
          <w:lang w:val="en-US" w:eastAsia="zh-CN"/>
        </w:rPr>
        <w:t>90%</w:t>
      </w:r>
      <w:r>
        <w:rPr>
          <w:rFonts w:hint="eastAsia" w:cs="Times New Roman"/>
          <w:highlight w:val="none"/>
          <w:lang w:val="en-US" w:eastAsia="zh-CN"/>
        </w:rPr>
        <w:t>本项目设置一套</w:t>
      </w:r>
      <w:r>
        <w:rPr>
          <w:rFonts w:hint="eastAsia" w:hAnsi="宋体"/>
          <w:color w:val="000000"/>
          <w:highlight w:val="none"/>
          <w:lang w:val="en-US" w:eastAsia="zh-CN"/>
        </w:rPr>
        <w:t>油雾净化器串联活性炭吸附设备，综合处理效率为99%，废气处理后由排气筒排放</w:t>
      </w:r>
      <w:r>
        <w:rPr>
          <w:rFonts w:hint="eastAsia" w:ascii="Times New Roman" w:hAnsi="Times New Roman" w:cs="Times New Roman"/>
          <w:highlight w:val="none"/>
          <w:lang w:val="en-US" w:eastAsia="zh-CN"/>
        </w:rPr>
        <w:t>。</w:t>
      </w:r>
      <w:r>
        <w:rPr>
          <w:rFonts w:hint="eastAsia" w:cs="Times New Roman"/>
          <w:highlight w:val="none"/>
          <w:lang w:val="en-US" w:eastAsia="zh-CN"/>
        </w:rPr>
        <w:t>则</w:t>
      </w:r>
      <w:r>
        <w:rPr>
          <w:rFonts w:hint="eastAsia" w:ascii="Times New Roman" w:hAnsi="Times New Roman" w:eastAsia="宋体" w:cs="Times New Roman"/>
          <w:highlight w:val="none"/>
          <w:lang w:val="en-US" w:eastAsia="zh-CN"/>
        </w:rPr>
        <w:t>本项目</w:t>
      </w:r>
      <w:r>
        <w:rPr>
          <w:rFonts w:hint="eastAsia" w:cs="Times New Roman"/>
          <w:highlight w:val="none"/>
          <w:lang w:val="en-US" w:eastAsia="zh-CN"/>
        </w:rPr>
        <w:t>原料贮存</w:t>
      </w:r>
      <w:r>
        <w:rPr>
          <w:rFonts w:hint="eastAsia" w:ascii="Times New Roman" w:hAnsi="Times New Roman" w:eastAsia="宋体" w:cs="Times New Roman"/>
          <w:highlight w:val="none"/>
          <w:lang w:val="en-US" w:eastAsia="zh-CN"/>
        </w:rPr>
        <w:t>有组织</w:t>
      </w:r>
      <w:r>
        <w:rPr>
          <w:rFonts w:hint="eastAsia"/>
          <w:highlight w:val="none"/>
          <w:lang w:val="en-US" w:eastAsia="zh-CN"/>
        </w:rPr>
        <w:t>非甲烷总烃产生量为，0.048kg/h，0.062t/a，</w:t>
      </w:r>
      <w:r>
        <w:rPr>
          <w:rFonts w:hint="eastAsia" w:cs="Times New Roman"/>
          <w:highlight w:val="none"/>
          <w:lang w:val="en-US" w:eastAsia="zh-CN"/>
        </w:rPr>
        <w:t>排放</w:t>
      </w:r>
      <w:r>
        <w:rPr>
          <w:rFonts w:hint="eastAsia" w:ascii="Times New Roman" w:hAnsi="Times New Roman" w:eastAsia="宋体" w:cs="Times New Roman"/>
          <w:highlight w:val="none"/>
          <w:lang w:val="en-US" w:eastAsia="zh-CN"/>
        </w:rPr>
        <w:t>量为</w:t>
      </w:r>
      <w:r>
        <w:rPr>
          <w:rFonts w:hint="eastAsia" w:cs="Times New Roman"/>
          <w:highlight w:val="none"/>
          <w:lang w:val="en-US" w:eastAsia="zh-CN"/>
        </w:rPr>
        <w:t>4.79</w:t>
      </w:r>
      <w:r>
        <w:rPr>
          <w:rFonts w:hint="default" w:ascii="Arial" w:hAnsi="Arial" w:cs="Arial"/>
          <w:highlight w:val="none"/>
          <w:lang w:val="en-US" w:eastAsia="zh-CN"/>
        </w:rPr>
        <w:t>×</w:t>
      </w:r>
      <w:r>
        <w:rPr>
          <w:rFonts w:hint="eastAsia" w:cs="Times New Roman"/>
          <w:highlight w:val="none"/>
          <w:lang w:val="en-US" w:eastAsia="zh-CN"/>
        </w:rPr>
        <w:t>10</w:t>
      </w:r>
      <w:r>
        <w:rPr>
          <w:rFonts w:hint="eastAsia" w:cs="Times New Roman"/>
          <w:highlight w:val="none"/>
          <w:vertAlign w:val="superscript"/>
          <w:lang w:val="en-US" w:eastAsia="zh-CN"/>
        </w:rPr>
        <w:t>-4</w:t>
      </w:r>
      <w:r>
        <w:rPr>
          <w:rFonts w:hint="eastAsia" w:ascii="Times New Roman" w:hAnsi="Times New Roman" w:eastAsia="宋体" w:cs="Times New Roman"/>
          <w:highlight w:val="none"/>
          <w:lang w:val="en-US" w:eastAsia="zh-CN"/>
        </w:rPr>
        <w:t>kg/h，</w:t>
      </w:r>
      <w:r>
        <w:rPr>
          <w:rFonts w:hint="eastAsia" w:cs="Times New Roman"/>
          <w:highlight w:val="none"/>
          <w:lang w:val="en-US" w:eastAsia="zh-CN"/>
        </w:rPr>
        <w:t>6.16</w:t>
      </w:r>
      <w:r>
        <w:rPr>
          <w:rFonts w:hint="default" w:ascii="Arial" w:hAnsi="Arial" w:cs="Arial"/>
          <w:highlight w:val="none"/>
          <w:lang w:val="en-US" w:eastAsia="zh-CN"/>
        </w:rPr>
        <w:t>×</w:t>
      </w:r>
      <w:r>
        <w:rPr>
          <w:rFonts w:hint="eastAsia" w:cs="Times New Roman"/>
          <w:highlight w:val="none"/>
          <w:lang w:val="en-US" w:eastAsia="zh-CN"/>
        </w:rPr>
        <w:t>10</w:t>
      </w:r>
      <w:r>
        <w:rPr>
          <w:rFonts w:hint="eastAsia" w:cs="Times New Roman"/>
          <w:highlight w:val="none"/>
          <w:vertAlign w:val="superscript"/>
          <w:lang w:val="en-US" w:eastAsia="zh-CN"/>
        </w:rPr>
        <w:t>-4</w:t>
      </w:r>
      <w:r>
        <w:rPr>
          <w:rFonts w:hint="eastAsia" w:ascii="Times New Roman" w:hAnsi="Times New Roman" w:eastAsia="宋体" w:cs="Times New Roman"/>
          <w:highlight w:val="none"/>
          <w:lang w:val="en-US" w:eastAsia="zh-CN"/>
        </w:rPr>
        <w:t>t/a；无组织</w:t>
      </w:r>
      <w:r>
        <w:rPr>
          <w:rFonts w:hint="eastAsia"/>
          <w:highlight w:val="none"/>
          <w:lang w:val="en-US" w:eastAsia="zh-CN"/>
        </w:rPr>
        <w:t>非甲烷总烃</w:t>
      </w:r>
      <w:r>
        <w:rPr>
          <w:rFonts w:hint="eastAsia"/>
          <w:highlight w:val="none"/>
        </w:rPr>
        <w:t>产生量为</w:t>
      </w:r>
      <w:r>
        <w:rPr>
          <w:rFonts w:hint="eastAsia"/>
          <w:highlight w:val="none"/>
          <w:lang w:val="en-US" w:eastAsia="zh-CN"/>
        </w:rPr>
        <w:t>0.007t/a，</w:t>
      </w:r>
      <w:r>
        <w:rPr>
          <w:rFonts w:hint="eastAsia" w:cs="Times New Roman"/>
          <w:highlight w:val="none"/>
          <w:lang w:val="en-US" w:eastAsia="zh-CN"/>
        </w:rPr>
        <w:t>0.005</w:t>
      </w:r>
      <w:r>
        <w:rPr>
          <w:rFonts w:hint="eastAsia"/>
          <w:highlight w:val="none"/>
          <w:vertAlign w:val="baseline"/>
          <w:lang w:val="en-US" w:eastAsia="zh-CN"/>
        </w:rPr>
        <w:t>kg/h</w:t>
      </w:r>
      <w:r>
        <w:rPr>
          <w:highlight w:val="none"/>
        </w:rPr>
        <w:t>。</w:t>
      </w:r>
    </w:p>
    <w:p w14:paraId="07D9339B">
      <w:pPr>
        <w:bidi w:val="0"/>
        <w:rPr>
          <w:rFonts w:hint="default"/>
          <w:highlight w:val="none"/>
          <w:lang w:val="en-US" w:eastAsia="zh-CN"/>
        </w:rPr>
      </w:pPr>
      <w:bookmarkStart w:id="255" w:name="_Toc31033"/>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lang w:val="en-US" w:eastAsia="zh-CN"/>
        </w:rPr>
        <w:t>甩干废气</w:t>
      </w:r>
      <w:bookmarkEnd w:id="255"/>
    </w:p>
    <w:p w14:paraId="78EEEEBC">
      <w:pPr>
        <w:bidi w:val="0"/>
        <w:rPr>
          <w:rFonts w:ascii="Times New Roman" w:hAnsi="Times New Roman" w:cs="Times New Roman"/>
          <w:highlight w:val="none"/>
        </w:rPr>
      </w:pPr>
      <w:r>
        <w:rPr>
          <w:rFonts w:hint="eastAsia"/>
          <w:highlight w:val="none"/>
          <w:lang w:val="en-US" w:eastAsia="zh-CN"/>
        </w:rPr>
        <w:t>根据前文工程实例及物料平衡可知，本项目含油金属屑中的油类物质损耗率约为1%，按最不利情况计，损耗部分全部挥发，则挥发量为6.8t/a。则有组织非甲烷总烃产生量约为6.12t/a，年生产时间2400h，产生速率2.55kg/h，</w:t>
      </w:r>
      <w:r>
        <w:rPr>
          <w:rFonts w:hint="eastAsia" w:ascii="Times New Roman" w:hAnsi="Times New Roman" w:eastAsia="宋体" w:cs="Times New Roman"/>
          <w:highlight w:val="none"/>
          <w:lang w:val="en-US" w:eastAsia="zh-CN"/>
        </w:rPr>
        <w:t>废气集中</w:t>
      </w:r>
      <w:r>
        <w:rPr>
          <w:rFonts w:hint="eastAsia" w:ascii="Times New Roman" w:hAnsi="Times New Roman" w:eastAsia="宋体" w:cs="Times New Roman"/>
          <w:highlight w:val="none"/>
        </w:rPr>
        <w:t>收</w:t>
      </w:r>
      <w:r>
        <w:rPr>
          <w:rFonts w:hint="eastAsia"/>
          <w:highlight w:val="none"/>
        </w:rPr>
        <w:t>集</w:t>
      </w:r>
      <w:r>
        <w:rPr>
          <w:rFonts w:hint="eastAsia"/>
          <w:highlight w:val="none"/>
          <w:lang w:val="en-US" w:eastAsia="zh-CN"/>
        </w:rPr>
        <w:t>（</w:t>
      </w:r>
      <w:r>
        <w:rPr>
          <w:rFonts w:hint="eastAsia"/>
          <w:highlight w:val="none"/>
        </w:rPr>
        <w:t>效率按90%计</w:t>
      </w:r>
      <w:r>
        <w:rPr>
          <w:rFonts w:hint="eastAsia" w:ascii="Times New Roman" w:hAnsi="Times New Roman" w:eastAsia="宋体" w:cs="Times New Roman"/>
          <w:highlight w:val="none"/>
          <w:lang w:val="en-US" w:eastAsia="zh-CN"/>
        </w:rPr>
        <w:t>）后经油雾净化器+活性炭吸附装置</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处理后排放</w:t>
      </w:r>
      <w:r>
        <w:rPr>
          <w:rFonts w:hint="eastAsia" w:cs="Times New Roman"/>
          <w:highlight w:val="none"/>
          <w:lang w:val="en-US" w:eastAsia="zh-CN"/>
        </w:rPr>
        <w:t>，</w:t>
      </w:r>
      <w:r>
        <w:rPr>
          <w:rFonts w:hint="eastAsia" w:ascii="Times New Roman" w:hAnsi="Times New Roman" w:cs="Times New Roman"/>
          <w:highlight w:val="none"/>
          <w:lang w:val="en-US" w:eastAsia="zh-CN"/>
        </w:rPr>
        <w:t>设计风机风量为</w:t>
      </w:r>
      <w:r>
        <w:rPr>
          <w:rFonts w:hint="eastAsia" w:cs="Times New Roman"/>
          <w:highlight w:val="none"/>
          <w:lang w:val="en-US" w:eastAsia="zh-CN"/>
        </w:rPr>
        <w:t>5</w:t>
      </w:r>
      <w:r>
        <w:rPr>
          <w:rFonts w:hint="eastAsia" w:ascii="Times New Roman" w:hAnsi="Times New Roman" w:cs="Times New Roman"/>
          <w:highlight w:val="none"/>
          <w:lang w:val="en-US" w:eastAsia="zh-CN"/>
        </w:rPr>
        <w:t>000m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lang w:val="en-US" w:eastAsia="zh-CN"/>
        </w:rPr>
        <w:t>/h</w:t>
      </w:r>
      <w:r>
        <w:rPr>
          <w:rFonts w:hint="eastAsia" w:cs="Times New Roman"/>
          <w:highlight w:val="none"/>
          <w:lang w:val="en-US" w:eastAsia="zh-CN"/>
        </w:rPr>
        <w:t>。处理后非甲烷总烃</w:t>
      </w:r>
      <w:r>
        <w:rPr>
          <w:rFonts w:hint="eastAsia"/>
          <w:highlight w:val="none"/>
          <w:lang w:val="en-US" w:eastAsia="zh-CN"/>
        </w:rPr>
        <w:t>排放量为0.061t/a，0.026kg/h</w:t>
      </w:r>
      <w:r>
        <w:rPr>
          <w:rFonts w:hint="eastAsia" w:ascii="Times New Roman" w:hAnsi="Times New Roman" w:eastAsia="宋体" w:cs="Times New Roman"/>
          <w:highlight w:val="none"/>
          <w:vertAlign w:val="baseline"/>
          <w:lang w:val="en-US" w:eastAsia="zh-CN"/>
        </w:rPr>
        <w:t>。</w:t>
      </w:r>
      <w:r>
        <w:rPr>
          <w:rFonts w:hint="eastAsia" w:cs="Times New Roman"/>
          <w:highlight w:val="none"/>
          <w:vertAlign w:val="baseline"/>
          <w:lang w:val="en-US" w:eastAsia="zh-CN"/>
        </w:rPr>
        <w:t>未被收集部分无组织排放</w:t>
      </w:r>
      <w:r>
        <w:rPr>
          <w:rFonts w:hint="eastAsia" w:cs="Times New Roman"/>
          <w:highlight w:val="none"/>
          <w:lang w:val="en-US" w:eastAsia="zh-CN"/>
        </w:rPr>
        <w:t>，非甲烷总烃无组织排放</w:t>
      </w:r>
      <w:r>
        <w:rPr>
          <w:rFonts w:hint="eastAsia" w:ascii="Times New Roman" w:hAnsi="Times New Roman" w:cs="Times New Roman"/>
          <w:highlight w:val="none"/>
        </w:rPr>
        <w:t>量为</w:t>
      </w:r>
      <w:r>
        <w:rPr>
          <w:rFonts w:hint="eastAsia" w:cs="Times New Roman"/>
          <w:highlight w:val="none"/>
          <w:lang w:val="en-US" w:eastAsia="zh-CN"/>
        </w:rPr>
        <w:t>0.68</w:t>
      </w:r>
      <w:r>
        <w:rPr>
          <w:rFonts w:hint="eastAsia" w:ascii="Times New Roman" w:hAnsi="Times New Roman" w:cs="Times New Roman"/>
          <w:highlight w:val="none"/>
          <w:lang w:val="en-US" w:eastAsia="zh-CN"/>
        </w:rPr>
        <w:t>t/a，0.</w:t>
      </w:r>
      <w:r>
        <w:rPr>
          <w:rFonts w:hint="eastAsia" w:cs="Times New Roman"/>
          <w:highlight w:val="none"/>
          <w:lang w:val="en-US" w:eastAsia="zh-CN"/>
        </w:rPr>
        <w:t>283</w:t>
      </w:r>
      <w:r>
        <w:rPr>
          <w:rFonts w:hint="eastAsia" w:ascii="Times New Roman" w:hAnsi="Times New Roman" w:cs="Times New Roman"/>
          <w:highlight w:val="none"/>
          <w:lang w:val="en-US" w:eastAsia="zh-CN"/>
        </w:rPr>
        <w:t>kg/h</w:t>
      </w:r>
      <w:r>
        <w:rPr>
          <w:rFonts w:ascii="Times New Roman" w:hAnsi="Times New Roman" w:cs="Times New Roman"/>
          <w:highlight w:val="none"/>
        </w:rPr>
        <w:t>。</w:t>
      </w:r>
    </w:p>
    <w:p w14:paraId="63FEEC4A">
      <w:pPr>
        <w:bidi w:val="0"/>
        <w:rPr>
          <w:rFonts w:hint="default"/>
          <w:highlight w:val="none"/>
          <w:lang w:val="en-US" w:eastAsia="zh-CN"/>
        </w:rPr>
      </w:pPr>
      <w:bookmarkStart w:id="256" w:name="_Toc284"/>
      <w:r>
        <w:rPr>
          <w:rFonts w:hint="eastAsia" w:cs="Times New Roman"/>
          <w:highlight w:val="none"/>
          <w:lang w:val="en-US" w:eastAsia="zh-CN"/>
        </w:rPr>
        <w:t>（3）</w:t>
      </w:r>
      <w:r>
        <w:rPr>
          <w:rFonts w:hint="eastAsia"/>
          <w:highlight w:val="none"/>
          <w:lang w:val="en-US" w:eastAsia="zh-CN"/>
        </w:rPr>
        <w:t>破碎</w:t>
      </w:r>
      <w:bookmarkEnd w:id="256"/>
      <w:r>
        <w:rPr>
          <w:rFonts w:hint="eastAsia"/>
          <w:highlight w:val="none"/>
          <w:lang w:val="en-US" w:eastAsia="zh-CN"/>
        </w:rPr>
        <w:t>粉尘</w:t>
      </w:r>
    </w:p>
    <w:p w14:paraId="6A7F45AC">
      <w:pPr>
        <w:bidi w:val="0"/>
        <w:rPr>
          <w:rFonts w:hint="eastAsia"/>
          <w:highlight w:val="none"/>
          <w:lang w:val="en-US" w:eastAsia="zh-CN"/>
        </w:rPr>
      </w:pPr>
      <w:r>
        <w:rPr>
          <w:rFonts w:hint="eastAsia"/>
          <w:highlight w:val="none"/>
          <w:lang w:val="en-US" w:eastAsia="zh-CN"/>
        </w:rPr>
        <w:t>本项目类比《黑龙江宏贝壹德环境科技有限公司再生资源利用项目竣工环境保护验收监测报告》中生产车间排气筒监测数据。验收监测期间平均日加工量为19.5t，废气收集后经活</w:t>
      </w:r>
      <w:r>
        <w:rPr>
          <w:rFonts w:hint="eastAsia" w:hAnsi="宋体"/>
          <w:color w:val="000000"/>
          <w:highlight w:val="none"/>
          <w:lang w:val="en-US" w:eastAsia="zh-CN"/>
        </w:rPr>
        <w:t>油雾净化器+活性炭吸附设备</w:t>
      </w:r>
      <w:r>
        <w:rPr>
          <w:rFonts w:hint="eastAsia"/>
          <w:highlight w:val="none"/>
          <w:lang w:val="en-US" w:eastAsia="zh-CN"/>
        </w:rPr>
        <w:t>处理后排放，颗粒物排放速率最大为0.003kg/h；该项目</w:t>
      </w:r>
      <w:r>
        <w:rPr>
          <w:rFonts w:hint="eastAsia" w:hAnsi="宋体"/>
          <w:color w:val="000000"/>
          <w:highlight w:val="none"/>
          <w:lang w:val="en-US" w:eastAsia="zh-CN"/>
        </w:rPr>
        <w:t>油雾净化器+活性炭吸附设备</w:t>
      </w:r>
      <w:r>
        <w:rPr>
          <w:rFonts w:hint="eastAsia" w:cs="Times New Roman"/>
          <w:color w:val="000000"/>
          <w:highlight w:val="none"/>
          <w:lang w:val="en-US" w:eastAsia="zh-CN"/>
        </w:rPr>
        <w:t>对颗粒物</w:t>
      </w:r>
      <w:r>
        <w:rPr>
          <w:rFonts w:ascii="Times New Roman" w:hAnsi="Times New Roman" w:cs="Times New Roman"/>
          <w:color w:val="000000"/>
          <w:highlight w:val="none"/>
        </w:rPr>
        <w:t>处理</w:t>
      </w:r>
      <w:r>
        <w:rPr>
          <w:rFonts w:hint="eastAsia" w:cs="Times New Roman"/>
          <w:color w:val="000000"/>
          <w:highlight w:val="none"/>
          <w:lang w:val="en-US" w:eastAsia="zh-CN"/>
        </w:rPr>
        <w:t>效率约为0%，收集效率约为90%</w:t>
      </w:r>
      <w:r>
        <w:rPr>
          <w:rFonts w:hint="eastAsia" w:ascii="Times New Roman" w:hAnsi="Times New Roman" w:cs="Times New Roman"/>
          <w:highlight w:val="none"/>
          <w:lang w:val="en-US" w:eastAsia="zh-CN"/>
        </w:rPr>
        <w:t>。</w:t>
      </w:r>
    </w:p>
    <w:p w14:paraId="2569212A">
      <w:pPr>
        <w:bidi w:val="0"/>
        <w:rPr>
          <w:highlight w:val="none"/>
        </w:rPr>
      </w:pPr>
      <w:r>
        <w:rPr>
          <w:rFonts w:hint="eastAsia"/>
          <w:highlight w:val="none"/>
          <w:lang w:val="en-US" w:eastAsia="zh-CN"/>
        </w:rPr>
        <w:t>本项目日加工量28.3t，则类比后本项目颗粒物产生速率约为0.005kg/h</w:t>
      </w:r>
      <w:r>
        <w:rPr>
          <w:rFonts w:hint="eastAsia" w:ascii="Times New Roman" w:hAnsi="Times New Roman" w:cs="Times New Roman"/>
          <w:highlight w:val="none"/>
          <w:lang w:val="en-US" w:eastAsia="zh-CN"/>
        </w:rPr>
        <w:t>，</w:t>
      </w:r>
      <w:r>
        <w:rPr>
          <w:rFonts w:hint="eastAsia" w:cs="Times New Roman"/>
          <w:highlight w:val="none"/>
          <w:lang w:val="en-US" w:eastAsia="zh-CN"/>
        </w:rPr>
        <w:t>0.012</w:t>
      </w:r>
      <w:r>
        <w:rPr>
          <w:rFonts w:hint="eastAsia" w:ascii="Times New Roman" w:hAnsi="Times New Roman" w:cs="Times New Roman"/>
          <w:highlight w:val="none"/>
          <w:lang w:val="en-US" w:eastAsia="zh-CN"/>
        </w:rPr>
        <w:t>t/a。</w:t>
      </w:r>
      <w:r>
        <w:rPr>
          <w:rFonts w:hint="eastAsia" w:cs="Times New Roman"/>
          <w:highlight w:val="none"/>
          <w:lang w:val="en-US" w:eastAsia="zh-CN"/>
        </w:rPr>
        <w:t>废气集中收集（效率90%）后经</w:t>
      </w:r>
      <w:r>
        <w:rPr>
          <w:rFonts w:hint="eastAsia" w:hAnsi="宋体"/>
          <w:color w:val="000000"/>
          <w:highlight w:val="none"/>
          <w:lang w:val="en-US" w:eastAsia="zh-CN"/>
        </w:rPr>
        <w:t>油雾净化器+活性炭吸附设备处理后由排气筒排放</w:t>
      </w:r>
      <w:r>
        <w:rPr>
          <w:rFonts w:hint="eastAsia" w:cs="Times New Roman"/>
          <w:highlight w:val="none"/>
          <w:lang w:val="en-US" w:eastAsia="zh-CN"/>
        </w:rPr>
        <w:t>，</w:t>
      </w:r>
      <w:r>
        <w:rPr>
          <w:rFonts w:hint="eastAsia" w:ascii="Times New Roman" w:hAnsi="Times New Roman" w:cs="Times New Roman"/>
          <w:highlight w:val="none"/>
          <w:lang w:val="en-US" w:eastAsia="zh-CN"/>
        </w:rPr>
        <w:t>设计风机风量为</w:t>
      </w:r>
      <w:r>
        <w:rPr>
          <w:rFonts w:hint="eastAsia" w:cs="Times New Roman"/>
          <w:highlight w:val="none"/>
          <w:lang w:val="en-US" w:eastAsia="zh-CN"/>
        </w:rPr>
        <w:t>5</w:t>
      </w:r>
      <w:r>
        <w:rPr>
          <w:rFonts w:hint="eastAsia" w:ascii="Times New Roman" w:hAnsi="Times New Roman" w:cs="Times New Roman"/>
          <w:highlight w:val="none"/>
          <w:lang w:val="en-US" w:eastAsia="zh-CN"/>
        </w:rPr>
        <w:t>000m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lang w:val="en-US" w:eastAsia="zh-CN"/>
        </w:rPr>
        <w:t>/h。</w:t>
      </w:r>
      <w:r>
        <w:rPr>
          <w:rFonts w:hint="eastAsia" w:cs="Times New Roman"/>
          <w:highlight w:val="none"/>
          <w:lang w:val="en-US" w:eastAsia="zh-CN"/>
        </w:rPr>
        <w:t>则有组织颗粒物产生量为</w:t>
      </w:r>
      <w:r>
        <w:rPr>
          <w:rFonts w:hint="eastAsia" w:ascii="Times New Roman" w:hAnsi="Times New Roman" w:eastAsia="宋体" w:cs="Times New Roman"/>
          <w:highlight w:val="none"/>
          <w:lang w:val="en-US" w:eastAsia="zh-CN"/>
        </w:rPr>
        <w:t>0.</w:t>
      </w:r>
      <w:r>
        <w:rPr>
          <w:rFonts w:hint="eastAsia" w:cs="Times New Roman"/>
          <w:highlight w:val="none"/>
          <w:lang w:val="en-US" w:eastAsia="zh-CN"/>
        </w:rPr>
        <w:t>004</w:t>
      </w:r>
      <w:r>
        <w:rPr>
          <w:rFonts w:hint="eastAsia" w:ascii="Times New Roman" w:hAnsi="Times New Roman" w:eastAsia="宋体" w:cs="Times New Roman"/>
          <w:highlight w:val="none"/>
          <w:lang w:val="en-US" w:eastAsia="zh-CN"/>
        </w:rPr>
        <w:t>kg/h，0.</w:t>
      </w:r>
      <w:r>
        <w:rPr>
          <w:rFonts w:hint="eastAsia" w:cs="Times New Roman"/>
          <w:highlight w:val="none"/>
          <w:lang w:val="en-US" w:eastAsia="zh-CN"/>
        </w:rPr>
        <w:t>010</w:t>
      </w:r>
      <w:r>
        <w:rPr>
          <w:rFonts w:hint="eastAsia" w:ascii="Times New Roman" w:hAnsi="Times New Roman" w:eastAsia="宋体" w:cs="Times New Roman"/>
          <w:highlight w:val="none"/>
          <w:lang w:val="en-US" w:eastAsia="zh-CN"/>
        </w:rPr>
        <w:t>t/a</w:t>
      </w:r>
      <w:r>
        <w:rPr>
          <w:rFonts w:hint="eastAsia" w:cs="Times New Roman"/>
          <w:highlight w:val="none"/>
          <w:lang w:val="en-US" w:eastAsia="zh-CN"/>
        </w:rPr>
        <w:t>，0.872mg/m</w:t>
      </w:r>
      <w:r>
        <w:rPr>
          <w:rFonts w:hint="eastAsia" w:cs="Times New Roman"/>
          <w:highlight w:val="none"/>
          <w:vertAlign w:val="superscript"/>
          <w:lang w:val="en-US" w:eastAsia="zh-CN"/>
        </w:rPr>
        <w:t>3</w:t>
      </w:r>
      <w:r>
        <w:rPr>
          <w:rFonts w:hint="eastAsia" w:cs="Times New Roman"/>
          <w:highlight w:val="none"/>
          <w:lang w:val="en-US" w:eastAsia="zh-CN"/>
        </w:rPr>
        <w:t>，颗粒物排放</w:t>
      </w:r>
      <w:r>
        <w:rPr>
          <w:rFonts w:hint="eastAsia" w:ascii="Times New Roman" w:hAnsi="Times New Roman" w:eastAsia="宋体" w:cs="Times New Roman"/>
          <w:highlight w:val="none"/>
          <w:lang w:val="en-US" w:eastAsia="zh-CN"/>
        </w:rPr>
        <w:t>量为</w:t>
      </w:r>
      <w:r>
        <w:rPr>
          <w:rFonts w:hint="eastAsia" w:cs="Times New Roman"/>
          <w:highlight w:val="none"/>
          <w:lang w:val="en-US" w:eastAsia="zh-CN"/>
        </w:rPr>
        <w:t>4.36</w:t>
      </w:r>
      <w:r>
        <w:rPr>
          <w:rFonts w:hint="default" w:ascii="Arial" w:hAnsi="Arial" w:cs="Arial"/>
          <w:highlight w:val="none"/>
          <w:lang w:val="en-US" w:eastAsia="zh-CN"/>
        </w:rPr>
        <w:t>×</w:t>
      </w:r>
      <w:r>
        <w:rPr>
          <w:rFonts w:hint="eastAsia" w:cs="Times New Roman"/>
          <w:highlight w:val="none"/>
          <w:lang w:val="en-US" w:eastAsia="zh-CN"/>
        </w:rPr>
        <w:t>10</w:t>
      </w:r>
      <w:r>
        <w:rPr>
          <w:rFonts w:hint="eastAsia" w:cs="Times New Roman"/>
          <w:highlight w:val="none"/>
          <w:vertAlign w:val="superscript"/>
          <w:lang w:val="en-US" w:eastAsia="zh-CN"/>
        </w:rPr>
        <w:t>-5</w:t>
      </w:r>
      <w:r>
        <w:rPr>
          <w:rFonts w:hint="eastAsia" w:ascii="Times New Roman" w:hAnsi="Times New Roman" w:eastAsia="宋体" w:cs="Times New Roman"/>
          <w:highlight w:val="none"/>
          <w:lang w:val="en-US" w:eastAsia="zh-CN"/>
        </w:rPr>
        <w:t>kg/h，</w:t>
      </w:r>
      <w:r>
        <w:rPr>
          <w:rFonts w:hint="eastAsia" w:cs="Times New Roman"/>
          <w:highlight w:val="none"/>
          <w:lang w:val="en-US" w:eastAsia="zh-CN"/>
        </w:rPr>
        <w:t>0.0001</w:t>
      </w:r>
      <w:r>
        <w:rPr>
          <w:rFonts w:hint="eastAsia" w:ascii="Times New Roman" w:hAnsi="Times New Roman" w:eastAsia="宋体" w:cs="Times New Roman"/>
          <w:highlight w:val="none"/>
          <w:lang w:val="en-US" w:eastAsia="zh-CN"/>
        </w:rPr>
        <w:t>t/a</w:t>
      </w:r>
      <w:r>
        <w:rPr>
          <w:rFonts w:hint="eastAsia" w:cs="Times New Roman"/>
          <w:highlight w:val="none"/>
          <w:lang w:val="en-US" w:eastAsia="zh-CN"/>
        </w:rPr>
        <w:t>，0.009mg/m</w:t>
      </w:r>
      <w:r>
        <w:rPr>
          <w:rFonts w:hint="eastAsia" w:cs="Times New Roman"/>
          <w:highlight w:val="none"/>
          <w:vertAlign w:val="superscript"/>
          <w:lang w:val="en-US" w:eastAsia="zh-CN"/>
        </w:rPr>
        <w:t>3</w:t>
      </w:r>
      <w:r>
        <w:rPr>
          <w:rFonts w:hint="eastAsia" w:ascii="Times New Roman" w:hAnsi="Times New Roman" w:eastAsia="宋体" w:cs="Times New Roman"/>
          <w:highlight w:val="none"/>
          <w:lang w:val="en-US" w:eastAsia="zh-CN"/>
        </w:rPr>
        <w:t>；</w:t>
      </w:r>
      <w:r>
        <w:rPr>
          <w:rFonts w:hint="eastAsia" w:cs="Times New Roman"/>
          <w:highlight w:val="none"/>
          <w:vertAlign w:val="baseline"/>
          <w:lang w:val="en-US" w:eastAsia="zh-CN"/>
        </w:rPr>
        <w:t>未被收集部分无组织排放</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无组织</w:t>
      </w:r>
      <w:r>
        <w:rPr>
          <w:rFonts w:hint="eastAsia"/>
          <w:highlight w:val="none"/>
          <w:lang w:val="en-US" w:eastAsia="zh-CN"/>
        </w:rPr>
        <w:t>颗粒物</w:t>
      </w:r>
      <w:r>
        <w:rPr>
          <w:rFonts w:hint="eastAsia"/>
          <w:highlight w:val="none"/>
        </w:rPr>
        <w:t>产生量为</w:t>
      </w:r>
      <w:r>
        <w:rPr>
          <w:rFonts w:hint="eastAsia"/>
          <w:highlight w:val="none"/>
          <w:lang w:val="en-US" w:eastAsia="zh-CN"/>
        </w:rPr>
        <w:t>0.001t/a，0.0005</w:t>
      </w:r>
      <w:r>
        <w:rPr>
          <w:rFonts w:hint="eastAsia"/>
          <w:highlight w:val="none"/>
          <w:vertAlign w:val="baseline"/>
          <w:lang w:val="en-US" w:eastAsia="zh-CN"/>
        </w:rPr>
        <w:t>kg/h</w:t>
      </w:r>
      <w:r>
        <w:rPr>
          <w:highlight w:val="none"/>
        </w:rPr>
        <w:t>。</w:t>
      </w:r>
    </w:p>
    <w:p w14:paraId="10FB2C4F">
      <w:pPr>
        <w:bidi w:val="0"/>
        <w:rPr>
          <w:rFonts w:hint="eastAsia" w:cs="Times New Roman"/>
          <w:highlight w:val="none"/>
          <w:lang w:val="en-US" w:eastAsia="zh-CN"/>
        </w:rPr>
      </w:pPr>
      <w:r>
        <w:rPr>
          <w:rFonts w:hint="eastAsia"/>
          <w:highlight w:val="none"/>
          <w:lang w:val="en-US" w:eastAsia="zh-CN"/>
        </w:rPr>
        <w:t>综上，生产车间排气筒</w:t>
      </w:r>
      <w:r>
        <w:rPr>
          <w:rFonts w:hint="eastAsia" w:hAnsiTheme="minorEastAsia" w:eastAsiaTheme="minorEastAsia"/>
          <w:kern w:val="0"/>
          <w:sz w:val="24"/>
          <w:highlight w:val="none"/>
          <w:lang w:eastAsia="zh-CN"/>
        </w:rPr>
        <w:t>（</w:t>
      </w:r>
      <w:r>
        <w:rPr>
          <w:rFonts w:hint="eastAsia" w:hAnsiTheme="minorEastAsia" w:eastAsiaTheme="minorEastAsia"/>
          <w:kern w:val="0"/>
          <w:sz w:val="24"/>
          <w:highlight w:val="none"/>
          <w:lang w:val="en-US" w:eastAsia="zh-CN"/>
        </w:rPr>
        <w:t>DA001</w:t>
      </w:r>
      <w:r>
        <w:rPr>
          <w:rFonts w:hint="eastAsia" w:hAnsiTheme="minorEastAsia" w:eastAsiaTheme="minorEastAsia"/>
          <w:kern w:val="0"/>
          <w:sz w:val="24"/>
          <w:highlight w:val="none"/>
          <w:lang w:eastAsia="zh-CN"/>
        </w:rPr>
        <w:t>）</w:t>
      </w:r>
      <w:r>
        <w:rPr>
          <w:rFonts w:hint="eastAsia"/>
          <w:highlight w:val="none"/>
          <w:lang w:val="en-US" w:eastAsia="zh-CN"/>
        </w:rPr>
        <w:t>，各污染物排放量为：非甲烷总烃0.062t/a，0.026kg/h，5.196mg/m</w:t>
      </w:r>
      <w:r>
        <w:rPr>
          <w:rFonts w:hint="eastAsia"/>
          <w:highlight w:val="none"/>
          <w:vertAlign w:val="superscript"/>
          <w:lang w:val="en-US" w:eastAsia="zh-CN"/>
        </w:rPr>
        <w:t>3</w:t>
      </w:r>
      <w:r>
        <w:rPr>
          <w:rFonts w:hint="eastAsia"/>
          <w:highlight w:val="none"/>
          <w:lang w:val="en-US" w:eastAsia="zh-CN"/>
        </w:rPr>
        <w:t>；颗粒物</w:t>
      </w:r>
      <w:r>
        <w:rPr>
          <w:rFonts w:hint="eastAsia" w:cs="Times New Roman"/>
          <w:highlight w:val="none"/>
          <w:lang w:val="en-US" w:eastAsia="zh-CN"/>
        </w:rPr>
        <w:t>3.92</w:t>
      </w:r>
      <w:r>
        <w:rPr>
          <w:rFonts w:hint="default" w:ascii="Arial" w:hAnsi="Arial" w:cs="Arial"/>
          <w:highlight w:val="none"/>
          <w:lang w:val="en-US" w:eastAsia="zh-CN"/>
        </w:rPr>
        <w:t>×</w:t>
      </w:r>
      <w:r>
        <w:rPr>
          <w:rFonts w:hint="eastAsia" w:cs="Times New Roman"/>
          <w:highlight w:val="none"/>
          <w:lang w:val="en-US" w:eastAsia="zh-CN"/>
        </w:rPr>
        <w:t>10</w:t>
      </w:r>
      <w:r>
        <w:rPr>
          <w:rFonts w:hint="eastAsia" w:cs="Times New Roman"/>
          <w:highlight w:val="none"/>
          <w:vertAlign w:val="superscript"/>
          <w:lang w:val="en-US" w:eastAsia="zh-CN"/>
        </w:rPr>
        <w:t>-5</w:t>
      </w:r>
      <w:r>
        <w:rPr>
          <w:rFonts w:hint="eastAsia" w:ascii="Times New Roman" w:hAnsi="Times New Roman" w:eastAsia="宋体" w:cs="Times New Roman"/>
          <w:highlight w:val="none"/>
          <w:lang w:val="en-US" w:eastAsia="zh-CN"/>
        </w:rPr>
        <w:t>kg/h，</w:t>
      </w:r>
      <w:r>
        <w:rPr>
          <w:rFonts w:hint="eastAsia" w:cs="Times New Roman"/>
          <w:highlight w:val="none"/>
          <w:lang w:val="en-US" w:eastAsia="zh-CN"/>
        </w:rPr>
        <w:t>9.42</w:t>
      </w:r>
      <w:r>
        <w:rPr>
          <w:rFonts w:hint="default" w:ascii="Arial" w:hAnsi="Arial" w:cs="Arial"/>
          <w:highlight w:val="none"/>
          <w:lang w:val="en-US" w:eastAsia="zh-CN"/>
        </w:rPr>
        <w:t>×</w:t>
      </w:r>
      <w:r>
        <w:rPr>
          <w:rFonts w:hint="eastAsia" w:cs="Times New Roman"/>
          <w:highlight w:val="none"/>
          <w:lang w:val="en-US" w:eastAsia="zh-CN"/>
        </w:rPr>
        <w:t>10</w:t>
      </w:r>
      <w:r>
        <w:rPr>
          <w:rFonts w:hint="eastAsia" w:cs="Times New Roman"/>
          <w:highlight w:val="none"/>
          <w:vertAlign w:val="superscript"/>
          <w:lang w:val="en-US" w:eastAsia="zh-CN"/>
        </w:rPr>
        <w:t>-5</w:t>
      </w:r>
      <w:r>
        <w:rPr>
          <w:rFonts w:hint="eastAsia" w:ascii="Times New Roman" w:hAnsi="Times New Roman" w:eastAsia="宋体" w:cs="Times New Roman"/>
          <w:highlight w:val="none"/>
          <w:lang w:val="en-US" w:eastAsia="zh-CN"/>
        </w:rPr>
        <w:t>t/a</w:t>
      </w:r>
      <w:r>
        <w:rPr>
          <w:rFonts w:hint="eastAsia" w:cs="Times New Roman"/>
          <w:highlight w:val="none"/>
          <w:lang w:val="en-US" w:eastAsia="zh-CN"/>
        </w:rPr>
        <w:t>，0.007mg/m</w:t>
      </w:r>
      <w:r>
        <w:rPr>
          <w:rFonts w:hint="eastAsia" w:cs="Times New Roman"/>
          <w:highlight w:val="none"/>
          <w:vertAlign w:val="superscript"/>
          <w:lang w:val="en-US" w:eastAsia="zh-CN"/>
        </w:rPr>
        <w:t>3</w:t>
      </w:r>
      <w:r>
        <w:rPr>
          <w:rFonts w:hint="eastAsia" w:cs="Times New Roman"/>
          <w:highlight w:val="none"/>
          <w:vertAlign w:val="baseline"/>
          <w:lang w:val="en-US" w:eastAsia="zh-CN"/>
        </w:rPr>
        <w:t>。</w:t>
      </w:r>
      <w:r>
        <w:rPr>
          <w:rFonts w:hint="eastAsia"/>
          <w:highlight w:val="none"/>
          <w:lang w:val="en-US" w:eastAsia="zh-CN"/>
        </w:rPr>
        <w:t>无组织总排放量为：非甲烷总烃0.687t/a，0.288kg/h；颗粒物0.001t/a，0.0004</w:t>
      </w:r>
      <w:r>
        <w:rPr>
          <w:rFonts w:hint="eastAsia"/>
          <w:highlight w:val="none"/>
          <w:vertAlign w:val="baseline"/>
          <w:lang w:val="en-US" w:eastAsia="zh-CN"/>
        </w:rPr>
        <w:t>kg/h</w:t>
      </w:r>
      <w:r>
        <w:rPr>
          <w:rFonts w:hint="eastAsia" w:cs="Times New Roman"/>
          <w:highlight w:val="none"/>
          <w:lang w:val="en-US" w:eastAsia="zh-CN"/>
        </w:rPr>
        <w:t>。</w:t>
      </w:r>
    </w:p>
    <w:p w14:paraId="6623CC41">
      <w:pPr>
        <w:spacing w:line="360" w:lineRule="auto"/>
        <w:ind w:firstLine="480" w:firstLineChars="200"/>
        <w:rPr>
          <w:rFonts w:hint="eastAsia" w:eastAsiaTheme="minorEastAsia"/>
          <w:sz w:val="24"/>
          <w:highlight w:val="none"/>
          <w:lang w:eastAsia="zh-CN"/>
        </w:rPr>
      </w:pPr>
      <w:bookmarkStart w:id="257" w:name="_Toc4092"/>
      <w:r>
        <w:rPr>
          <w:rFonts w:hint="eastAsia" w:hAnsiTheme="minorEastAsia" w:eastAsiaTheme="minorEastAsia"/>
          <w:sz w:val="24"/>
          <w:highlight w:val="none"/>
          <w:lang w:val="en-US" w:eastAsia="zh-CN"/>
        </w:rPr>
        <w:t>（4）</w:t>
      </w:r>
      <w:r>
        <w:rPr>
          <w:rFonts w:hint="eastAsia" w:hAnsiTheme="minorEastAsia" w:eastAsiaTheme="minorEastAsia"/>
          <w:sz w:val="24"/>
          <w:highlight w:val="none"/>
          <w:lang w:eastAsia="zh-CN"/>
        </w:rPr>
        <w:t>危险废物贮存库废气</w:t>
      </w:r>
    </w:p>
    <w:p w14:paraId="5038ACE4">
      <w:pPr>
        <w:spacing w:line="360" w:lineRule="auto"/>
        <w:ind w:firstLine="480" w:firstLineChars="200"/>
        <w:rPr>
          <w:rFonts w:hint="eastAsia"/>
          <w:highlight w:val="none"/>
          <w:lang w:val="en-US" w:eastAsia="zh-CN"/>
        </w:rPr>
      </w:pPr>
      <w:r>
        <w:rPr>
          <w:rFonts w:hint="eastAsia" w:ascii="Times New Roman" w:hAnsi="Times New Roman" w:cs="Times New Roman"/>
          <w:highlight w:val="none"/>
          <w:lang w:val="en-US" w:eastAsia="zh-CN"/>
        </w:rPr>
        <w:t>本项目类</w:t>
      </w:r>
      <w:r>
        <w:rPr>
          <w:rFonts w:hint="eastAsia" w:ascii="Times New Roman" w:hAnsi="Times New Roman" w:eastAsia="宋体" w:cs="Times New Roman"/>
          <w:highlight w:val="none"/>
          <w:lang w:val="en-US" w:eastAsia="zh-CN"/>
        </w:rPr>
        <w:t>比《山东北禾环保科技有限公司废旧</w:t>
      </w:r>
      <w:r>
        <w:rPr>
          <w:rFonts w:hint="eastAsia" w:ascii="Times New Roman" w:hAnsi="Times New Roman" w:eastAsia="宋体" w:cs="Times New Roman"/>
          <w:spacing w:val="-2"/>
          <w:sz w:val="24"/>
          <w:szCs w:val="24"/>
          <w:highlight w:val="none"/>
          <w:lang w:val="en-US" w:eastAsia="zh-CN" w:bidi="zh-CN"/>
        </w:rPr>
        <w:t>铅酸电池、废机油收集储存分类转运项目</w:t>
      </w:r>
      <w:r>
        <w:rPr>
          <w:rFonts w:hint="eastAsia"/>
          <w:highlight w:val="none"/>
          <w:lang w:val="en-US" w:eastAsia="zh-CN"/>
        </w:rPr>
        <w:t>竣工环境保护验收监测报告》中废机油贮存库排气筒监测数据，验收监测期间，废机油暂存量约为25t，废气收集后经活性炭吸附装置处理后排放，非甲烷总烃排放速率最大为0.0024kg/h，该项目</w:t>
      </w:r>
      <w:r>
        <w:rPr>
          <w:rFonts w:hint="eastAsia" w:hAnsi="宋体"/>
          <w:color w:val="000000"/>
          <w:highlight w:val="none"/>
          <w:lang w:val="en-US" w:eastAsia="zh-CN"/>
        </w:rPr>
        <w:t>活性炭吸附设备</w:t>
      </w:r>
      <w:r>
        <w:rPr>
          <w:rFonts w:hint="eastAsia" w:cs="Times New Roman"/>
          <w:color w:val="000000"/>
          <w:highlight w:val="none"/>
          <w:lang w:val="en-US" w:eastAsia="zh-CN"/>
        </w:rPr>
        <w:t>对颗粒物</w:t>
      </w:r>
      <w:r>
        <w:rPr>
          <w:rFonts w:ascii="Times New Roman" w:hAnsi="Times New Roman" w:cs="Times New Roman"/>
          <w:color w:val="000000"/>
          <w:highlight w:val="none"/>
        </w:rPr>
        <w:t>处理</w:t>
      </w:r>
      <w:r>
        <w:rPr>
          <w:rFonts w:hint="eastAsia" w:cs="Times New Roman"/>
          <w:color w:val="000000"/>
          <w:highlight w:val="none"/>
          <w:lang w:val="en-US" w:eastAsia="zh-CN"/>
        </w:rPr>
        <w:t>效率约为90%，收集效率约为90%，则产生速率为0.027kg/h。</w:t>
      </w:r>
      <w:r>
        <w:rPr>
          <w:rFonts w:hint="eastAsia"/>
          <w:highlight w:val="none"/>
          <w:lang w:val="en-US" w:eastAsia="zh-CN"/>
        </w:rPr>
        <w:t>该项目与本项目均储存废矿物油类，与本项目类似，且处理措施一致，类比可行。</w:t>
      </w:r>
    </w:p>
    <w:p w14:paraId="0ECA3CD7">
      <w:pPr>
        <w:spacing w:line="360" w:lineRule="auto"/>
        <w:ind w:firstLine="480" w:firstLineChars="200"/>
        <w:rPr>
          <w:rFonts w:eastAsiaTheme="minorEastAsia"/>
          <w:kern w:val="0"/>
          <w:sz w:val="24"/>
          <w:highlight w:val="none"/>
        </w:rPr>
      </w:pPr>
      <w:r>
        <w:rPr>
          <w:rFonts w:hint="eastAsia"/>
          <w:highlight w:val="none"/>
          <w:lang w:val="en-US" w:eastAsia="zh-CN"/>
        </w:rPr>
        <w:t>本项目最大储存量50.32t，废液每月转运一次，最大储存时间720h，则类比后本项目最大产生量为0.054kg/h，0.039t/a，有组织产生量为0.048kg/h，0.035t/a，排放量</w:t>
      </w:r>
      <w:r>
        <w:rPr>
          <w:rFonts w:hint="eastAsia" w:ascii="Times New Roman" w:hAnsi="Times New Roman" w:eastAsia="宋体" w:cs="Times New Roman"/>
          <w:highlight w:val="none"/>
          <w:lang w:val="en-US" w:eastAsia="zh-CN"/>
        </w:rPr>
        <w:t>为0.</w:t>
      </w:r>
      <w:r>
        <w:rPr>
          <w:rFonts w:hint="eastAsia" w:cs="Times New Roman"/>
          <w:highlight w:val="none"/>
          <w:lang w:val="en-US" w:eastAsia="zh-CN"/>
        </w:rPr>
        <w:t>005</w:t>
      </w:r>
      <w:r>
        <w:rPr>
          <w:rFonts w:hint="eastAsia" w:ascii="Times New Roman" w:hAnsi="Times New Roman" w:eastAsia="宋体" w:cs="Times New Roman"/>
          <w:highlight w:val="none"/>
          <w:lang w:val="en-US" w:eastAsia="zh-CN"/>
        </w:rPr>
        <w:t>kg/h，0.</w:t>
      </w:r>
      <w:r>
        <w:rPr>
          <w:rFonts w:hint="eastAsia" w:cs="Times New Roman"/>
          <w:highlight w:val="none"/>
          <w:lang w:val="en-US" w:eastAsia="zh-CN"/>
        </w:rPr>
        <w:t>003</w:t>
      </w:r>
      <w:r>
        <w:rPr>
          <w:rFonts w:hint="eastAsia" w:ascii="Times New Roman" w:hAnsi="Times New Roman" w:eastAsia="宋体" w:cs="Times New Roman"/>
          <w:highlight w:val="none"/>
          <w:lang w:val="en-US" w:eastAsia="zh-CN"/>
        </w:rPr>
        <w:t>t/a</w:t>
      </w:r>
      <w:r>
        <w:rPr>
          <w:rFonts w:hint="eastAsia" w:cs="Times New Roman"/>
          <w:highlight w:val="none"/>
          <w:lang w:val="en-US" w:eastAsia="zh-CN"/>
        </w:rPr>
        <w:t>，0.966mg/m</w:t>
      </w:r>
      <w:r>
        <w:rPr>
          <w:rFonts w:hint="eastAsia" w:cs="Times New Roman"/>
          <w:highlight w:val="none"/>
          <w:vertAlign w:val="superscript"/>
          <w:lang w:val="en-US" w:eastAsia="zh-CN"/>
        </w:rPr>
        <w:t>3</w:t>
      </w:r>
      <w:r>
        <w:rPr>
          <w:rFonts w:hint="eastAsia" w:ascii="Times New Roman" w:hAnsi="Times New Roman" w:eastAsia="宋体" w:cs="Times New Roman"/>
          <w:highlight w:val="none"/>
          <w:lang w:val="en-US" w:eastAsia="zh-CN"/>
        </w:rPr>
        <w:t>；</w:t>
      </w:r>
      <w:r>
        <w:rPr>
          <w:rFonts w:hint="eastAsia" w:cs="Times New Roman"/>
          <w:highlight w:val="none"/>
          <w:lang w:val="en-US" w:eastAsia="zh-CN"/>
        </w:rPr>
        <w:t>未收集部分在封闭车间内无组织排放，</w:t>
      </w:r>
      <w:r>
        <w:rPr>
          <w:rFonts w:hint="eastAsia" w:ascii="Times New Roman" w:hAnsi="Times New Roman" w:eastAsia="宋体" w:cs="Times New Roman"/>
          <w:highlight w:val="none"/>
          <w:lang w:val="en-US" w:eastAsia="zh-CN"/>
        </w:rPr>
        <w:t>无组织</w:t>
      </w:r>
      <w:r>
        <w:rPr>
          <w:rFonts w:hint="eastAsia"/>
          <w:highlight w:val="none"/>
          <w:lang w:val="en-US" w:eastAsia="zh-CN"/>
        </w:rPr>
        <w:t>排放量</w:t>
      </w:r>
      <w:r>
        <w:rPr>
          <w:rFonts w:hint="eastAsia"/>
          <w:highlight w:val="none"/>
        </w:rPr>
        <w:t>量为</w:t>
      </w:r>
      <w:r>
        <w:rPr>
          <w:rFonts w:hint="eastAsia"/>
          <w:highlight w:val="none"/>
          <w:lang w:val="en-US" w:eastAsia="zh-CN"/>
        </w:rPr>
        <w:t>0.004t/a，0.005</w:t>
      </w:r>
      <w:r>
        <w:rPr>
          <w:rFonts w:hint="eastAsia"/>
          <w:highlight w:val="none"/>
          <w:vertAlign w:val="baseline"/>
          <w:lang w:val="en-US" w:eastAsia="zh-CN"/>
        </w:rPr>
        <w:t>kg/h</w:t>
      </w:r>
      <w:r>
        <w:rPr>
          <w:rFonts w:hAnsiTheme="minorEastAsia" w:eastAsiaTheme="minorEastAsia"/>
          <w:bCs/>
          <w:kern w:val="0"/>
          <w:sz w:val="24"/>
          <w:highlight w:val="none"/>
        </w:rPr>
        <w:t>。</w:t>
      </w:r>
    </w:p>
    <w:p w14:paraId="701F7E5E">
      <w:pPr>
        <w:bidi w:val="0"/>
        <w:rPr>
          <w:rFonts w:hint="eastAsia"/>
          <w:highlight w:val="none"/>
          <w:lang w:val="en-US" w:eastAsia="zh-CN"/>
        </w:rPr>
      </w:pPr>
      <w:r>
        <w:rPr>
          <w:rFonts w:hint="eastAsia"/>
          <w:highlight w:val="none"/>
          <w:lang w:val="en-US" w:eastAsia="zh-CN"/>
        </w:rPr>
        <w:t>（5）恶臭气体</w:t>
      </w:r>
    </w:p>
    <w:p w14:paraId="044B11AE">
      <w:pPr>
        <w:bidi w:val="0"/>
        <w:rPr>
          <w:rFonts w:hint="default" w:cs="Times New Roman"/>
          <w:highlight w:val="none"/>
          <w:lang w:val="en-US" w:eastAsia="zh-CN"/>
        </w:rPr>
      </w:pPr>
      <w:r>
        <w:rPr>
          <w:rFonts w:hint="eastAsia"/>
          <w:highlight w:val="none"/>
          <w:lang w:val="en-US" w:eastAsia="zh-CN"/>
        </w:rPr>
        <w:t>本项目在贮存、生产过程中会产生少量恶臭气体，根据工程实例及类比同类项目，项目仅产生少量恶臭气体，废气经活性炭吸附装置处理后排放，少量未被收集</w:t>
      </w:r>
      <w:r>
        <w:rPr>
          <w:rFonts w:hint="eastAsia" w:ascii="Times New Roman" w:hAnsi="Times New Roman" w:cs="Times New Roman"/>
          <w:highlight w:val="none"/>
          <w:lang w:val="en-US" w:eastAsia="zh-CN"/>
        </w:rPr>
        <w:t>废气无组织排放，对周围环境影响很小。</w:t>
      </w:r>
    </w:p>
    <w:p w14:paraId="32472CEB">
      <w:pPr>
        <w:bidi w:val="0"/>
        <w:rPr>
          <w:highlight w:val="none"/>
        </w:rPr>
      </w:pPr>
      <w:r>
        <w:rPr>
          <w:rFonts w:hint="eastAsia"/>
          <w:highlight w:val="none"/>
          <w:lang w:val="en-US" w:eastAsia="zh-CN"/>
        </w:rPr>
        <w:t>（6）</w:t>
      </w:r>
      <w:r>
        <w:rPr>
          <w:highlight w:val="none"/>
        </w:rPr>
        <w:t>非正常工况</w:t>
      </w:r>
      <w:bookmarkEnd w:id="257"/>
    </w:p>
    <w:p w14:paraId="70EF9226">
      <w:pPr>
        <w:bidi w:val="0"/>
        <w:rPr>
          <w:rFonts w:eastAsiaTheme="minorEastAsia"/>
          <w:bCs/>
          <w:kern w:val="0"/>
          <w:highlight w:val="none"/>
        </w:rPr>
      </w:pPr>
      <w:r>
        <w:rPr>
          <w:highlight w:val="none"/>
        </w:rPr>
        <w:t>非正常工况主要指生产设备、污染防治装置开关停操作不当，设备开停机，设备故障，设备检维修</w:t>
      </w:r>
      <w:r>
        <w:rPr>
          <w:rFonts w:hAnsiTheme="minorEastAsia" w:eastAsiaTheme="minorEastAsia"/>
          <w:bCs/>
          <w:kern w:val="0"/>
          <w:highlight w:val="none"/>
        </w:rPr>
        <w:t>，污染防治装置故障等，致使污染防治装置处理效率降低。本报告废气发生非正常排放工况，油雾净化装置</w:t>
      </w:r>
      <w:r>
        <w:rPr>
          <w:rFonts w:hint="eastAsia" w:hAnsiTheme="minorEastAsia" w:eastAsiaTheme="minorEastAsia"/>
          <w:bCs/>
          <w:kern w:val="0"/>
          <w:highlight w:val="none"/>
          <w:lang w:val="en-US" w:eastAsia="zh-CN"/>
        </w:rPr>
        <w:t>及活性炭吸附装置</w:t>
      </w:r>
      <w:r>
        <w:rPr>
          <w:rFonts w:hAnsiTheme="minorEastAsia" w:eastAsiaTheme="minorEastAsia"/>
          <w:bCs/>
          <w:kern w:val="0"/>
          <w:highlight w:val="none"/>
        </w:rPr>
        <w:t>处理效率为</w:t>
      </w:r>
      <w:r>
        <w:rPr>
          <w:rFonts w:hint="eastAsia" w:eastAsiaTheme="minorEastAsia"/>
          <w:bCs/>
          <w:kern w:val="0"/>
          <w:highlight w:val="none"/>
          <w:lang w:val="en-US" w:eastAsia="zh-CN"/>
        </w:rPr>
        <w:t>0</w:t>
      </w:r>
      <w:r>
        <w:rPr>
          <w:rFonts w:eastAsiaTheme="minorEastAsia"/>
          <w:bCs/>
          <w:kern w:val="0"/>
          <w:highlight w:val="none"/>
        </w:rPr>
        <w:t>%</w:t>
      </w:r>
      <w:r>
        <w:rPr>
          <w:rFonts w:hint="eastAsia" w:eastAsiaTheme="minorEastAsia"/>
          <w:bCs/>
          <w:kern w:val="0"/>
          <w:highlight w:val="none"/>
          <w:lang w:eastAsia="zh-CN"/>
        </w:rPr>
        <w:t>，</w:t>
      </w:r>
      <w:r>
        <w:rPr>
          <w:rFonts w:hAnsiTheme="minorEastAsia" w:eastAsiaTheme="minorEastAsia"/>
          <w:bCs/>
          <w:kern w:val="0"/>
          <w:highlight w:val="none"/>
        </w:rPr>
        <w:t>非正常工况废气污染排放源强</w:t>
      </w:r>
      <w:r>
        <w:rPr>
          <w:rFonts w:hint="eastAsia" w:hAnsiTheme="minorEastAsia" w:eastAsiaTheme="minorEastAsia"/>
          <w:bCs/>
          <w:kern w:val="0"/>
          <w:highlight w:val="none"/>
          <w:lang w:val="en-US" w:eastAsia="zh-CN"/>
        </w:rPr>
        <w:t>见下表</w:t>
      </w:r>
      <w:r>
        <w:rPr>
          <w:rFonts w:hAnsiTheme="minorEastAsia" w:eastAsiaTheme="minorEastAsia"/>
          <w:bCs/>
          <w:kern w:val="0"/>
          <w:highlight w:val="none"/>
        </w:rPr>
        <w:t>。</w:t>
      </w:r>
    </w:p>
    <w:p w14:paraId="1A70564E">
      <w:pPr>
        <w:pStyle w:val="7"/>
        <w:bidi w:val="0"/>
        <w:rPr>
          <w:highlight w:val="none"/>
        </w:rPr>
      </w:pPr>
      <w:r>
        <w:rPr>
          <w:highlight w:val="none"/>
        </w:rPr>
        <w:t>表3-</w:t>
      </w:r>
      <w:r>
        <w:rPr>
          <w:rFonts w:hint="eastAsia"/>
          <w:highlight w:val="none"/>
          <w:lang w:val="en-US" w:eastAsia="zh-CN"/>
        </w:rPr>
        <w:t>3</w:t>
      </w:r>
      <w:r>
        <w:rPr>
          <w:highlight w:val="none"/>
        </w:rPr>
        <w:t>-</w:t>
      </w:r>
      <w:r>
        <w:rPr>
          <w:rFonts w:hint="eastAsia"/>
          <w:highlight w:val="none"/>
          <w:lang w:val="en-US" w:eastAsia="zh-CN"/>
        </w:rPr>
        <w:t>4</w:t>
      </w:r>
      <w:r>
        <w:rPr>
          <w:highlight w:val="none"/>
        </w:rPr>
        <w:t>非正常排放参数表</w:t>
      </w:r>
    </w:p>
    <w:tbl>
      <w:tblPr>
        <w:tblStyle w:val="44"/>
        <w:tblW w:w="838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523"/>
        <w:gridCol w:w="1559"/>
        <w:gridCol w:w="1418"/>
        <w:gridCol w:w="1134"/>
        <w:gridCol w:w="1045"/>
      </w:tblGrid>
      <w:tr w14:paraId="061F7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704" w:type="dxa"/>
            <w:vAlign w:val="center"/>
          </w:tcPr>
          <w:p w14:paraId="07EAFBFD">
            <w:pPr>
              <w:pStyle w:val="77"/>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cs="Times New Roman" w:hAnsiTheme="minorEastAsia"/>
                <w:sz w:val="21"/>
                <w:szCs w:val="21"/>
                <w:highlight w:val="none"/>
              </w:rPr>
              <w:t>非正常排放源</w:t>
            </w:r>
          </w:p>
        </w:tc>
        <w:tc>
          <w:tcPr>
            <w:tcW w:w="1523" w:type="dxa"/>
            <w:vAlign w:val="center"/>
          </w:tcPr>
          <w:p w14:paraId="10DAABCD">
            <w:pPr>
              <w:pStyle w:val="77"/>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cs="Times New Roman" w:hAnsiTheme="minorEastAsia"/>
                <w:sz w:val="21"/>
                <w:szCs w:val="21"/>
                <w:highlight w:val="none"/>
              </w:rPr>
              <w:t>非正常排放原因</w:t>
            </w:r>
          </w:p>
        </w:tc>
        <w:tc>
          <w:tcPr>
            <w:tcW w:w="1559" w:type="dxa"/>
            <w:vAlign w:val="center"/>
          </w:tcPr>
          <w:p w14:paraId="0A787C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污染物</w:t>
            </w:r>
          </w:p>
        </w:tc>
        <w:tc>
          <w:tcPr>
            <w:tcW w:w="1418" w:type="dxa"/>
            <w:vAlign w:val="center"/>
          </w:tcPr>
          <w:p w14:paraId="0CF1BF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非正常排放速率</w:t>
            </w:r>
            <w:r>
              <w:rPr>
                <w:rFonts w:hint="default" w:eastAsiaTheme="minorEastAsia"/>
                <w:kern w:val="0"/>
                <w:sz w:val="21"/>
                <w:szCs w:val="21"/>
                <w:highlight w:val="none"/>
              </w:rPr>
              <w:t>/kg/h</w:t>
            </w:r>
          </w:p>
        </w:tc>
        <w:tc>
          <w:tcPr>
            <w:tcW w:w="1134" w:type="dxa"/>
            <w:vAlign w:val="center"/>
          </w:tcPr>
          <w:p w14:paraId="18F9F81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单次持续时间</w:t>
            </w:r>
            <w:r>
              <w:rPr>
                <w:rFonts w:hint="default" w:eastAsiaTheme="minorEastAsia"/>
                <w:kern w:val="0"/>
                <w:sz w:val="21"/>
                <w:szCs w:val="21"/>
                <w:highlight w:val="none"/>
              </w:rPr>
              <w:t>/h</w:t>
            </w:r>
          </w:p>
        </w:tc>
        <w:tc>
          <w:tcPr>
            <w:tcW w:w="1045" w:type="dxa"/>
            <w:vAlign w:val="center"/>
          </w:tcPr>
          <w:p w14:paraId="794EE2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年发生频次</w:t>
            </w:r>
            <w:r>
              <w:rPr>
                <w:rFonts w:hint="default" w:eastAsiaTheme="minorEastAsia"/>
                <w:kern w:val="0"/>
                <w:sz w:val="21"/>
                <w:szCs w:val="21"/>
                <w:highlight w:val="none"/>
              </w:rPr>
              <w:t>/</w:t>
            </w:r>
            <w:r>
              <w:rPr>
                <w:rFonts w:hint="default" w:hAnsiTheme="minorEastAsia" w:eastAsiaTheme="minorEastAsia"/>
                <w:kern w:val="0"/>
                <w:sz w:val="21"/>
                <w:szCs w:val="21"/>
                <w:highlight w:val="none"/>
              </w:rPr>
              <w:t>次</w:t>
            </w:r>
          </w:p>
        </w:tc>
      </w:tr>
      <w:tr w14:paraId="5B125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704" w:type="dxa"/>
            <w:vAlign w:val="center"/>
          </w:tcPr>
          <w:p w14:paraId="32A2D76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en-US" w:eastAsia="zh-CN"/>
              </w:rPr>
            </w:pPr>
            <w:r>
              <w:rPr>
                <w:rFonts w:hint="eastAsia" w:hAnsiTheme="minorEastAsia" w:eastAsiaTheme="minorEastAsia"/>
                <w:sz w:val="21"/>
                <w:szCs w:val="21"/>
                <w:highlight w:val="none"/>
                <w:lang w:val="en-US" w:eastAsia="zh-CN"/>
              </w:rPr>
              <w:t>DA002</w:t>
            </w:r>
          </w:p>
        </w:tc>
        <w:tc>
          <w:tcPr>
            <w:tcW w:w="1523" w:type="dxa"/>
            <w:vMerge w:val="restart"/>
            <w:vAlign w:val="center"/>
          </w:tcPr>
          <w:p w14:paraId="5FBDCB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kern w:val="0"/>
                <w:sz w:val="21"/>
                <w:szCs w:val="21"/>
                <w:highlight w:val="none"/>
              </w:rPr>
            </w:pPr>
            <w:r>
              <w:rPr>
                <w:rFonts w:hint="default" w:hAnsiTheme="minorEastAsia" w:eastAsiaTheme="minorEastAsia"/>
                <w:sz w:val="21"/>
                <w:szCs w:val="21"/>
                <w:highlight w:val="none"/>
              </w:rPr>
              <w:t>环保</w:t>
            </w:r>
            <w:r>
              <w:rPr>
                <w:rFonts w:hint="eastAsia" w:hAnsiTheme="minorEastAsia" w:eastAsiaTheme="minorEastAsia"/>
                <w:sz w:val="21"/>
                <w:szCs w:val="21"/>
                <w:highlight w:val="none"/>
                <w:lang w:eastAsia="zh-CN"/>
              </w:rPr>
              <w:t>设备</w:t>
            </w:r>
            <w:r>
              <w:rPr>
                <w:rFonts w:hint="default" w:hAnsiTheme="minorEastAsia" w:eastAsiaTheme="minorEastAsia"/>
                <w:sz w:val="21"/>
                <w:szCs w:val="21"/>
                <w:highlight w:val="none"/>
              </w:rPr>
              <w:t>不能正常运转时</w:t>
            </w:r>
          </w:p>
        </w:tc>
        <w:tc>
          <w:tcPr>
            <w:tcW w:w="1559" w:type="dxa"/>
            <w:vAlign w:val="center"/>
          </w:tcPr>
          <w:p w14:paraId="2E965D6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非甲烷总烃</w:t>
            </w:r>
          </w:p>
        </w:tc>
        <w:tc>
          <w:tcPr>
            <w:tcW w:w="1418" w:type="dxa"/>
            <w:vAlign w:val="center"/>
          </w:tcPr>
          <w:p w14:paraId="3030E3B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0.048</w:t>
            </w:r>
          </w:p>
        </w:tc>
        <w:tc>
          <w:tcPr>
            <w:tcW w:w="1134" w:type="dxa"/>
            <w:vMerge w:val="restart"/>
            <w:vAlign w:val="center"/>
          </w:tcPr>
          <w:p w14:paraId="4F0558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hAnsiTheme="minorEastAsia" w:eastAsiaTheme="minorEastAsia"/>
                <w:sz w:val="21"/>
                <w:szCs w:val="21"/>
                <w:highlight w:val="none"/>
              </w:rPr>
              <w:t>＜</w:t>
            </w:r>
            <w:r>
              <w:rPr>
                <w:rFonts w:hint="default" w:eastAsiaTheme="minorEastAsia"/>
                <w:sz w:val="21"/>
                <w:szCs w:val="21"/>
                <w:highlight w:val="none"/>
              </w:rPr>
              <w:t>1</w:t>
            </w:r>
          </w:p>
        </w:tc>
        <w:tc>
          <w:tcPr>
            <w:tcW w:w="1045" w:type="dxa"/>
            <w:vMerge w:val="restart"/>
            <w:vAlign w:val="center"/>
          </w:tcPr>
          <w:p w14:paraId="147D68F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r>
              <w:rPr>
                <w:rFonts w:hint="default" w:eastAsiaTheme="minorEastAsia"/>
                <w:sz w:val="21"/>
                <w:szCs w:val="21"/>
                <w:highlight w:val="none"/>
              </w:rPr>
              <w:t>1</w:t>
            </w:r>
          </w:p>
        </w:tc>
      </w:tr>
      <w:tr w14:paraId="44EC6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704" w:type="dxa"/>
            <w:vMerge w:val="restart"/>
            <w:vAlign w:val="center"/>
          </w:tcPr>
          <w:p w14:paraId="68F829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none"/>
                <w:lang w:val="en-US" w:eastAsia="zh-CN"/>
              </w:rPr>
            </w:pPr>
            <w:r>
              <w:rPr>
                <w:rFonts w:hint="eastAsia" w:hAnsiTheme="minorEastAsia" w:eastAsiaTheme="minorEastAsia"/>
                <w:sz w:val="21"/>
                <w:szCs w:val="21"/>
                <w:highlight w:val="none"/>
                <w:lang w:val="en-US" w:eastAsia="zh-CN"/>
              </w:rPr>
              <w:t>DA001</w:t>
            </w:r>
          </w:p>
        </w:tc>
        <w:tc>
          <w:tcPr>
            <w:tcW w:w="1523" w:type="dxa"/>
            <w:vMerge w:val="continue"/>
            <w:vAlign w:val="center"/>
          </w:tcPr>
          <w:p w14:paraId="552AE9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none"/>
              </w:rPr>
            </w:pPr>
          </w:p>
        </w:tc>
        <w:tc>
          <w:tcPr>
            <w:tcW w:w="1559" w:type="dxa"/>
            <w:vAlign w:val="center"/>
          </w:tcPr>
          <w:p w14:paraId="1F71041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eastAsia" w:eastAsiaTheme="minorEastAsia"/>
                <w:sz w:val="21"/>
                <w:szCs w:val="21"/>
                <w:highlight w:val="none"/>
                <w:lang w:val="en-US" w:eastAsia="zh-CN"/>
              </w:rPr>
            </w:pPr>
            <w:r>
              <w:rPr>
                <w:rFonts w:hint="eastAsia" w:eastAsiaTheme="minorEastAsia"/>
                <w:sz w:val="21"/>
                <w:szCs w:val="21"/>
                <w:highlight w:val="none"/>
                <w:lang w:val="en-US" w:eastAsia="zh-CN"/>
              </w:rPr>
              <w:t>颗粒物</w:t>
            </w:r>
          </w:p>
        </w:tc>
        <w:tc>
          <w:tcPr>
            <w:tcW w:w="1418" w:type="dxa"/>
            <w:vAlign w:val="center"/>
          </w:tcPr>
          <w:p w14:paraId="26EA6F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0.004</w:t>
            </w:r>
          </w:p>
        </w:tc>
        <w:tc>
          <w:tcPr>
            <w:tcW w:w="1134" w:type="dxa"/>
            <w:vMerge w:val="continue"/>
            <w:vAlign w:val="center"/>
          </w:tcPr>
          <w:p w14:paraId="1196948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none"/>
              </w:rPr>
            </w:pPr>
          </w:p>
        </w:tc>
        <w:tc>
          <w:tcPr>
            <w:tcW w:w="1045" w:type="dxa"/>
            <w:vMerge w:val="continue"/>
            <w:vAlign w:val="center"/>
          </w:tcPr>
          <w:p w14:paraId="7298FA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p>
        </w:tc>
      </w:tr>
      <w:tr w14:paraId="19B25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704" w:type="dxa"/>
            <w:vMerge w:val="continue"/>
            <w:vAlign w:val="center"/>
          </w:tcPr>
          <w:p w14:paraId="289243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none"/>
              </w:rPr>
            </w:pPr>
          </w:p>
        </w:tc>
        <w:tc>
          <w:tcPr>
            <w:tcW w:w="1523" w:type="dxa"/>
            <w:vMerge w:val="continue"/>
            <w:vAlign w:val="center"/>
          </w:tcPr>
          <w:p w14:paraId="455096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none"/>
              </w:rPr>
            </w:pPr>
          </w:p>
        </w:tc>
        <w:tc>
          <w:tcPr>
            <w:tcW w:w="1559" w:type="dxa"/>
            <w:vAlign w:val="center"/>
          </w:tcPr>
          <w:p w14:paraId="16118C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eastAsia" w:eastAsiaTheme="minorEastAsia"/>
                <w:sz w:val="21"/>
                <w:szCs w:val="21"/>
                <w:highlight w:val="none"/>
                <w:lang w:val="en-US" w:eastAsia="zh-CN"/>
              </w:rPr>
            </w:pPr>
            <w:r>
              <w:rPr>
                <w:rFonts w:hint="eastAsia" w:eastAsiaTheme="minorEastAsia"/>
                <w:sz w:val="21"/>
                <w:szCs w:val="21"/>
                <w:highlight w:val="none"/>
                <w:lang w:val="en-US" w:eastAsia="zh-CN"/>
              </w:rPr>
              <w:t>非甲烷总烃</w:t>
            </w:r>
          </w:p>
        </w:tc>
        <w:tc>
          <w:tcPr>
            <w:tcW w:w="1418" w:type="dxa"/>
            <w:vAlign w:val="center"/>
          </w:tcPr>
          <w:p w14:paraId="5CA4E7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2.598</w:t>
            </w:r>
          </w:p>
        </w:tc>
        <w:tc>
          <w:tcPr>
            <w:tcW w:w="1134" w:type="dxa"/>
            <w:vMerge w:val="continue"/>
            <w:vAlign w:val="center"/>
          </w:tcPr>
          <w:p w14:paraId="516C32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none"/>
              </w:rPr>
            </w:pPr>
          </w:p>
        </w:tc>
        <w:tc>
          <w:tcPr>
            <w:tcW w:w="1045" w:type="dxa"/>
            <w:vMerge w:val="continue"/>
            <w:vAlign w:val="center"/>
          </w:tcPr>
          <w:p w14:paraId="112590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p>
        </w:tc>
      </w:tr>
      <w:tr w14:paraId="0C6C0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704" w:type="dxa"/>
            <w:vMerge w:val="continue"/>
            <w:vAlign w:val="center"/>
          </w:tcPr>
          <w:p w14:paraId="60F611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none"/>
              </w:rPr>
            </w:pPr>
          </w:p>
        </w:tc>
        <w:tc>
          <w:tcPr>
            <w:tcW w:w="1523" w:type="dxa"/>
            <w:vMerge w:val="continue"/>
            <w:vAlign w:val="center"/>
          </w:tcPr>
          <w:p w14:paraId="217D12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none"/>
              </w:rPr>
            </w:pPr>
          </w:p>
        </w:tc>
        <w:tc>
          <w:tcPr>
            <w:tcW w:w="1559" w:type="dxa"/>
            <w:vAlign w:val="center"/>
          </w:tcPr>
          <w:p w14:paraId="1EF562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臭气浓度</w:t>
            </w:r>
          </w:p>
        </w:tc>
        <w:tc>
          <w:tcPr>
            <w:tcW w:w="1418" w:type="dxa"/>
            <w:vAlign w:val="center"/>
          </w:tcPr>
          <w:p w14:paraId="66741D4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＞2000</w:t>
            </w:r>
          </w:p>
        </w:tc>
        <w:tc>
          <w:tcPr>
            <w:tcW w:w="1134" w:type="dxa"/>
            <w:vMerge w:val="continue"/>
            <w:vAlign w:val="center"/>
          </w:tcPr>
          <w:p w14:paraId="2B7683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Theme="minorEastAsia" w:eastAsiaTheme="minorEastAsia"/>
                <w:sz w:val="21"/>
                <w:szCs w:val="21"/>
                <w:highlight w:val="none"/>
              </w:rPr>
            </w:pPr>
          </w:p>
        </w:tc>
        <w:tc>
          <w:tcPr>
            <w:tcW w:w="1045" w:type="dxa"/>
            <w:vMerge w:val="continue"/>
            <w:vAlign w:val="center"/>
          </w:tcPr>
          <w:p w14:paraId="34C250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rPr>
            </w:pPr>
          </w:p>
        </w:tc>
      </w:tr>
    </w:tbl>
    <w:p w14:paraId="1F5F8021">
      <w:pPr>
        <w:pStyle w:val="6"/>
        <w:bidi w:val="0"/>
        <w:rPr>
          <w:rFonts w:hint="eastAsia"/>
          <w:highlight w:val="none"/>
          <w:lang w:val="en-US" w:eastAsia="zh-CN"/>
        </w:rPr>
      </w:pPr>
      <w:r>
        <w:rPr>
          <w:rFonts w:hint="eastAsia"/>
          <w:highlight w:val="none"/>
          <w:lang w:val="en-US" w:eastAsia="zh-CN"/>
        </w:rPr>
        <w:t>3.3.2.4废水</w:t>
      </w:r>
    </w:p>
    <w:p w14:paraId="7C32C301">
      <w:pPr>
        <w:spacing w:line="360" w:lineRule="auto"/>
        <w:ind w:firstLine="480" w:firstLineChars="200"/>
        <w:rPr>
          <w:rFonts w:eastAsiaTheme="minorEastAsia"/>
          <w:sz w:val="24"/>
          <w:highlight w:val="none"/>
        </w:rPr>
      </w:pPr>
      <w:r>
        <w:rPr>
          <w:rFonts w:hAnsiTheme="minorEastAsia" w:eastAsiaTheme="minorEastAsia"/>
          <w:sz w:val="24"/>
          <w:highlight w:val="none"/>
        </w:rPr>
        <w:t>项目产生的废水</w:t>
      </w:r>
      <w:r>
        <w:rPr>
          <w:rFonts w:hint="eastAsia" w:hAnsiTheme="minorEastAsia" w:eastAsiaTheme="minorEastAsia"/>
          <w:sz w:val="24"/>
          <w:highlight w:val="none"/>
          <w:lang w:val="en-US" w:eastAsia="zh-CN"/>
        </w:rPr>
        <w:t>为员工</w:t>
      </w:r>
      <w:r>
        <w:rPr>
          <w:rFonts w:hAnsiTheme="minorEastAsia" w:eastAsiaTheme="minorEastAsia"/>
          <w:sz w:val="24"/>
          <w:highlight w:val="none"/>
        </w:rPr>
        <w:t>生活污水。</w:t>
      </w:r>
    </w:p>
    <w:p w14:paraId="205EEC8E">
      <w:pPr>
        <w:pStyle w:val="19"/>
        <w:spacing w:after="0" w:line="360" w:lineRule="auto"/>
        <w:ind w:firstLine="480" w:firstLineChars="200"/>
        <w:contextualSpacing/>
        <w:rPr>
          <w:rFonts w:hAnsiTheme="minorEastAsia" w:eastAsiaTheme="minorEastAsia"/>
          <w:kern w:val="0"/>
          <w:sz w:val="24"/>
          <w:highlight w:val="none"/>
        </w:rPr>
      </w:pPr>
      <w:r>
        <w:rPr>
          <w:rFonts w:hAnsiTheme="minorEastAsia" w:eastAsiaTheme="minorEastAsia"/>
          <w:kern w:val="0"/>
          <w:sz w:val="24"/>
          <w:highlight w:val="none"/>
        </w:rPr>
        <w:t>生活污水产生量为</w:t>
      </w:r>
      <w:r>
        <w:rPr>
          <w:rFonts w:hint="eastAsia" w:eastAsiaTheme="minorEastAsia"/>
          <w:kern w:val="0"/>
          <w:sz w:val="24"/>
          <w:highlight w:val="none"/>
          <w:lang w:val="en-US" w:eastAsia="zh-CN"/>
        </w:rPr>
        <w:t>76.8</w:t>
      </w:r>
      <w:r>
        <w:rPr>
          <w:rFonts w:eastAsiaTheme="minorEastAsia"/>
          <w:kern w:val="0"/>
          <w:sz w:val="24"/>
          <w:highlight w:val="none"/>
        </w:rPr>
        <w:t>t/a</w:t>
      </w:r>
      <w:r>
        <w:rPr>
          <w:rFonts w:hAnsiTheme="minorEastAsia" w:eastAsiaTheme="minorEastAsia"/>
          <w:kern w:val="0"/>
          <w:sz w:val="24"/>
          <w:highlight w:val="none"/>
        </w:rPr>
        <w:t>，根据《水工业工程设计手册</w:t>
      </w:r>
      <w:r>
        <w:rPr>
          <w:rFonts w:eastAsiaTheme="minorEastAsia"/>
          <w:kern w:val="0"/>
          <w:sz w:val="24"/>
          <w:highlight w:val="none"/>
        </w:rPr>
        <w:t>-</w:t>
      </w:r>
      <w:r>
        <w:rPr>
          <w:rFonts w:hAnsiTheme="minorEastAsia" w:eastAsiaTheme="minorEastAsia"/>
          <w:kern w:val="0"/>
          <w:sz w:val="24"/>
          <w:highlight w:val="none"/>
        </w:rPr>
        <w:t>建筑和小区给排水》中</w:t>
      </w:r>
      <w:r>
        <w:rPr>
          <w:rFonts w:hint="eastAsia" w:eastAsiaTheme="minorEastAsia"/>
          <w:kern w:val="0"/>
          <w:sz w:val="24"/>
          <w:highlight w:val="none"/>
          <w:lang w:eastAsia="zh-CN"/>
        </w:rPr>
        <w:t>“</w:t>
      </w:r>
      <w:r>
        <w:rPr>
          <w:rFonts w:eastAsiaTheme="minorEastAsia"/>
          <w:kern w:val="0"/>
          <w:sz w:val="24"/>
          <w:highlight w:val="none"/>
        </w:rPr>
        <w:t>12.2.2</w:t>
      </w:r>
      <w:r>
        <w:rPr>
          <w:rFonts w:hAnsiTheme="minorEastAsia" w:eastAsiaTheme="minorEastAsia"/>
          <w:kern w:val="0"/>
          <w:sz w:val="24"/>
          <w:highlight w:val="none"/>
        </w:rPr>
        <w:t>污水水量和水质</w:t>
      </w:r>
      <w:r>
        <w:rPr>
          <w:rFonts w:hint="eastAsia" w:eastAsiaTheme="minorEastAsia"/>
          <w:kern w:val="0"/>
          <w:sz w:val="24"/>
          <w:highlight w:val="none"/>
          <w:lang w:eastAsia="zh-CN"/>
        </w:rPr>
        <w:t>”</w:t>
      </w:r>
      <w:r>
        <w:rPr>
          <w:rFonts w:hAnsiTheme="minorEastAsia" w:eastAsiaTheme="minorEastAsia"/>
          <w:kern w:val="0"/>
          <w:sz w:val="24"/>
          <w:highlight w:val="none"/>
        </w:rPr>
        <w:t>中给出的住宅、各类公共建筑污水水质平均浓度，并结合项目特点，生活污水</w:t>
      </w:r>
      <w:r>
        <w:rPr>
          <w:rFonts w:eastAsiaTheme="minorEastAsia"/>
          <w:kern w:val="0"/>
          <w:sz w:val="24"/>
          <w:highlight w:val="none"/>
        </w:rPr>
        <w:t>COD</w:t>
      </w:r>
      <w:r>
        <w:rPr>
          <w:rFonts w:hAnsiTheme="minorEastAsia" w:eastAsiaTheme="minorEastAsia"/>
          <w:kern w:val="0"/>
          <w:sz w:val="24"/>
          <w:highlight w:val="none"/>
        </w:rPr>
        <w:t>排放浓度取值</w:t>
      </w:r>
      <w:r>
        <w:rPr>
          <w:rFonts w:eastAsiaTheme="minorEastAsia"/>
          <w:kern w:val="0"/>
          <w:sz w:val="24"/>
          <w:highlight w:val="none"/>
        </w:rPr>
        <w:t>350mg/L</w:t>
      </w:r>
      <w:r>
        <w:rPr>
          <w:rFonts w:hAnsiTheme="minorEastAsia" w:eastAsiaTheme="minorEastAsia"/>
          <w:kern w:val="0"/>
          <w:sz w:val="24"/>
          <w:highlight w:val="none"/>
        </w:rPr>
        <w:t>，氨氮排放浓度取值</w:t>
      </w:r>
      <w:r>
        <w:rPr>
          <w:rFonts w:eastAsiaTheme="minorEastAsia"/>
          <w:kern w:val="0"/>
          <w:sz w:val="24"/>
          <w:highlight w:val="none"/>
        </w:rPr>
        <w:t>35mg/L</w:t>
      </w:r>
      <w:r>
        <w:rPr>
          <w:rFonts w:hAnsiTheme="minorEastAsia" w:eastAsiaTheme="minorEastAsia"/>
          <w:kern w:val="0"/>
          <w:sz w:val="24"/>
          <w:highlight w:val="none"/>
        </w:rPr>
        <w:t>，</w:t>
      </w:r>
      <w:r>
        <w:rPr>
          <w:rFonts w:eastAsiaTheme="minorEastAsia"/>
          <w:kern w:val="0"/>
          <w:sz w:val="24"/>
          <w:highlight w:val="none"/>
        </w:rPr>
        <w:t>BOD</w:t>
      </w:r>
      <w:r>
        <w:rPr>
          <w:rFonts w:eastAsiaTheme="minorEastAsia"/>
          <w:kern w:val="0"/>
          <w:sz w:val="24"/>
          <w:highlight w:val="none"/>
          <w:vertAlign w:val="subscript"/>
        </w:rPr>
        <w:t>5</w:t>
      </w:r>
      <w:r>
        <w:rPr>
          <w:rFonts w:hAnsiTheme="minorEastAsia" w:eastAsiaTheme="minorEastAsia"/>
          <w:kern w:val="0"/>
          <w:sz w:val="24"/>
          <w:highlight w:val="none"/>
        </w:rPr>
        <w:t>排放浓度取值</w:t>
      </w:r>
      <w:r>
        <w:rPr>
          <w:rFonts w:eastAsiaTheme="minorEastAsia"/>
          <w:kern w:val="0"/>
          <w:sz w:val="24"/>
          <w:highlight w:val="none"/>
        </w:rPr>
        <w:t>1</w:t>
      </w:r>
      <w:r>
        <w:rPr>
          <w:rFonts w:hint="eastAsia" w:eastAsiaTheme="minorEastAsia"/>
          <w:kern w:val="0"/>
          <w:sz w:val="24"/>
          <w:highlight w:val="none"/>
          <w:lang w:val="en-US" w:eastAsia="zh-CN"/>
        </w:rPr>
        <w:t>5</w:t>
      </w:r>
      <w:r>
        <w:rPr>
          <w:rFonts w:eastAsiaTheme="minorEastAsia"/>
          <w:kern w:val="0"/>
          <w:sz w:val="24"/>
          <w:highlight w:val="none"/>
        </w:rPr>
        <w:t>0mg/L</w:t>
      </w:r>
      <w:r>
        <w:rPr>
          <w:rFonts w:hAnsiTheme="minorEastAsia" w:eastAsiaTheme="minorEastAsia"/>
          <w:kern w:val="0"/>
          <w:sz w:val="24"/>
          <w:highlight w:val="none"/>
        </w:rPr>
        <w:t>，</w:t>
      </w:r>
      <w:r>
        <w:rPr>
          <w:rFonts w:eastAsiaTheme="minorEastAsia"/>
          <w:kern w:val="0"/>
          <w:sz w:val="24"/>
          <w:highlight w:val="none"/>
        </w:rPr>
        <w:t>SS</w:t>
      </w:r>
      <w:r>
        <w:rPr>
          <w:rFonts w:hAnsiTheme="minorEastAsia" w:eastAsiaTheme="minorEastAsia"/>
          <w:kern w:val="0"/>
          <w:sz w:val="24"/>
          <w:highlight w:val="none"/>
        </w:rPr>
        <w:t>排放浓度取值</w:t>
      </w:r>
      <w:r>
        <w:rPr>
          <w:rFonts w:eastAsiaTheme="minorEastAsia"/>
          <w:kern w:val="0"/>
          <w:sz w:val="24"/>
          <w:highlight w:val="none"/>
        </w:rPr>
        <w:t>200mg/L</w:t>
      </w:r>
      <w:r>
        <w:rPr>
          <w:rFonts w:hAnsiTheme="minorEastAsia" w:eastAsiaTheme="minorEastAsia"/>
          <w:kern w:val="0"/>
          <w:sz w:val="24"/>
          <w:highlight w:val="none"/>
        </w:rPr>
        <w:t>，</w:t>
      </w:r>
      <w:r>
        <w:rPr>
          <w:rFonts w:eastAsiaTheme="minorEastAsia"/>
          <w:kern w:val="0"/>
          <w:sz w:val="24"/>
          <w:highlight w:val="none"/>
        </w:rPr>
        <w:t>pH</w:t>
      </w:r>
      <w:r>
        <w:rPr>
          <w:rFonts w:hAnsiTheme="minorEastAsia" w:eastAsiaTheme="minorEastAsia"/>
          <w:kern w:val="0"/>
          <w:sz w:val="24"/>
          <w:highlight w:val="none"/>
        </w:rPr>
        <w:t>排放取值</w:t>
      </w:r>
      <w:r>
        <w:rPr>
          <w:rFonts w:eastAsiaTheme="minorEastAsia"/>
          <w:kern w:val="0"/>
          <w:sz w:val="24"/>
          <w:highlight w:val="none"/>
        </w:rPr>
        <w:t>6.5~7.5</w:t>
      </w:r>
      <w:r>
        <w:rPr>
          <w:rFonts w:hint="eastAsia" w:eastAsiaTheme="minorEastAsia"/>
          <w:kern w:val="0"/>
          <w:sz w:val="24"/>
          <w:highlight w:val="none"/>
          <w:lang w:eastAsia="zh-CN"/>
        </w:rPr>
        <w:t>（</w:t>
      </w:r>
      <w:r>
        <w:rPr>
          <w:rFonts w:hint="eastAsia" w:eastAsiaTheme="minorEastAsia"/>
          <w:kern w:val="0"/>
          <w:sz w:val="24"/>
          <w:highlight w:val="none"/>
          <w:lang w:val="en-US" w:eastAsia="zh-CN"/>
        </w:rPr>
        <w:t>无量纲</w:t>
      </w:r>
      <w:r>
        <w:rPr>
          <w:rFonts w:hint="eastAsia" w:eastAsiaTheme="minorEastAsia"/>
          <w:kern w:val="0"/>
          <w:sz w:val="24"/>
          <w:highlight w:val="none"/>
          <w:lang w:eastAsia="zh-CN"/>
        </w:rPr>
        <w:t>）</w:t>
      </w:r>
      <w:r>
        <w:rPr>
          <w:rFonts w:hAnsiTheme="minorEastAsia" w:eastAsiaTheme="minorEastAsia"/>
          <w:kern w:val="0"/>
          <w:sz w:val="24"/>
          <w:highlight w:val="none"/>
        </w:rPr>
        <w:t>。</w:t>
      </w:r>
    </w:p>
    <w:p w14:paraId="23EABA11">
      <w:pPr>
        <w:bidi w:val="0"/>
        <w:rPr>
          <w:rFonts w:hint="eastAsia"/>
          <w:highlight w:val="none"/>
          <w:lang w:val="en-US" w:eastAsia="zh-CN"/>
        </w:rPr>
      </w:pPr>
      <w:r>
        <w:rPr>
          <w:rFonts w:hAnsiTheme="minorEastAsia" w:eastAsiaTheme="minorEastAsia"/>
          <w:kern w:val="0"/>
          <w:sz w:val="24"/>
          <w:highlight w:val="none"/>
        </w:rPr>
        <w:t>因此本项目</w:t>
      </w:r>
      <w:r>
        <w:rPr>
          <w:rFonts w:eastAsiaTheme="minorEastAsia"/>
          <w:kern w:val="0"/>
          <w:sz w:val="24"/>
          <w:highlight w:val="none"/>
        </w:rPr>
        <w:t>COD</w:t>
      </w:r>
      <w:r>
        <w:rPr>
          <w:rFonts w:hint="eastAsia" w:hAnsiTheme="minorEastAsia" w:eastAsiaTheme="minorEastAsia"/>
          <w:kern w:val="0"/>
          <w:sz w:val="24"/>
          <w:highlight w:val="none"/>
          <w:lang w:eastAsia="zh-CN"/>
        </w:rPr>
        <w:t>产生</w:t>
      </w:r>
      <w:r>
        <w:rPr>
          <w:rFonts w:hAnsiTheme="minorEastAsia" w:eastAsiaTheme="minorEastAsia"/>
          <w:kern w:val="0"/>
          <w:sz w:val="24"/>
          <w:highlight w:val="none"/>
        </w:rPr>
        <w:t>浓度为</w:t>
      </w:r>
      <w:r>
        <w:rPr>
          <w:rFonts w:eastAsiaTheme="minorEastAsia"/>
          <w:kern w:val="0"/>
          <w:sz w:val="24"/>
          <w:highlight w:val="none"/>
        </w:rPr>
        <w:t>350mg/L</w:t>
      </w:r>
      <w:r>
        <w:rPr>
          <w:rFonts w:hAnsiTheme="minorEastAsia" w:eastAsiaTheme="minorEastAsia"/>
          <w:kern w:val="0"/>
          <w:sz w:val="24"/>
          <w:highlight w:val="none"/>
        </w:rPr>
        <w:t>，</w:t>
      </w:r>
      <w:r>
        <w:rPr>
          <w:rFonts w:hint="eastAsia" w:hAnsiTheme="minorEastAsia" w:eastAsiaTheme="minorEastAsia"/>
          <w:kern w:val="0"/>
          <w:sz w:val="24"/>
          <w:highlight w:val="none"/>
          <w:lang w:eastAsia="zh-CN"/>
        </w:rPr>
        <w:t>产生</w:t>
      </w:r>
      <w:r>
        <w:rPr>
          <w:rFonts w:hAnsiTheme="minorEastAsia" w:eastAsiaTheme="minorEastAsia"/>
          <w:kern w:val="0"/>
          <w:sz w:val="24"/>
          <w:highlight w:val="none"/>
        </w:rPr>
        <w:t>量为</w:t>
      </w:r>
      <w:r>
        <w:rPr>
          <w:rFonts w:hint="eastAsia" w:eastAsiaTheme="minorEastAsia"/>
          <w:kern w:val="0"/>
          <w:sz w:val="24"/>
          <w:highlight w:val="none"/>
          <w:lang w:val="en-US" w:eastAsia="zh-CN"/>
        </w:rPr>
        <w:t>0.027</w:t>
      </w:r>
      <w:r>
        <w:rPr>
          <w:rFonts w:eastAsiaTheme="minorEastAsia"/>
          <w:kern w:val="0"/>
          <w:sz w:val="24"/>
          <w:highlight w:val="none"/>
        </w:rPr>
        <w:t>t/a</w:t>
      </w:r>
      <w:r>
        <w:rPr>
          <w:rFonts w:hAnsiTheme="minorEastAsia" w:eastAsiaTheme="minorEastAsia"/>
          <w:kern w:val="0"/>
          <w:sz w:val="24"/>
          <w:highlight w:val="none"/>
        </w:rPr>
        <w:t>；氨氮</w:t>
      </w:r>
      <w:r>
        <w:rPr>
          <w:rFonts w:hint="eastAsia" w:hAnsiTheme="minorEastAsia" w:eastAsiaTheme="minorEastAsia"/>
          <w:kern w:val="0"/>
          <w:sz w:val="24"/>
          <w:highlight w:val="none"/>
          <w:lang w:eastAsia="zh-CN"/>
        </w:rPr>
        <w:t>产生</w:t>
      </w:r>
      <w:r>
        <w:rPr>
          <w:rFonts w:hAnsiTheme="minorEastAsia" w:eastAsiaTheme="minorEastAsia"/>
          <w:kern w:val="0"/>
          <w:sz w:val="24"/>
          <w:highlight w:val="none"/>
        </w:rPr>
        <w:t>浓度为</w:t>
      </w:r>
      <w:r>
        <w:rPr>
          <w:rFonts w:eastAsiaTheme="minorEastAsia"/>
          <w:kern w:val="0"/>
          <w:sz w:val="24"/>
          <w:highlight w:val="none"/>
        </w:rPr>
        <w:t>35mg/L</w:t>
      </w:r>
      <w:r>
        <w:rPr>
          <w:rFonts w:hAnsiTheme="minorEastAsia" w:eastAsiaTheme="minorEastAsia"/>
          <w:kern w:val="0"/>
          <w:sz w:val="24"/>
          <w:highlight w:val="none"/>
        </w:rPr>
        <w:t>，</w:t>
      </w:r>
      <w:r>
        <w:rPr>
          <w:rFonts w:hint="eastAsia" w:hAnsiTheme="minorEastAsia" w:eastAsiaTheme="minorEastAsia"/>
          <w:kern w:val="0"/>
          <w:sz w:val="24"/>
          <w:highlight w:val="none"/>
          <w:lang w:eastAsia="zh-CN"/>
        </w:rPr>
        <w:t>产生</w:t>
      </w:r>
      <w:r>
        <w:rPr>
          <w:rFonts w:hAnsiTheme="minorEastAsia" w:eastAsiaTheme="minorEastAsia"/>
          <w:kern w:val="0"/>
          <w:sz w:val="24"/>
          <w:highlight w:val="none"/>
        </w:rPr>
        <w:t>量为</w:t>
      </w:r>
      <w:r>
        <w:rPr>
          <w:rFonts w:eastAsiaTheme="minorEastAsia"/>
          <w:kern w:val="0"/>
          <w:sz w:val="24"/>
          <w:highlight w:val="none"/>
        </w:rPr>
        <w:t>0.0</w:t>
      </w:r>
      <w:r>
        <w:rPr>
          <w:rFonts w:hint="eastAsia" w:eastAsiaTheme="minorEastAsia"/>
          <w:kern w:val="0"/>
          <w:sz w:val="24"/>
          <w:highlight w:val="none"/>
          <w:lang w:val="en-US" w:eastAsia="zh-CN"/>
        </w:rPr>
        <w:t>03</w:t>
      </w:r>
      <w:r>
        <w:rPr>
          <w:rFonts w:eastAsiaTheme="minorEastAsia"/>
          <w:kern w:val="0"/>
          <w:sz w:val="24"/>
          <w:highlight w:val="none"/>
        </w:rPr>
        <w:t>t/a</w:t>
      </w:r>
      <w:r>
        <w:rPr>
          <w:rFonts w:hAnsiTheme="minorEastAsia" w:eastAsiaTheme="minorEastAsia"/>
          <w:kern w:val="0"/>
          <w:sz w:val="24"/>
          <w:highlight w:val="none"/>
        </w:rPr>
        <w:t>；</w:t>
      </w:r>
      <w:r>
        <w:rPr>
          <w:rFonts w:eastAsiaTheme="minorEastAsia"/>
          <w:kern w:val="0"/>
          <w:sz w:val="24"/>
          <w:highlight w:val="none"/>
        </w:rPr>
        <w:t>BOD</w:t>
      </w:r>
      <w:r>
        <w:rPr>
          <w:rFonts w:eastAsiaTheme="minorEastAsia"/>
          <w:kern w:val="0"/>
          <w:sz w:val="24"/>
          <w:highlight w:val="none"/>
          <w:vertAlign w:val="subscript"/>
        </w:rPr>
        <w:t>5</w:t>
      </w:r>
      <w:r>
        <w:rPr>
          <w:rFonts w:hint="eastAsia" w:hAnsiTheme="minorEastAsia" w:eastAsiaTheme="minorEastAsia"/>
          <w:kern w:val="0"/>
          <w:sz w:val="24"/>
          <w:highlight w:val="none"/>
          <w:lang w:eastAsia="zh-CN"/>
        </w:rPr>
        <w:t>产生</w:t>
      </w:r>
      <w:r>
        <w:rPr>
          <w:rFonts w:hAnsiTheme="minorEastAsia" w:eastAsiaTheme="minorEastAsia"/>
          <w:kern w:val="0"/>
          <w:sz w:val="24"/>
          <w:highlight w:val="none"/>
        </w:rPr>
        <w:t>浓度为</w:t>
      </w:r>
      <w:r>
        <w:rPr>
          <w:rFonts w:eastAsiaTheme="minorEastAsia"/>
          <w:kern w:val="0"/>
          <w:sz w:val="24"/>
          <w:highlight w:val="none"/>
        </w:rPr>
        <w:t>1</w:t>
      </w:r>
      <w:r>
        <w:rPr>
          <w:rFonts w:hint="eastAsia" w:eastAsiaTheme="minorEastAsia"/>
          <w:kern w:val="0"/>
          <w:sz w:val="24"/>
          <w:highlight w:val="none"/>
          <w:lang w:val="en-US" w:eastAsia="zh-CN"/>
        </w:rPr>
        <w:t>5</w:t>
      </w:r>
      <w:r>
        <w:rPr>
          <w:rFonts w:eastAsiaTheme="minorEastAsia"/>
          <w:kern w:val="0"/>
          <w:sz w:val="24"/>
          <w:highlight w:val="none"/>
        </w:rPr>
        <w:t>0mg/L</w:t>
      </w:r>
      <w:r>
        <w:rPr>
          <w:rFonts w:hAnsiTheme="minorEastAsia" w:eastAsiaTheme="minorEastAsia"/>
          <w:kern w:val="0"/>
          <w:sz w:val="24"/>
          <w:highlight w:val="none"/>
        </w:rPr>
        <w:t>，</w:t>
      </w:r>
      <w:r>
        <w:rPr>
          <w:rFonts w:hint="eastAsia" w:hAnsiTheme="minorEastAsia" w:eastAsiaTheme="minorEastAsia"/>
          <w:kern w:val="0"/>
          <w:sz w:val="24"/>
          <w:highlight w:val="none"/>
          <w:lang w:eastAsia="zh-CN"/>
        </w:rPr>
        <w:t>产生</w:t>
      </w:r>
      <w:r>
        <w:rPr>
          <w:rFonts w:hAnsiTheme="minorEastAsia" w:eastAsiaTheme="minorEastAsia"/>
          <w:kern w:val="0"/>
          <w:sz w:val="24"/>
          <w:highlight w:val="none"/>
        </w:rPr>
        <w:t>量为</w:t>
      </w:r>
      <w:r>
        <w:rPr>
          <w:rFonts w:eastAsiaTheme="minorEastAsia"/>
          <w:kern w:val="0"/>
          <w:sz w:val="24"/>
          <w:highlight w:val="none"/>
        </w:rPr>
        <w:t>0.</w:t>
      </w:r>
      <w:r>
        <w:rPr>
          <w:rFonts w:hint="eastAsia" w:eastAsiaTheme="minorEastAsia"/>
          <w:kern w:val="0"/>
          <w:sz w:val="24"/>
          <w:highlight w:val="none"/>
          <w:lang w:val="en-US" w:eastAsia="zh-CN"/>
        </w:rPr>
        <w:t>012</w:t>
      </w:r>
      <w:r>
        <w:rPr>
          <w:rFonts w:eastAsiaTheme="minorEastAsia"/>
          <w:kern w:val="0"/>
          <w:sz w:val="24"/>
          <w:highlight w:val="none"/>
        </w:rPr>
        <w:t>t/a</w:t>
      </w:r>
      <w:r>
        <w:rPr>
          <w:rFonts w:hAnsiTheme="minorEastAsia" w:eastAsiaTheme="minorEastAsia"/>
          <w:kern w:val="0"/>
          <w:sz w:val="24"/>
          <w:highlight w:val="none"/>
        </w:rPr>
        <w:t>；</w:t>
      </w:r>
      <w:r>
        <w:rPr>
          <w:rFonts w:eastAsiaTheme="minorEastAsia"/>
          <w:kern w:val="0"/>
          <w:sz w:val="24"/>
          <w:highlight w:val="none"/>
        </w:rPr>
        <w:t>SS</w:t>
      </w:r>
      <w:r>
        <w:rPr>
          <w:rFonts w:hint="eastAsia" w:hAnsiTheme="minorEastAsia" w:eastAsiaTheme="minorEastAsia"/>
          <w:kern w:val="0"/>
          <w:sz w:val="24"/>
          <w:highlight w:val="none"/>
          <w:lang w:eastAsia="zh-CN"/>
        </w:rPr>
        <w:t>产生</w:t>
      </w:r>
      <w:r>
        <w:rPr>
          <w:rFonts w:hAnsiTheme="minorEastAsia" w:eastAsiaTheme="minorEastAsia"/>
          <w:kern w:val="0"/>
          <w:sz w:val="24"/>
          <w:highlight w:val="none"/>
        </w:rPr>
        <w:t>浓度为</w:t>
      </w:r>
      <w:r>
        <w:rPr>
          <w:rFonts w:eastAsiaTheme="minorEastAsia"/>
          <w:kern w:val="0"/>
          <w:sz w:val="24"/>
          <w:highlight w:val="none"/>
        </w:rPr>
        <w:t>200mg/L</w:t>
      </w:r>
      <w:r>
        <w:rPr>
          <w:rFonts w:hAnsiTheme="minorEastAsia" w:eastAsiaTheme="minorEastAsia"/>
          <w:kern w:val="0"/>
          <w:sz w:val="24"/>
          <w:highlight w:val="none"/>
        </w:rPr>
        <w:t>，</w:t>
      </w:r>
      <w:r>
        <w:rPr>
          <w:rFonts w:hint="eastAsia" w:hAnsiTheme="minorEastAsia" w:eastAsiaTheme="minorEastAsia"/>
          <w:kern w:val="0"/>
          <w:sz w:val="24"/>
          <w:highlight w:val="none"/>
          <w:lang w:eastAsia="zh-CN"/>
        </w:rPr>
        <w:t>产生</w:t>
      </w:r>
      <w:r>
        <w:rPr>
          <w:rFonts w:hAnsiTheme="minorEastAsia" w:eastAsiaTheme="minorEastAsia"/>
          <w:kern w:val="0"/>
          <w:sz w:val="24"/>
          <w:highlight w:val="none"/>
        </w:rPr>
        <w:t>量为</w:t>
      </w:r>
      <w:r>
        <w:rPr>
          <w:rFonts w:eastAsiaTheme="minorEastAsia"/>
          <w:kern w:val="0"/>
          <w:sz w:val="24"/>
          <w:highlight w:val="none"/>
        </w:rPr>
        <w:t>0.</w:t>
      </w:r>
      <w:r>
        <w:rPr>
          <w:rFonts w:hint="eastAsia" w:eastAsiaTheme="minorEastAsia"/>
          <w:kern w:val="0"/>
          <w:sz w:val="24"/>
          <w:highlight w:val="none"/>
          <w:lang w:val="en-US" w:eastAsia="zh-CN"/>
        </w:rPr>
        <w:t>015</w:t>
      </w:r>
      <w:r>
        <w:rPr>
          <w:rFonts w:eastAsiaTheme="minorEastAsia"/>
          <w:kern w:val="0"/>
          <w:sz w:val="24"/>
          <w:highlight w:val="none"/>
        </w:rPr>
        <w:t>t/a</w:t>
      </w:r>
      <w:r>
        <w:rPr>
          <w:rFonts w:hAnsiTheme="minorEastAsia" w:eastAsiaTheme="minorEastAsia"/>
          <w:kern w:val="0"/>
          <w:sz w:val="24"/>
          <w:highlight w:val="none"/>
        </w:rPr>
        <w:t>；</w:t>
      </w:r>
      <w:r>
        <w:rPr>
          <w:rFonts w:eastAsiaTheme="minorEastAsia"/>
          <w:kern w:val="0"/>
          <w:sz w:val="24"/>
          <w:highlight w:val="none"/>
        </w:rPr>
        <w:t>pH</w:t>
      </w:r>
      <w:r>
        <w:rPr>
          <w:rFonts w:hAnsiTheme="minorEastAsia" w:eastAsiaTheme="minorEastAsia"/>
          <w:kern w:val="0"/>
          <w:sz w:val="24"/>
          <w:highlight w:val="none"/>
        </w:rPr>
        <w:t>：</w:t>
      </w:r>
      <w:r>
        <w:rPr>
          <w:rFonts w:eastAsiaTheme="minorEastAsia"/>
          <w:kern w:val="0"/>
          <w:sz w:val="24"/>
          <w:highlight w:val="none"/>
        </w:rPr>
        <w:t>6.5-7.5</w:t>
      </w:r>
      <w:r>
        <w:rPr>
          <w:rFonts w:hint="eastAsia" w:eastAsiaTheme="minorEastAsia"/>
          <w:kern w:val="0"/>
          <w:sz w:val="24"/>
          <w:highlight w:val="none"/>
          <w:lang w:eastAsia="zh-CN"/>
        </w:rPr>
        <w:t>（</w:t>
      </w:r>
      <w:r>
        <w:rPr>
          <w:rFonts w:hint="eastAsia" w:eastAsiaTheme="minorEastAsia"/>
          <w:kern w:val="0"/>
          <w:sz w:val="24"/>
          <w:highlight w:val="none"/>
          <w:lang w:val="en-US" w:eastAsia="zh-CN"/>
        </w:rPr>
        <w:t>无量纲</w:t>
      </w:r>
      <w:r>
        <w:rPr>
          <w:rFonts w:hint="eastAsia" w:eastAsiaTheme="minorEastAsia"/>
          <w:kern w:val="0"/>
          <w:sz w:val="24"/>
          <w:highlight w:val="none"/>
          <w:lang w:eastAsia="zh-CN"/>
        </w:rPr>
        <w:t>）</w:t>
      </w:r>
      <w:r>
        <w:rPr>
          <w:rFonts w:hint="eastAsia" w:hAnsiTheme="minorEastAsia" w:eastAsiaTheme="minorEastAsia"/>
          <w:kern w:val="0"/>
          <w:sz w:val="24"/>
          <w:highlight w:val="none"/>
          <w:lang w:eastAsia="zh-CN"/>
        </w:rPr>
        <w:t>，</w:t>
      </w:r>
      <w:r>
        <w:rPr>
          <w:rFonts w:hAnsiTheme="minorEastAsia" w:eastAsiaTheme="minorEastAsia"/>
          <w:kern w:val="0"/>
          <w:sz w:val="24"/>
          <w:highlight w:val="none"/>
        </w:rPr>
        <w:t>生活污水</w:t>
      </w:r>
      <w:r>
        <w:rPr>
          <w:rFonts w:hint="eastAsia" w:hAnsiTheme="minorEastAsia" w:eastAsiaTheme="minorEastAsia"/>
          <w:kern w:val="0"/>
          <w:sz w:val="24"/>
          <w:highlight w:val="none"/>
          <w:lang w:eastAsia="zh-CN"/>
        </w:rPr>
        <w:t>依托周边企业防渗旱厕收集，定期清掏外运堆肥</w:t>
      </w:r>
      <w:r>
        <w:rPr>
          <w:rFonts w:hint="eastAsia"/>
          <w:highlight w:val="none"/>
          <w:lang w:val="en-US" w:eastAsia="zh-CN"/>
        </w:rPr>
        <w:t>。</w:t>
      </w:r>
    </w:p>
    <w:p w14:paraId="53B2FECF">
      <w:pPr>
        <w:pStyle w:val="6"/>
        <w:bidi w:val="0"/>
        <w:rPr>
          <w:highlight w:val="none"/>
        </w:rPr>
      </w:pPr>
      <w:r>
        <w:rPr>
          <w:highlight w:val="none"/>
        </w:rPr>
        <w:t>3.</w:t>
      </w:r>
      <w:r>
        <w:rPr>
          <w:rFonts w:hint="eastAsia"/>
          <w:highlight w:val="none"/>
          <w:lang w:val="en-US" w:eastAsia="zh-CN"/>
        </w:rPr>
        <w:t>3</w:t>
      </w:r>
      <w:r>
        <w:rPr>
          <w:highlight w:val="none"/>
        </w:rPr>
        <w:t>.2.3噪声</w:t>
      </w:r>
    </w:p>
    <w:p w14:paraId="0935507A">
      <w:pPr>
        <w:tabs>
          <w:tab w:val="left" w:pos="12180"/>
        </w:tabs>
        <w:spacing w:line="360" w:lineRule="auto"/>
        <w:ind w:firstLine="480" w:firstLineChars="200"/>
        <w:rPr>
          <w:rFonts w:hAnsiTheme="minorEastAsia" w:eastAsiaTheme="minorEastAsia"/>
          <w:sz w:val="24"/>
          <w:highlight w:val="none"/>
        </w:rPr>
      </w:pPr>
      <w:r>
        <w:rPr>
          <w:rFonts w:hAnsiTheme="minorEastAsia" w:eastAsiaTheme="minorEastAsia"/>
          <w:sz w:val="24"/>
          <w:highlight w:val="none"/>
        </w:rPr>
        <w:t>本项目主要噪声源为生产设备</w:t>
      </w:r>
      <w:r>
        <w:rPr>
          <w:rFonts w:hint="eastAsia" w:hAnsiTheme="minorEastAsia" w:eastAsiaTheme="minorEastAsia"/>
          <w:sz w:val="24"/>
          <w:highlight w:val="none"/>
          <w:lang w:eastAsia="zh-CN"/>
        </w:rPr>
        <w:t>、风机</w:t>
      </w:r>
      <w:r>
        <w:rPr>
          <w:rFonts w:hAnsiTheme="minorEastAsia" w:eastAsiaTheme="minorEastAsia"/>
          <w:sz w:val="24"/>
          <w:highlight w:val="none"/>
        </w:rPr>
        <w:t>等。噪声值在</w:t>
      </w:r>
      <w:r>
        <w:rPr>
          <w:rFonts w:eastAsiaTheme="minorEastAsia"/>
          <w:sz w:val="24"/>
          <w:highlight w:val="none"/>
        </w:rPr>
        <w:t>7</w:t>
      </w:r>
      <w:r>
        <w:rPr>
          <w:rFonts w:hint="eastAsia" w:eastAsiaTheme="minorEastAsia"/>
          <w:sz w:val="24"/>
          <w:highlight w:val="none"/>
          <w:lang w:val="en-US" w:eastAsia="zh-CN"/>
        </w:rPr>
        <w:t>0</w:t>
      </w:r>
      <w:r>
        <w:rPr>
          <w:rFonts w:eastAsiaTheme="minorEastAsia"/>
          <w:sz w:val="24"/>
          <w:highlight w:val="none"/>
        </w:rPr>
        <w:t>-</w:t>
      </w:r>
      <w:r>
        <w:rPr>
          <w:rFonts w:hint="eastAsia" w:eastAsiaTheme="minorEastAsia"/>
          <w:sz w:val="24"/>
          <w:highlight w:val="none"/>
          <w:lang w:val="en-US" w:eastAsia="zh-CN"/>
        </w:rPr>
        <w:t>8</w:t>
      </w:r>
      <w:r>
        <w:rPr>
          <w:rFonts w:eastAsiaTheme="minorEastAsia"/>
          <w:sz w:val="24"/>
          <w:highlight w:val="none"/>
        </w:rPr>
        <w:t>0dB</w:t>
      </w:r>
      <w:r>
        <w:rPr>
          <w:rFonts w:hAnsiTheme="minorEastAsia" w:eastAsiaTheme="minorEastAsia"/>
          <w:sz w:val="24"/>
          <w:highlight w:val="none"/>
        </w:rPr>
        <w:t>（</w:t>
      </w:r>
      <w:r>
        <w:rPr>
          <w:rFonts w:eastAsiaTheme="minorEastAsia"/>
          <w:sz w:val="24"/>
          <w:highlight w:val="none"/>
        </w:rPr>
        <w:t>A</w:t>
      </w:r>
      <w:r>
        <w:rPr>
          <w:rFonts w:hAnsiTheme="minorEastAsia" w:eastAsiaTheme="minorEastAsia"/>
          <w:sz w:val="24"/>
          <w:highlight w:val="none"/>
        </w:rPr>
        <w:t>）。项目设备通过合理布局，采取基础减振、建筑隔声、选用低噪声设备等措施降低对周边声环境影响。本项目噪声源强一览表见表</w:t>
      </w:r>
      <w:r>
        <w:rPr>
          <w:rFonts w:eastAsiaTheme="minorEastAsia"/>
          <w:sz w:val="24"/>
          <w:highlight w:val="none"/>
        </w:rPr>
        <w:t>3-3-</w:t>
      </w:r>
      <w:r>
        <w:rPr>
          <w:rFonts w:hint="eastAsia" w:eastAsiaTheme="minorEastAsia"/>
          <w:sz w:val="24"/>
          <w:highlight w:val="none"/>
        </w:rPr>
        <w:t>7</w:t>
      </w:r>
      <w:r>
        <w:rPr>
          <w:rFonts w:hAnsiTheme="minorEastAsia" w:eastAsiaTheme="minorEastAsia"/>
          <w:sz w:val="24"/>
          <w:highlight w:val="none"/>
        </w:rPr>
        <w:t>。</w:t>
      </w:r>
    </w:p>
    <w:p w14:paraId="168DA52C">
      <w:pPr>
        <w:pStyle w:val="6"/>
        <w:bidi w:val="0"/>
        <w:rPr>
          <w:highlight w:val="none"/>
        </w:rPr>
      </w:pPr>
      <w:r>
        <w:rPr>
          <w:highlight w:val="none"/>
        </w:rPr>
        <w:t>3.</w:t>
      </w:r>
      <w:r>
        <w:rPr>
          <w:rFonts w:hint="eastAsia"/>
          <w:highlight w:val="none"/>
          <w:lang w:val="en-US" w:eastAsia="zh-CN"/>
        </w:rPr>
        <w:t>3</w:t>
      </w:r>
      <w:r>
        <w:rPr>
          <w:highlight w:val="none"/>
        </w:rPr>
        <w:t>.2.4固废</w:t>
      </w:r>
    </w:p>
    <w:p w14:paraId="10B643FA">
      <w:pPr>
        <w:bidi w:val="0"/>
        <w:rPr>
          <w:highlight w:val="none"/>
        </w:rPr>
      </w:pPr>
      <w:r>
        <w:rPr>
          <w:rFonts w:hAnsiTheme="minorEastAsia" w:eastAsiaTheme="minorEastAsia"/>
          <w:bCs/>
          <w:sz w:val="24"/>
          <w:highlight w:val="none"/>
        </w:rPr>
        <w:t>（</w:t>
      </w:r>
      <w:r>
        <w:rPr>
          <w:rFonts w:hint="eastAsia" w:eastAsiaTheme="minorEastAsia"/>
          <w:bCs/>
          <w:sz w:val="24"/>
          <w:highlight w:val="none"/>
          <w:lang w:val="en-US" w:eastAsia="zh-CN"/>
        </w:rPr>
        <w:t>1</w:t>
      </w:r>
      <w:r>
        <w:rPr>
          <w:rFonts w:hAnsiTheme="minorEastAsia" w:eastAsiaTheme="minorEastAsia"/>
          <w:bCs/>
          <w:sz w:val="24"/>
          <w:highlight w:val="none"/>
        </w:rPr>
        <w:t>）</w:t>
      </w:r>
      <w:r>
        <w:rPr>
          <w:highlight w:val="none"/>
        </w:rPr>
        <w:t>生活垃圾</w:t>
      </w:r>
    </w:p>
    <w:p w14:paraId="6044C9AE">
      <w:pPr>
        <w:spacing w:line="360" w:lineRule="auto"/>
        <w:ind w:firstLine="480" w:firstLineChars="200"/>
        <w:contextualSpacing/>
        <w:rPr>
          <w:rFonts w:eastAsiaTheme="minorEastAsia"/>
          <w:bCs/>
          <w:sz w:val="24"/>
          <w:highlight w:val="none"/>
        </w:rPr>
      </w:pPr>
      <w:r>
        <w:rPr>
          <w:highlight w:val="none"/>
          <w:lang w:val="zh-CN"/>
        </w:rPr>
        <w:t>生活垃圾产生量按每人0.4kg/d计算，项目员工</w:t>
      </w:r>
      <w:r>
        <w:rPr>
          <w:rFonts w:hint="eastAsia"/>
          <w:highlight w:val="none"/>
          <w:lang w:val="en-US" w:eastAsia="zh-CN"/>
        </w:rPr>
        <w:t>12</w:t>
      </w:r>
      <w:r>
        <w:rPr>
          <w:highlight w:val="none"/>
          <w:lang w:val="zh-CN"/>
        </w:rPr>
        <w:t>人，年工作时间</w:t>
      </w:r>
      <w:r>
        <w:rPr>
          <w:rFonts w:hint="eastAsia"/>
          <w:highlight w:val="none"/>
          <w:lang w:val="en-US" w:eastAsia="zh-CN"/>
        </w:rPr>
        <w:t>300</w:t>
      </w:r>
      <w:r>
        <w:rPr>
          <w:highlight w:val="none"/>
          <w:lang w:val="zh-CN"/>
        </w:rPr>
        <w:t>天，则生活垃圾产生量为</w:t>
      </w:r>
      <w:r>
        <w:rPr>
          <w:rFonts w:hint="eastAsia"/>
          <w:highlight w:val="none"/>
          <w:lang w:val="en-US" w:eastAsia="zh-CN"/>
        </w:rPr>
        <w:t>0.48</w:t>
      </w:r>
      <w:r>
        <w:rPr>
          <w:highlight w:val="none"/>
          <w:lang w:val="zh-CN"/>
        </w:rPr>
        <w:t>t/a，生活垃圾交由市政部门统一处理。</w:t>
      </w:r>
    </w:p>
    <w:p w14:paraId="2C5FE962">
      <w:pPr>
        <w:spacing w:line="360" w:lineRule="auto"/>
        <w:ind w:firstLine="480" w:firstLineChars="200"/>
        <w:contextualSpacing/>
        <w:rPr>
          <w:rFonts w:eastAsiaTheme="minorEastAsia"/>
          <w:bCs/>
          <w:sz w:val="24"/>
          <w:highlight w:val="none"/>
        </w:rPr>
      </w:pPr>
      <w:r>
        <w:rPr>
          <w:rFonts w:hAnsiTheme="minorEastAsia" w:eastAsiaTheme="minorEastAsia"/>
          <w:bCs/>
          <w:sz w:val="24"/>
          <w:highlight w:val="none"/>
        </w:rPr>
        <w:t>（</w:t>
      </w:r>
      <w:r>
        <w:rPr>
          <w:rFonts w:hint="eastAsia" w:eastAsiaTheme="minorEastAsia"/>
          <w:bCs/>
          <w:sz w:val="24"/>
          <w:highlight w:val="none"/>
          <w:lang w:val="en-US" w:eastAsia="zh-CN"/>
        </w:rPr>
        <w:t>42</w:t>
      </w:r>
      <w:r>
        <w:rPr>
          <w:rFonts w:hAnsiTheme="minorEastAsia" w:eastAsiaTheme="minorEastAsia"/>
          <w:bCs/>
          <w:sz w:val="24"/>
          <w:highlight w:val="none"/>
        </w:rPr>
        <w:t>）</w:t>
      </w:r>
      <w:r>
        <w:rPr>
          <w:rFonts w:hint="eastAsia" w:hAnsiTheme="minorEastAsia" w:eastAsiaTheme="minorEastAsia"/>
          <w:bCs/>
          <w:sz w:val="24"/>
          <w:highlight w:val="none"/>
          <w:lang w:val="en-US" w:eastAsia="zh-CN"/>
        </w:rPr>
        <w:t>废过滤材料</w:t>
      </w:r>
      <w:r>
        <w:rPr>
          <w:rFonts w:hAnsiTheme="minorEastAsia" w:eastAsiaTheme="minorEastAsia"/>
          <w:bCs/>
          <w:sz w:val="24"/>
          <w:highlight w:val="none"/>
        </w:rPr>
        <w:t>（类别：</w:t>
      </w:r>
      <w:r>
        <w:rPr>
          <w:rFonts w:eastAsiaTheme="minorEastAsia"/>
          <w:bCs/>
          <w:sz w:val="24"/>
          <w:highlight w:val="none"/>
        </w:rPr>
        <w:t>HW49</w:t>
      </w:r>
      <w:r>
        <w:rPr>
          <w:rFonts w:hAnsiTheme="minorEastAsia" w:eastAsiaTheme="minorEastAsia"/>
          <w:bCs/>
          <w:sz w:val="24"/>
          <w:highlight w:val="none"/>
        </w:rPr>
        <w:t>，代码：</w:t>
      </w:r>
      <w:r>
        <w:rPr>
          <w:rFonts w:eastAsiaTheme="minorEastAsia"/>
          <w:bCs/>
          <w:sz w:val="24"/>
          <w:highlight w:val="none"/>
        </w:rPr>
        <w:t>900-041-49</w:t>
      </w:r>
      <w:r>
        <w:rPr>
          <w:rFonts w:hAnsiTheme="minorEastAsia" w:eastAsiaTheme="minorEastAsia"/>
          <w:bCs/>
          <w:sz w:val="24"/>
          <w:highlight w:val="none"/>
        </w:rPr>
        <w:t>）</w:t>
      </w:r>
    </w:p>
    <w:p w14:paraId="095D4573">
      <w:pPr>
        <w:spacing w:line="360" w:lineRule="auto"/>
        <w:ind w:firstLine="480" w:firstLineChars="200"/>
        <w:contextualSpacing/>
        <w:rPr>
          <w:rFonts w:hint="default" w:eastAsiaTheme="minorEastAsia"/>
          <w:bCs/>
          <w:sz w:val="24"/>
          <w:highlight w:val="none"/>
          <w:lang w:val="en-US" w:eastAsia="zh-CN"/>
        </w:rPr>
      </w:pPr>
      <w:r>
        <w:rPr>
          <w:rFonts w:hint="eastAsia" w:hAnsiTheme="minorEastAsia" w:eastAsiaTheme="minorEastAsia"/>
          <w:bCs/>
          <w:sz w:val="24"/>
          <w:highlight w:val="none"/>
          <w:lang w:val="en-US" w:eastAsia="zh-CN"/>
        </w:rPr>
        <w:t>油雾净化器</w:t>
      </w:r>
      <w:r>
        <w:rPr>
          <w:rFonts w:hAnsiTheme="minorEastAsia" w:eastAsiaTheme="minorEastAsia"/>
          <w:bCs/>
          <w:sz w:val="24"/>
          <w:highlight w:val="none"/>
        </w:rPr>
        <w:t>需定期更换过滤材料，根据设备商提供的经验数据，每年更换量约</w:t>
      </w:r>
      <w:r>
        <w:rPr>
          <w:rFonts w:eastAsiaTheme="minorEastAsia"/>
          <w:bCs/>
          <w:sz w:val="24"/>
          <w:highlight w:val="none"/>
        </w:rPr>
        <w:t>2.0t/a</w:t>
      </w:r>
      <w:r>
        <w:rPr>
          <w:rFonts w:hint="eastAsia" w:eastAsiaTheme="minorEastAsia"/>
          <w:bCs/>
          <w:sz w:val="24"/>
          <w:highlight w:val="none"/>
          <w:lang w:eastAsia="zh-CN"/>
        </w:rPr>
        <w:t>，密封袋装暂存于危险废物贮存库中，定期交由有资质单位处置</w:t>
      </w:r>
      <w:r>
        <w:rPr>
          <w:rFonts w:hint="eastAsia" w:hAnsiTheme="minorEastAsia" w:eastAsiaTheme="minorEastAsia"/>
          <w:bCs/>
          <w:sz w:val="24"/>
          <w:highlight w:val="none"/>
          <w:lang w:val="en-US" w:eastAsia="zh-CN"/>
        </w:rPr>
        <w:t>。</w:t>
      </w:r>
    </w:p>
    <w:p w14:paraId="35CFBDE4">
      <w:pPr>
        <w:bidi w:val="0"/>
        <w:rPr>
          <w:rFonts w:hint="default"/>
          <w:highlight w:val="none"/>
          <w:lang w:val="en-US" w:eastAsia="zh-CN"/>
        </w:rPr>
      </w:pPr>
      <w:r>
        <w:rPr>
          <w:rFonts w:hint="eastAsia"/>
          <w:highlight w:val="none"/>
          <w:lang w:val="en-US" w:eastAsia="zh-CN"/>
        </w:rPr>
        <w:t>（3）废活性炭（类别：HW49，代码：900-039-49）</w:t>
      </w:r>
    </w:p>
    <w:p w14:paraId="43DF2627">
      <w:pPr>
        <w:bidi w:val="0"/>
        <w:rPr>
          <w:rFonts w:hint="default"/>
          <w:highlight w:val="none"/>
          <w:lang w:val="en-US" w:eastAsia="zh-CN"/>
        </w:rPr>
      </w:pPr>
      <w:r>
        <w:rPr>
          <w:rFonts w:hint="eastAsia"/>
          <w:highlight w:val="none"/>
          <w:lang w:val="en-US" w:eastAsia="zh-CN"/>
        </w:rPr>
        <w:t>根据</w:t>
      </w:r>
      <w:r>
        <w:rPr>
          <w:rFonts w:hint="eastAsia"/>
          <w:highlight w:val="none"/>
        </w:rPr>
        <w:t>《简明通风设计手册》活性炭有效吸附量qe=0.24kg/kg活性炭</w:t>
      </w:r>
      <w:r>
        <w:rPr>
          <w:rFonts w:hint="eastAsia"/>
          <w:highlight w:val="none"/>
          <w:lang w:val="en-US" w:eastAsia="zh-CN"/>
        </w:rPr>
        <w:t>计算</w:t>
      </w:r>
      <w:r>
        <w:rPr>
          <w:rFonts w:hint="eastAsia"/>
          <w:highlight w:val="none"/>
          <w:lang w:eastAsia="zh-CN"/>
        </w:rPr>
        <w:t>，</w:t>
      </w:r>
      <w:r>
        <w:rPr>
          <w:rFonts w:hint="eastAsia"/>
          <w:highlight w:val="none"/>
        </w:rPr>
        <w:t>本项目</w:t>
      </w:r>
      <w:r>
        <w:rPr>
          <w:rFonts w:hint="eastAsia"/>
          <w:highlight w:val="none"/>
          <w:lang w:val="en-US" w:eastAsia="zh-CN"/>
        </w:rPr>
        <w:t>活性炭吸附废气总量为6.151t/a，则</w:t>
      </w:r>
      <w:r>
        <w:rPr>
          <w:rFonts w:hint="eastAsia"/>
          <w:highlight w:val="none"/>
        </w:rPr>
        <w:t>有机废气治理产生的废活性炭产生量为</w:t>
      </w:r>
      <w:r>
        <w:rPr>
          <w:rFonts w:hint="eastAsia"/>
          <w:highlight w:val="none"/>
          <w:lang w:val="en-US" w:eastAsia="zh-CN"/>
        </w:rPr>
        <w:t>31.781</w:t>
      </w:r>
      <w:r>
        <w:rPr>
          <w:rFonts w:hint="eastAsia"/>
          <w:highlight w:val="none"/>
        </w:rPr>
        <w:t>t/a，</w:t>
      </w:r>
      <w:r>
        <w:rPr>
          <w:rFonts w:hint="eastAsia"/>
          <w:highlight w:val="none"/>
          <w:lang w:val="en-US" w:eastAsia="zh-CN"/>
        </w:rPr>
        <w:t>活性炭每季度更换一次，袋装密封收集</w:t>
      </w:r>
      <w:r>
        <w:rPr>
          <w:rFonts w:hint="eastAsia"/>
          <w:highlight w:val="none"/>
        </w:rPr>
        <w:t>，</w:t>
      </w:r>
      <w:r>
        <w:rPr>
          <w:rFonts w:hint="eastAsia"/>
          <w:highlight w:val="none"/>
          <w:lang w:val="en-US" w:eastAsia="zh-CN"/>
        </w:rPr>
        <w:t>暂存在危险废物贮存库，交有资质单位处置处理</w:t>
      </w:r>
      <w:r>
        <w:rPr>
          <w:rFonts w:hint="eastAsia"/>
          <w:highlight w:val="none"/>
        </w:rPr>
        <w:t>。</w:t>
      </w:r>
    </w:p>
    <w:p w14:paraId="40D2A11B">
      <w:pPr>
        <w:bidi w:val="0"/>
        <w:rPr>
          <w:rFonts w:hint="eastAsia"/>
          <w:highlight w:val="none"/>
          <w:lang w:val="en-US" w:eastAsia="zh-CN"/>
        </w:rPr>
      </w:pPr>
      <w:r>
        <w:rPr>
          <w:rFonts w:hint="eastAsia"/>
          <w:highlight w:val="none"/>
          <w:lang w:val="en-US" w:eastAsia="zh-CN"/>
        </w:rPr>
        <w:t>（4）废液（类别：HW08，代码：900-249-08、类别：HW09，代码900-007-09）</w:t>
      </w:r>
    </w:p>
    <w:p w14:paraId="1EE655F9">
      <w:pPr>
        <w:bidi w:val="0"/>
        <w:rPr>
          <w:highlight w:val="none"/>
        </w:rPr>
      </w:pPr>
      <w:r>
        <w:rPr>
          <w:rFonts w:hint="eastAsia"/>
          <w:highlight w:val="none"/>
          <w:lang w:val="en-US" w:eastAsia="zh-CN"/>
        </w:rPr>
        <w:t>根据前文物料平衡计算，含油金属屑甩干</w:t>
      </w:r>
      <w:r>
        <w:rPr>
          <w:highlight w:val="none"/>
        </w:rPr>
        <w:t>产生的废油量约</w:t>
      </w:r>
      <w:r>
        <w:rPr>
          <w:rFonts w:hint="eastAsia"/>
          <w:highlight w:val="none"/>
          <w:lang w:val="en-US" w:eastAsia="zh-CN"/>
        </w:rPr>
        <w:t>503.2</w:t>
      </w:r>
      <w:r>
        <w:rPr>
          <w:highlight w:val="none"/>
        </w:rPr>
        <w:t>t/a</w:t>
      </w:r>
      <w:r>
        <w:rPr>
          <w:rFonts w:hint="eastAsia"/>
          <w:highlight w:val="none"/>
          <w:lang w:eastAsia="zh-CN"/>
        </w:rPr>
        <w:t>，</w:t>
      </w:r>
      <w:r>
        <w:rPr>
          <w:rFonts w:hint="eastAsia"/>
          <w:highlight w:val="none"/>
          <w:lang w:val="en-US" w:eastAsia="zh-CN"/>
        </w:rPr>
        <w:t>密封桶装收集，暂存在危险废物贮存库，交有资质单位处理。</w:t>
      </w:r>
      <w:bookmarkStart w:id="258" w:name="_Hlk94115631"/>
    </w:p>
    <w:p w14:paraId="27F2D1BD">
      <w:pPr>
        <w:bidi w:val="0"/>
        <w:rPr>
          <w:rFonts w:hint="default"/>
          <w:highlight w:val="none"/>
          <w:lang w:val="en-US" w:eastAsia="zh-CN"/>
        </w:rPr>
      </w:pPr>
      <w:r>
        <w:rPr>
          <w:rFonts w:hint="eastAsia"/>
          <w:highlight w:val="none"/>
          <w:lang w:val="en-US" w:eastAsia="zh-CN"/>
        </w:rPr>
        <w:t>（5）脱油铁屑（</w:t>
      </w:r>
      <w:r>
        <w:rPr>
          <w:rFonts w:hint="eastAsia"/>
          <w:lang w:val="en-US" w:eastAsia="zh-CN"/>
        </w:rPr>
        <w:t>类别</w:t>
      </w:r>
      <w:r>
        <w:rPr>
          <w:rFonts w:hint="default"/>
          <w:lang w:val="en-US" w:eastAsia="zh-CN"/>
        </w:rPr>
        <w:t>HW08</w:t>
      </w:r>
      <w:r>
        <w:rPr>
          <w:rFonts w:hint="eastAsia"/>
          <w:lang w:val="en-US" w:eastAsia="zh-CN"/>
        </w:rPr>
        <w:t>，代码</w:t>
      </w:r>
      <w:r>
        <w:rPr>
          <w:rFonts w:hint="default"/>
          <w:lang w:val="en-US" w:eastAsia="zh-CN"/>
        </w:rPr>
        <w:t>900-200-08</w:t>
      </w:r>
      <w:r>
        <w:rPr>
          <w:rFonts w:hint="eastAsia"/>
          <w:lang w:val="en-US" w:eastAsia="zh-CN"/>
        </w:rPr>
        <w:t>、类别</w:t>
      </w:r>
      <w:r>
        <w:rPr>
          <w:rFonts w:hint="default"/>
          <w:lang w:val="en-US" w:eastAsia="zh-CN"/>
        </w:rPr>
        <w:t>HW09</w:t>
      </w:r>
      <w:r>
        <w:rPr>
          <w:rFonts w:hint="eastAsia"/>
          <w:lang w:val="en-US" w:eastAsia="zh-CN"/>
        </w:rPr>
        <w:t>，代码</w:t>
      </w:r>
      <w:r>
        <w:rPr>
          <w:rFonts w:hint="default"/>
          <w:lang w:val="en-US" w:eastAsia="zh-CN"/>
        </w:rPr>
        <w:t>900-006-09</w:t>
      </w:r>
      <w:r>
        <w:rPr>
          <w:rFonts w:hint="eastAsia"/>
          <w:highlight w:val="none"/>
          <w:lang w:val="en-US" w:eastAsia="zh-CN"/>
        </w:rPr>
        <w:t>）</w:t>
      </w:r>
    </w:p>
    <w:p w14:paraId="45026E11">
      <w:pPr>
        <w:bidi w:val="0"/>
        <w:rPr>
          <w:rFonts w:hint="eastAsia"/>
          <w:color w:val="000000" w:themeColor="text1"/>
          <w:highlight w:val="none"/>
          <w:lang w:val="en-US" w:eastAsia="zh-CN"/>
          <w14:textFill>
            <w14:solidFill>
              <w14:schemeClr w14:val="tx1"/>
            </w14:solidFill>
          </w14:textFill>
        </w:rPr>
      </w:pPr>
      <w:r>
        <w:rPr>
          <w:rFonts w:hint="eastAsia"/>
          <w:highlight w:val="none"/>
          <w:lang w:val="en-US" w:eastAsia="zh-CN"/>
        </w:rPr>
        <w:t>根据前文物料平衡计算，脱油后铁屑</w:t>
      </w:r>
      <w:r>
        <w:rPr>
          <w:highlight w:val="none"/>
        </w:rPr>
        <w:t>量约</w:t>
      </w:r>
      <w:r>
        <w:rPr>
          <w:rFonts w:hint="eastAsia"/>
          <w:highlight w:val="none"/>
          <w:lang w:val="en-US" w:eastAsia="zh-CN"/>
        </w:rPr>
        <w:t>5400</w:t>
      </w:r>
      <w:r>
        <w:rPr>
          <w:highlight w:val="none"/>
        </w:rPr>
        <w:t>t/a</w:t>
      </w:r>
      <w:r>
        <w:rPr>
          <w:rFonts w:hint="eastAsia"/>
          <w:highlight w:val="none"/>
          <w:lang w:eastAsia="zh-CN"/>
        </w:rPr>
        <w:t>，</w:t>
      </w:r>
      <w:r>
        <w:rPr>
          <w:rFonts w:hint="eastAsia"/>
          <w:highlight w:val="none"/>
          <w:lang w:val="en-US" w:eastAsia="zh-CN"/>
        </w:rPr>
        <w:t>密封袋装收集，暂存在成品贮存区，交有资质单位处理</w:t>
      </w:r>
      <w:r>
        <w:rPr>
          <w:rFonts w:hint="eastAsia"/>
          <w:color w:val="000000" w:themeColor="text1"/>
          <w:highlight w:val="none"/>
          <w:lang w:val="en-US" w:eastAsia="zh-CN"/>
          <w14:textFill>
            <w14:solidFill>
              <w14:schemeClr w14:val="tx1"/>
            </w14:solidFill>
          </w14:textFill>
        </w:rPr>
        <w:t>。</w:t>
      </w:r>
    </w:p>
    <w:p w14:paraId="7B1272EA">
      <w:pPr>
        <w:bidi w:val="0"/>
        <w:rPr>
          <w:rFonts w:hint="eastAsia"/>
          <w:lang w:val="en-US" w:eastAsia="zh-CN"/>
        </w:rPr>
      </w:pPr>
      <w:r>
        <w:rPr>
          <w:rFonts w:hint="eastAsia"/>
          <w:lang w:val="en-US" w:eastAsia="zh-CN"/>
        </w:rPr>
        <w:t>（6）脱油铝屑（类别</w:t>
      </w:r>
      <w:r>
        <w:rPr>
          <w:rFonts w:hint="default"/>
          <w:lang w:val="en-US" w:eastAsia="zh-CN"/>
        </w:rPr>
        <w:t>HW09</w:t>
      </w:r>
      <w:r>
        <w:rPr>
          <w:rFonts w:hint="eastAsia"/>
          <w:lang w:val="en-US" w:eastAsia="zh-CN"/>
        </w:rPr>
        <w:t>，代码</w:t>
      </w:r>
      <w:r>
        <w:rPr>
          <w:rFonts w:hint="default"/>
          <w:lang w:val="en-US" w:eastAsia="zh-CN"/>
        </w:rPr>
        <w:t>900-006-09</w:t>
      </w:r>
      <w:r>
        <w:rPr>
          <w:rFonts w:hint="eastAsia"/>
          <w:lang w:val="en-US" w:eastAsia="zh-CN"/>
        </w:rPr>
        <w:t>）</w:t>
      </w:r>
    </w:p>
    <w:p w14:paraId="2B3C467A">
      <w:pPr>
        <w:bidi w:val="0"/>
        <w:rPr>
          <w:rFonts w:hint="eastAsia"/>
          <w:color w:val="000000" w:themeColor="text1"/>
          <w:highlight w:val="none"/>
          <w:lang w:val="en-US" w:eastAsia="zh-CN"/>
          <w14:textFill>
            <w14:solidFill>
              <w14:schemeClr w14:val="tx1"/>
            </w14:solidFill>
          </w14:textFill>
        </w:rPr>
      </w:pPr>
      <w:r>
        <w:rPr>
          <w:rFonts w:hint="eastAsia"/>
          <w:highlight w:val="none"/>
          <w:lang w:val="en-US" w:eastAsia="zh-CN"/>
        </w:rPr>
        <w:t>根据前文物料平衡计算，脱油后铝屑</w:t>
      </w:r>
      <w:r>
        <w:rPr>
          <w:highlight w:val="none"/>
        </w:rPr>
        <w:t>量约</w:t>
      </w:r>
      <w:r>
        <w:rPr>
          <w:rFonts w:hint="eastAsia"/>
          <w:highlight w:val="none"/>
          <w:lang w:val="en-US" w:eastAsia="zh-CN"/>
        </w:rPr>
        <w:t>470</w:t>
      </w:r>
      <w:r>
        <w:rPr>
          <w:highlight w:val="none"/>
        </w:rPr>
        <w:t>t/a</w:t>
      </w:r>
      <w:r>
        <w:rPr>
          <w:rFonts w:hint="eastAsia"/>
          <w:highlight w:val="none"/>
          <w:lang w:eastAsia="zh-CN"/>
        </w:rPr>
        <w:t>，</w:t>
      </w:r>
      <w:r>
        <w:rPr>
          <w:rFonts w:hint="eastAsia"/>
          <w:highlight w:val="none"/>
          <w:lang w:val="en-US" w:eastAsia="zh-CN"/>
        </w:rPr>
        <w:t>密封袋装收集，暂存在成品贮存区，交有资质单位处理</w:t>
      </w:r>
      <w:r>
        <w:rPr>
          <w:rFonts w:hint="eastAsia"/>
          <w:color w:val="000000" w:themeColor="text1"/>
          <w:highlight w:val="none"/>
          <w:lang w:val="en-US" w:eastAsia="zh-CN"/>
          <w14:textFill>
            <w14:solidFill>
              <w14:schemeClr w14:val="tx1"/>
            </w14:solidFill>
          </w14:textFill>
        </w:rPr>
        <w:t>。</w:t>
      </w:r>
    </w:p>
    <w:p w14:paraId="4ED3A136">
      <w:pPr>
        <w:numPr>
          <w:ilvl w:val="0"/>
          <w:numId w:val="10"/>
        </w:numPr>
        <w:bidi w:val="0"/>
        <w:rPr>
          <w:rFonts w:hint="eastAsia"/>
          <w:highlight w:val="none"/>
          <w:lang w:val="en-US" w:eastAsia="zh-CN"/>
        </w:rPr>
      </w:pPr>
      <w:r>
        <w:rPr>
          <w:rFonts w:hint="eastAsia"/>
          <w:color w:val="000000" w:themeColor="text1"/>
          <w:highlight w:val="none"/>
          <w:lang w:val="en-US" w:eastAsia="zh-CN"/>
          <w14:textFill>
            <w14:solidFill>
              <w14:schemeClr w14:val="tx1"/>
            </w14:solidFill>
          </w14:textFill>
        </w:rPr>
        <w:t>废电解液和电池</w:t>
      </w:r>
      <w:r>
        <w:rPr>
          <w:rFonts w:hint="eastAsia"/>
          <w:highlight w:val="none"/>
          <w:lang w:val="en-US" w:eastAsia="zh-CN"/>
        </w:rPr>
        <w:t>（</w:t>
      </w:r>
      <w:r>
        <w:rPr>
          <w:rFonts w:hint="default"/>
          <w:highlight w:val="none"/>
          <w:lang w:val="en-US" w:eastAsia="zh-CN"/>
        </w:rPr>
        <w:t>类别：HW49，代码：900-04</w:t>
      </w:r>
      <w:r>
        <w:rPr>
          <w:rFonts w:hint="eastAsia"/>
          <w:highlight w:val="none"/>
          <w:lang w:val="en-US" w:eastAsia="zh-CN"/>
        </w:rPr>
        <w:t>5</w:t>
      </w:r>
      <w:r>
        <w:rPr>
          <w:rFonts w:hint="default"/>
          <w:highlight w:val="none"/>
          <w:lang w:val="en-US" w:eastAsia="zh-CN"/>
        </w:rPr>
        <w:t>-49</w:t>
      </w:r>
      <w:r>
        <w:rPr>
          <w:rFonts w:hint="eastAsia"/>
          <w:highlight w:val="none"/>
          <w:lang w:val="en-US" w:eastAsia="zh-CN"/>
        </w:rPr>
        <w:t>）</w:t>
      </w:r>
    </w:p>
    <w:p w14:paraId="45BB14C3">
      <w:pPr>
        <w:bidi w:val="0"/>
        <w:rPr>
          <w:rFonts w:hint="default"/>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hint="eastAsia" w:ascii="Times New Roman" w:cs="Times New Roman" w:hAnsiTheme="minorEastAsia" w:eastAsiaTheme="minorEastAsia"/>
          <w:sz w:val="24"/>
          <w:highlight w:val="none"/>
          <w:lang w:val="en-US" w:eastAsia="zh-CN"/>
        </w:rPr>
        <w:t>本项目仅收集贮存完好的锂电池，不收集破损的锂电池，锂电池放于塑料托盘内。运输或贮存过程中出现破损则会泄漏出电解液，新能源汽车锂电池电解液的主要成分为碳酸乙烯酯、六氟磷酸锂。常见的锂电池重量为</w:t>
      </w:r>
      <w:r>
        <w:rPr>
          <w:rFonts w:hint="default" w:ascii="Times New Roman" w:cs="Times New Roman" w:hAnsiTheme="minorEastAsia" w:eastAsiaTheme="minorEastAsia"/>
          <w:sz w:val="24"/>
          <w:highlight w:val="none"/>
          <w:lang w:val="en-US" w:eastAsia="zh-CN"/>
        </w:rPr>
        <w:t>300kg</w:t>
      </w:r>
      <w:r>
        <w:rPr>
          <w:rFonts w:hint="eastAsia" w:ascii="Times New Roman" w:cs="Times New Roman" w:hAnsiTheme="minorEastAsia" w:eastAsiaTheme="minorEastAsia"/>
          <w:sz w:val="24"/>
          <w:highlight w:val="none"/>
          <w:lang w:val="en-US" w:eastAsia="zh-CN"/>
        </w:rPr>
        <w:t>，其中电解液含量约为</w:t>
      </w:r>
      <w:r>
        <w:rPr>
          <w:rFonts w:hint="default" w:ascii="Times New Roman" w:cs="Times New Roman" w:hAnsiTheme="minorEastAsia" w:eastAsiaTheme="minorEastAsia"/>
          <w:sz w:val="24"/>
          <w:highlight w:val="none"/>
          <w:lang w:val="en-US" w:eastAsia="zh-CN"/>
        </w:rPr>
        <w:t>10%</w:t>
      </w:r>
      <w:r>
        <w:rPr>
          <w:rFonts w:hint="eastAsia" w:ascii="Times New Roman" w:cs="Times New Roman" w:hAnsiTheme="minorEastAsia" w:eastAsiaTheme="minorEastAsia"/>
          <w:sz w:val="24"/>
          <w:highlight w:val="none"/>
          <w:lang w:val="en-US" w:eastAsia="zh-CN"/>
        </w:rPr>
        <w:t>，本次评价假设</w:t>
      </w:r>
      <w:r>
        <w:rPr>
          <w:rFonts w:hint="default" w:ascii="Times New Roman" w:cs="Times New Roman" w:hAnsiTheme="minorEastAsia" w:eastAsiaTheme="minorEastAsia"/>
          <w:sz w:val="24"/>
          <w:highlight w:val="none"/>
          <w:lang w:val="en-US" w:eastAsia="zh-CN"/>
        </w:rPr>
        <w:t>10</w:t>
      </w:r>
      <w:r>
        <w:rPr>
          <w:rFonts w:hint="eastAsia" w:ascii="Times New Roman" w:cs="Times New Roman" w:hAnsiTheme="minorEastAsia" w:eastAsiaTheme="minorEastAsia"/>
          <w:sz w:val="24"/>
          <w:highlight w:val="none"/>
          <w:lang w:val="en-US" w:eastAsia="zh-CN"/>
        </w:rPr>
        <w:t>个锂电池在</w:t>
      </w:r>
      <w:r>
        <w:rPr>
          <w:rFonts w:hint="eastAsia" w:cs="Times New Roman" w:hAnsiTheme="minorEastAsia" w:eastAsiaTheme="minorEastAsia"/>
          <w:sz w:val="24"/>
          <w:highlight w:val="none"/>
          <w:lang w:val="en-US" w:eastAsia="zh-CN"/>
        </w:rPr>
        <w:t>收集</w:t>
      </w:r>
      <w:r>
        <w:rPr>
          <w:rFonts w:hint="eastAsia" w:ascii="Times New Roman" w:cs="Times New Roman" w:hAnsiTheme="minorEastAsia" w:eastAsiaTheme="minorEastAsia"/>
          <w:sz w:val="24"/>
          <w:highlight w:val="none"/>
          <w:lang w:val="en-US" w:eastAsia="zh-CN"/>
        </w:rPr>
        <w:t>储存的过程中发生泄漏，则电解液泄漏量为</w:t>
      </w:r>
      <w:r>
        <w:rPr>
          <w:rFonts w:hint="default" w:ascii="Times New Roman" w:cs="Times New Roman" w:hAnsiTheme="minorEastAsia" w:eastAsiaTheme="minorEastAsia"/>
          <w:sz w:val="24"/>
          <w:highlight w:val="none"/>
          <w:lang w:val="en-US" w:eastAsia="zh-CN"/>
        </w:rPr>
        <w:t>0.3t</w:t>
      </w:r>
      <w:r>
        <w:rPr>
          <w:rFonts w:hint="eastAsia" w:ascii="Times New Roman" w:cs="Times New Roman" w:hAnsiTheme="minorEastAsia" w:eastAsiaTheme="minorEastAsia"/>
          <w:sz w:val="24"/>
          <w:highlight w:val="none"/>
          <w:lang w:val="en-US" w:eastAsia="zh-CN"/>
        </w:rPr>
        <w:t>。</w:t>
      </w:r>
    </w:p>
    <w:p w14:paraId="33241B32">
      <w:pPr>
        <w:pStyle w:val="7"/>
        <w:bidi w:val="0"/>
        <w:rPr>
          <w:highlight w:val="none"/>
        </w:rPr>
      </w:pPr>
      <w:r>
        <w:rPr>
          <w:highlight w:val="none"/>
        </w:rPr>
        <w:t>表3-</w:t>
      </w:r>
      <w:r>
        <w:rPr>
          <w:rFonts w:hint="eastAsia"/>
          <w:highlight w:val="none"/>
          <w:lang w:val="en-US" w:eastAsia="zh-CN"/>
        </w:rPr>
        <w:t>3</w:t>
      </w:r>
      <w:r>
        <w:rPr>
          <w:highlight w:val="none"/>
        </w:rPr>
        <w:t>-</w:t>
      </w:r>
      <w:r>
        <w:rPr>
          <w:rFonts w:hint="eastAsia"/>
          <w:highlight w:val="none"/>
          <w:lang w:val="en-US" w:eastAsia="zh-CN"/>
        </w:rPr>
        <w:t>5</w:t>
      </w:r>
      <w:r>
        <w:rPr>
          <w:highlight w:val="none"/>
        </w:rPr>
        <w:t>废气污染源强核算结果及相关参数一览表</w:t>
      </w:r>
    </w:p>
    <w:tbl>
      <w:tblPr>
        <w:tblStyle w:val="741"/>
        <w:tblW w:w="139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53"/>
        <w:gridCol w:w="584"/>
        <w:gridCol w:w="527"/>
        <w:gridCol w:w="727"/>
        <w:gridCol w:w="679"/>
        <w:gridCol w:w="720"/>
        <w:gridCol w:w="665"/>
        <w:gridCol w:w="611"/>
        <w:gridCol w:w="706"/>
        <w:gridCol w:w="711"/>
        <w:gridCol w:w="709"/>
        <w:gridCol w:w="709"/>
        <w:gridCol w:w="634"/>
        <w:gridCol w:w="585"/>
        <w:gridCol w:w="624"/>
        <w:gridCol w:w="567"/>
        <w:gridCol w:w="708"/>
        <w:gridCol w:w="709"/>
        <w:gridCol w:w="572"/>
        <w:gridCol w:w="660"/>
        <w:gridCol w:w="715"/>
      </w:tblGrid>
      <w:tr w14:paraId="05EE9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53" w:type="dxa"/>
            <w:vMerge w:val="restart"/>
            <w:textDirection w:val="tbRlV"/>
            <w:vAlign w:val="center"/>
          </w:tcPr>
          <w:p w14:paraId="12390D15">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工序</w:t>
            </w:r>
          </w:p>
        </w:tc>
        <w:tc>
          <w:tcPr>
            <w:tcW w:w="584" w:type="dxa"/>
            <w:vMerge w:val="restart"/>
            <w:vAlign w:val="center"/>
          </w:tcPr>
          <w:p w14:paraId="04A9C755">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污染源</w:t>
            </w:r>
          </w:p>
        </w:tc>
        <w:tc>
          <w:tcPr>
            <w:tcW w:w="527" w:type="dxa"/>
            <w:vMerge w:val="restart"/>
            <w:vAlign w:val="center"/>
          </w:tcPr>
          <w:p w14:paraId="314D6AF1">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污染物</w:t>
            </w:r>
          </w:p>
        </w:tc>
        <w:tc>
          <w:tcPr>
            <w:tcW w:w="727" w:type="dxa"/>
            <w:vMerge w:val="restart"/>
            <w:vAlign w:val="center"/>
          </w:tcPr>
          <w:p w14:paraId="21F4EF8A">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核算方法</w:t>
            </w:r>
          </w:p>
        </w:tc>
        <w:tc>
          <w:tcPr>
            <w:tcW w:w="2064" w:type="dxa"/>
            <w:gridSpan w:val="3"/>
            <w:vMerge w:val="restart"/>
            <w:vAlign w:val="center"/>
          </w:tcPr>
          <w:p w14:paraId="1A82FEBE">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污染物产生</w:t>
            </w:r>
          </w:p>
        </w:tc>
        <w:tc>
          <w:tcPr>
            <w:tcW w:w="2028" w:type="dxa"/>
            <w:gridSpan w:val="3"/>
            <w:vMerge w:val="restart"/>
            <w:vAlign w:val="center"/>
          </w:tcPr>
          <w:p w14:paraId="75DBC98C">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治理措施</w:t>
            </w:r>
          </w:p>
        </w:tc>
        <w:tc>
          <w:tcPr>
            <w:tcW w:w="7192" w:type="dxa"/>
            <w:gridSpan w:val="11"/>
            <w:vAlign w:val="center"/>
          </w:tcPr>
          <w:p w14:paraId="3DA60900">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污染物排放</w:t>
            </w:r>
          </w:p>
        </w:tc>
      </w:tr>
      <w:tr w14:paraId="3DB4B7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7" w:hRule="atLeast"/>
          <w:jc w:val="center"/>
        </w:trPr>
        <w:tc>
          <w:tcPr>
            <w:tcW w:w="853" w:type="dxa"/>
            <w:vMerge w:val="continue"/>
            <w:textDirection w:val="tbRlV"/>
            <w:vAlign w:val="center"/>
          </w:tcPr>
          <w:p w14:paraId="001B5F32">
            <w:pPr>
              <w:pStyle w:val="8"/>
              <w:suppressLineNumbers w:val="0"/>
              <w:bidi w:val="0"/>
              <w:spacing w:before="0" w:beforeAutospacing="0" w:after="0" w:afterAutospacing="0"/>
              <w:ind w:left="0" w:right="0"/>
              <w:rPr>
                <w:rFonts w:hint="default"/>
                <w:snapToGrid w:val="0"/>
                <w:highlight w:val="none"/>
              </w:rPr>
            </w:pPr>
          </w:p>
        </w:tc>
        <w:tc>
          <w:tcPr>
            <w:tcW w:w="584" w:type="dxa"/>
            <w:vMerge w:val="continue"/>
            <w:vAlign w:val="center"/>
          </w:tcPr>
          <w:p w14:paraId="14DFDD4F">
            <w:pPr>
              <w:pStyle w:val="8"/>
              <w:suppressLineNumbers w:val="0"/>
              <w:bidi w:val="0"/>
              <w:spacing w:before="0" w:beforeAutospacing="0" w:after="0" w:afterAutospacing="0"/>
              <w:ind w:left="0" w:right="0"/>
              <w:rPr>
                <w:rFonts w:hint="default"/>
                <w:snapToGrid w:val="0"/>
                <w:highlight w:val="none"/>
              </w:rPr>
            </w:pPr>
          </w:p>
        </w:tc>
        <w:tc>
          <w:tcPr>
            <w:tcW w:w="527" w:type="dxa"/>
            <w:vMerge w:val="continue"/>
            <w:vAlign w:val="center"/>
          </w:tcPr>
          <w:p w14:paraId="3A505084">
            <w:pPr>
              <w:pStyle w:val="8"/>
              <w:suppressLineNumbers w:val="0"/>
              <w:bidi w:val="0"/>
              <w:spacing w:before="0" w:beforeAutospacing="0" w:after="0" w:afterAutospacing="0"/>
              <w:ind w:left="0" w:right="0"/>
              <w:rPr>
                <w:rFonts w:hint="default"/>
                <w:snapToGrid w:val="0"/>
                <w:highlight w:val="none"/>
              </w:rPr>
            </w:pPr>
          </w:p>
        </w:tc>
        <w:tc>
          <w:tcPr>
            <w:tcW w:w="727" w:type="dxa"/>
            <w:vMerge w:val="continue"/>
            <w:vAlign w:val="center"/>
          </w:tcPr>
          <w:p w14:paraId="7CE1560F">
            <w:pPr>
              <w:pStyle w:val="8"/>
              <w:suppressLineNumbers w:val="0"/>
              <w:bidi w:val="0"/>
              <w:spacing w:before="0" w:beforeAutospacing="0" w:after="0" w:afterAutospacing="0"/>
              <w:ind w:left="0" w:right="0"/>
              <w:rPr>
                <w:rFonts w:hint="default"/>
                <w:snapToGrid w:val="0"/>
                <w:highlight w:val="none"/>
              </w:rPr>
            </w:pPr>
          </w:p>
        </w:tc>
        <w:tc>
          <w:tcPr>
            <w:tcW w:w="2064" w:type="dxa"/>
            <w:gridSpan w:val="3"/>
            <w:vMerge w:val="continue"/>
            <w:vAlign w:val="center"/>
          </w:tcPr>
          <w:p w14:paraId="1051BA33">
            <w:pPr>
              <w:pStyle w:val="8"/>
              <w:suppressLineNumbers w:val="0"/>
              <w:bidi w:val="0"/>
              <w:spacing w:before="0" w:beforeAutospacing="0" w:after="0" w:afterAutospacing="0"/>
              <w:ind w:left="0" w:right="0"/>
              <w:rPr>
                <w:rFonts w:hint="default"/>
                <w:snapToGrid w:val="0"/>
                <w:highlight w:val="none"/>
              </w:rPr>
            </w:pPr>
          </w:p>
        </w:tc>
        <w:tc>
          <w:tcPr>
            <w:tcW w:w="2028" w:type="dxa"/>
            <w:gridSpan w:val="3"/>
            <w:vMerge w:val="continue"/>
            <w:vAlign w:val="center"/>
          </w:tcPr>
          <w:p w14:paraId="29BC8CE4">
            <w:pPr>
              <w:pStyle w:val="8"/>
              <w:suppressLineNumbers w:val="0"/>
              <w:bidi w:val="0"/>
              <w:spacing w:before="0" w:beforeAutospacing="0" w:after="0" w:afterAutospacing="0"/>
              <w:ind w:left="0" w:right="0"/>
              <w:rPr>
                <w:rFonts w:hint="default"/>
                <w:snapToGrid w:val="0"/>
                <w:highlight w:val="none"/>
              </w:rPr>
            </w:pPr>
          </w:p>
        </w:tc>
        <w:tc>
          <w:tcPr>
            <w:tcW w:w="2637" w:type="dxa"/>
            <w:gridSpan w:val="4"/>
            <w:vAlign w:val="center"/>
          </w:tcPr>
          <w:p w14:paraId="01E345AE">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有组织</w:t>
            </w:r>
          </w:p>
        </w:tc>
        <w:tc>
          <w:tcPr>
            <w:tcW w:w="1191" w:type="dxa"/>
            <w:gridSpan w:val="2"/>
            <w:vAlign w:val="center"/>
          </w:tcPr>
          <w:p w14:paraId="64F09FA2">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无组织</w:t>
            </w:r>
          </w:p>
        </w:tc>
        <w:tc>
          <w:tcPr>
            <w:tcW w:w="708" w:type="dxa"/>
            <w:vMerge w:val="restart"/>
            <w:vAlign w:val="center"/>
          </w:tcPr>
          <w:p w14:paraId="010FB406">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排放时间</w:t>
            </w:r>
          </w:p>
        </w:tc>
        <w:tc>
          <w:tcPr>
            <w:tcW w:w="1941" w:type="dxa"/>
            <w:gridSpan w:val="3"/>
            <w:vAlign w:val="center"/>
          </w:tcPr>
          <w:p w14:paraId="229348CC">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排气筒</w:t>
            </w:r>
          </w:p>
        </w:tc>
        <w:tc>
          <w:tcPr>
            <w:tcW w:w="715" w:type="dxa"/>
            <w:vMerge w:val="restart"/>
            <w:vAlign w:val="center"/>
          </w:tcPr>
          <w:p w14:paraId="47427198">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排放</w:t>
            </w:r>
          </w:p>
          <w:p w14:paraId="7FC1A694">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口类</w:t>
            </w:r>
          </w:p>
          <w:p w14:paraId="568C2A00">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型</w:t>
            </w:r>
          </w:p>
        </w:tc>
      </w:tr>
      <w:tr w14:paraId="4B41F1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853" w:type="dxa"/>
            <w:vMerge w:val="continue"/>
            <w:textDirection w:val="tbRlV"/>
            <w:vAlign w:val="center"/>
          </w:tcPr>
          <w:p w14:paraId="505A5347">
            <w:pPr>
              <w:pStyle w:val="8"/>
              <w:suppressLineNumbers w:val="0"/>
              <w:bidi w:val="0"/>
              <w:spacing w:before="0" w:beforeAutospacing="0" w:after="0" w:afterAutospacing="0"/>
              <w:ind w:left="0" w:right="0"/>
              <w:rPr>
                <w:rFonts w:hint="default"/>
                <w:snapToGrid w:val="0"/>
                <w:highlight w:val="none"/>
              </w:rPr>
            </w:pPr>
          </w:p>
        </w:tc>
        <w:tc>
          <w:tcPr>
            <w:tcW w:w="584" w:type="dxa"/>
            <w:vMerge w:val="continue"/>
            <w:vAlign w:val="center"/>
          </w:tcPr>
          <w:p w14:paraId="40A542F6">
            <w:pPr>
              <w:pStyle w:val="8"/>
              <w:suppressLineNumbers w:val="0"/>
              <w:bidi w:val="0"/>
              <w:spacing w:before="0" w:beforeAutospacing="0" w:after="0" w:afterAutospacing="0"/>
              <w:ind w:left="0" w:right="0"/>
              <w:rPr>
                <w:rFonts w:hint="default"/>
                <w:snapToGrid w:val="0"/>
                <w:highlight w:val="none"/>
              </w:rPr>
            </w:pPr>
          </w:p>
        </w:tc>
        <w:tc>
          <w:tcPr>
            <w:tcW w:w="527" w:type="dxa"/>
            <w:vMerge w:val="continue"/>
            <w:vAlign w:val="center"/>
          </w:tcPr>
          <w:p w14:paraId="7B2EF221">
            <w:pPr>
              <w:pStyle w:val="8"/>
              <w:suppressLineNumbers w:val="0"/>
              <w:bidi w:val="0"/>
              <w:spacing w:before="0" w:beforeAutospacing="0" w:after="0" w:afterAutospacing="0"/>
              <w:ind w:left="0" w:right="0"/>
              <w:rPr>
                <w:rFonts w:hint="default"/>
                <w:snapToGrid w:val="0"/>
                <w:highlight w:val="none"/>
              </w:rPr>
            </w:pPr>
          </w:p>
        </w:tc>
        <w:tc>
          <w:tcPr>
            <w:tcW w:w="727" w:type="dxa"/>
            <w:vMerge w:val="continue"/>
            <w:vAlign w:val="center"/>
          </w:tcPr>
          <w:p w14:paraId="6E0F351E">
            <w:pPr>
              <w:pStyle w:val="8"/>
              <w:suppressLineNumbers w:val="0"/>
              <w:bidi w:val="0"/>
              <w:spacing w:before="0" w:beforeAutospacing="0" w:after="0" w:afterAutospacing="0"/>
              <w:ind w:left="0" w:right="0"/>
              <w:rPr>
                <w:rFonts w:hint="default"/>
                <w:snapToGrid w:val="0"/>
                <w:highlight w:val="none"/>
              </w:rPr>
            </w:pPr>
          </w:p>
        </w:tc>
        <w:tc>
          <w:tcPr>
            <w:tcW w:w="679" w:type="dxa"/>
            <w:vMerge w:val="restart"/>
            <w:vAlign w:val="center"/>
          </w:tcPr>
          <w:p w14:paraId="20A10FFF">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废气产生量（m</w:t>
            </w:r>
            <w:r>
              <w:rPr>
                <w:rFonts w:hint="default"/>
                <w:snapToGrid w:val="0"/>
                <w:highlight w:val="none"/>
                <w:vertAlign w:val="superscript"/>
              </w:rPr>
              <w:t>3</w:t>
            </w:r>
            <w:r>
              <w:rPr>
                <w:rFonts w:hint="default"/>
                <w:snapToGrid w:val="0"/>
                <w:highlight w:val="none"/>
              </w:rPr>
              <w:t>/h）</w:t>
            </w:r>
          </w:p>
        </w:tc>
        <w:tc>
          <w:tcPr>
            <w:tcW w:w="720" w:type="dxa"/>
            <w:vMerge w:val="restart"/>
            <w:vAlign w:val="center"/>
          </w:tcPr>
          <w:p w14:paraId="76E98318">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产生质量浓度（mg/m³）</w:t>
            </w:r>
          </w:p>
        </w:tc>
        <w:tc>
          <w:tcPr>
            <w:tcW w:w="665" w:type="dxa"/>
            <w:vMerge w:val="restart"/>
            <w:vAlign w:val="center"/>
          </w:tcPr>
          <w:p w14:paraId="73D4953E">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产生</w:t>
            </w:r>
          </w:p>
          <w:p w14:paraId="03FBE856">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量（kg/h）</w:t>
            </w:r>
          </w:p>
        </w:tc>
        <w:tc>
          <w:tcPr>
            <w:tcW w:w="611" w:type="dxa"/>
            <w:vMerge w:val="restart"/>
            <w:vAlign w:val="center"/>
          </w:tcPr>
          <w:p w14:paraId="40D1046E">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收集效率（%）</w:t>
            </w:r>
          </w:p>
        </w:tc>
        <w:tc>
          <w:tcPr>
            <w:tcW w:w="706" w:type="dxa"/>
            <w:vMerge w:val="restart"/>
            <w:vAlign w:val="center"/>
          </w:tcPr>
          <w:p w14:paraId="7B942F0B">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治理</w:t>
            </w:r>
          </w:p>
          <w:p w14:paraId="3FAF6899">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工艺</w:t>
            </w:r>
          </w:p>
        </w:tc>
        <w:tc>
          <w:tcPr>
            <w:tcW w:w="711" w:type="dxa"/>
            <w:vMerge w:val="restart"/>
            <w:vAlign w:val="center"/>
          </w:tcPr>
          <w:p w14:paraId="2E251EE5">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去除效率（%）</w:t>
            </w:r>
          </w:p>
        </w:tc>
        <w:tc>
          <w:tcPr>
            <w:tcW w:w="709" w:type="dxa"/>
            <w:vMerge w:val="restart"/>
            <w:vAlign w:val="center"/>
          </w:tcPr>
          <w:p w14:paraId="0C46A12D">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废气排放量（m</w:t>
            </w:r>
            <w:r>
              <w:rPr>
                <w:rFonts w:hint="default"/>
                <w:snapToGrid w:val="0"/>
                <w:highlight w:val="none"/>
                <w:vertAlign w:val="superscript"/>
              </w:rPr>
              <w:t>3</w:t>
            </w:r>
            <w:r>
              <w:rPr>
                <w:rFonts w:hint="default"/>
                <w:snapToGrid w:val="0"/>
                <w:highlight w:val="none"/>
              </w:rPr>
              <w:t>/h）</w:t>
            </w:r>
          </w:p>
        </w:tc>
        <w:tc>
          <w:tcPr>
            <w:tcW w:w="709" w:type="dxa"/>
            <w:vMerge w:val="restart"/>
            <w:vAlign w:val="center"/>
          </w:tcPr>
          <w:p w14:paraId="45E803A3">
            <w:pPr>
              <w:pStyle w:val="8"/>
              <w:suppressLineNumbers w:val="0"/>
              <w:bidi w:val="0"/>
              <w:spacing w:before="0" w:beforeAutospacing="0" w:after="0" w:afterAutospacing="0"/>
              <w:ind w:left="0" w:right="0"/>
              <w:rPr>
                <w:rFonts w:hint="default"/>
                <w:snapToGrid w:val="0"/>
                <w:highlight w:val="none"/>
              </w:rPr>
            </w:pPr>
            <w:r>
              <w:rPr>
                <w:rFonts w:hint="eastAsia"/>
                <w:snapToGrid w:val="0"/>
                <w:highlight w:val="none"/>
                <w:lang w:val="en-US" w:eastAsia="zh-CN"/>
              </w:rPr>
              <w:t>排放</w:t>
            </w:r>
            <w:r>
              <w:rPr>
                <w:rFonts w:hint="default"/>
                <w:snapToGrid w:val="0"/>
                <w:highlight w:val="none"/>
              </w:rPr>
              <w:t>质量浓度（mg/m³）</w:t>
            </w:r>
          </w:p>
        </w:tc>
        <w:tc>
          <w:tcPr>
            <w:tcW w:w="1219" w:type="dxa"/>
            <w:gridSpan w:val="2"/>
            <w:vAlign w:val="center"/>
          </w:tcPr>
          <w:p w14:paraId="04CA3294">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排放量</w:t>
            </w:r>
          </w:p>
        </w:tc>
        <w:tc>
          <w:tcPr>
            <w:tcW w:w="1191" w:type="dxa"/>
            <w:gridSpan w:val="2"/>
            <w:vAlign w:val="center"/>
          </w:tcPr>
          <w:p w14:paraId="0E006E8F">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排放量</w:t>
            </w:r>
          </w:p>
        </w:tc>
        <w:tc>
          <w:tcPr>
            <w:tcW w:w="708" w:type="dxa"/>
            <w:vMerge w:val="continue"/>
            <w:vAlign w:val="center"/>
          </w:tcPr>
          <w:p w14:paraId="136CD4D3">
            <w:pPr>
              <w:pStyle w:val="8"/>
              <w:suppressLineNumbers w:val="0"/>
              <w:bidi w:val="0"/>
              <w:spacing w:before="0" w:beforeAutospacing="0" w:after="0" w:afterAutospacing="0"/>
              <w:ind w:left="0" w:right="0"/>
              <w:rPr>
                <w:rFonts w:hint="default"/>
                <w:snapToGrid w:val="0"/>
                <w:highlight w:val="none"/>
              </w:rPr>
            </w:pPr>
          </w:p>
        </w:tc>
        <w:tc>
          <w:tcPr>
            <w:tcW w:w="709" w:type="dxa"/>
            <w:vAlign w:val="center"/>
          </w:tcPr>
          <w:p w14:paraId="5C04CDC1">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高度</w:t>
            </w:r>
          </w:p>
        </w:tc>
        <w:tc>
          <w:tcPr>
            <w:tcW w:w="572" w:type="dxa"/>
            <w:vAlign w:val="center"/>
          </w:tcPr>
          <w:p w14:paraId="09567CC5">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直径</w:t>
            </w:r>
          </w:p>
        </w:tc>
        <w:tc>
          <w:tcPr>
            <w:tcW w:w="660" w:type="dxa"/>
            <w:vAlign w:val="center"/>
          </w:tcPr>
          <w:p w14:paraId="5B96EE87">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温度</w:t>
            </w:r>
          </w:p>
        </w:tc>
        <w:tc>
          <w:tcPr>
            <w:tcW w:w="715" w:type="dxa"/>
            <w:vMerge w:val="continue"/>
            <w:vAlign w:val="center"/>
          </w:tcPr>
          <w:p w14:paraId="5B500D07">
            <w:pPr>
              <w:pStyle w:val="8"/>
              <w:suppressLineNumbers w:val="0"/>
              <w:bidi w:val="0"/>
              <w:spacing w:before="0" w:beforeAutospacing="0" w:after="0" w:afterAutospacing="0"/>
              <w:ind w:left="0" w:right="0"/>
              <w:rPr>
                <w:rFonts w:hint="default"/>
                <w:snapToGrid w:val="0"/>
                <w:highlight w:val="none"/>
              </w:rPr>
            </w:pPr>
          </w:p>
        </w:tc>
      </w:tr>
      <w:tr w14:paraId="0A2185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853" w:type="dxa"/>
            <w:vMerge w:val="continue"/>
            <w:textDirection w:val="tbRlV"/>
            <w:vAlign w:val="center"/>
          </w:tcPr>
          <w:p w14:paraId="60890255">
            <w:pPr>
              <w:pStyle w:val="8"/>
              <w:suppressLineNumbers w:val="0"/>
              <w:bidi w:val="0"/>
              <w:spacing w:before="0" w:beforeAutospacing="0" w:after="0" w:afterAutospacing="0"/>
              <w:ind w:left="0" w:right="0"/>
              <w:rPr>
                <w:rFonts w:hint="default"/>
                <w:snapToGrid w:val="0"/>
                <w:highlight w:val="none"/>
              </w:rPr>
            </w:pPr>
          </w:p>
        </w:tc>
        <w:tc>
          <w:tcPr>
            <w:tcW w:w="584" w:type="dxa"/>
            <w:vMerge w:val="continue"/>
            <w:vAlign w:val="center"/>
          </w:tcPr>
          <w:p w14:paraId="5AC98385">
            <w:pPr>
              <w:pStyle w:val="8"/>
              <w:suppressLineNumbers w:val="0"/>
              <w:bidi w:val="0"/>
              <w:spacing w:before="0" w:beforeAutospacing="0" w:after="0" w:afterAutospacing="0"/>
              <w:ind w:left="0" w:right="0"/>
              <w:rPr>
                <w:rFonts w:hint="default"/>
                <w:snapToGrid w:val="0"/>
                <w:highlight w:val="none"/>
              </w:rPr>
            </w:pPr>
          </w:p>
        </w:tc>
        <w:tc>
          <w:tcPr>
            <w:tcW w:w="527" w:type="dxa"/>
            <w:vMerge w:val="continue"/>
            <w:vAlign w:val="center"/>
          </w:tcPr>
          <w:p w14:paraId="1359C244">
            <w:pPr>
              <w:pStyle w:val="8"/>
              <w:suppressLineNumbers w:val="0"/>
              <w:bidi w:val="0"/>
              <w:spacing w:before="0" w:beforeAutospacing="0" w:after="0" w:afterAutospacing="0"/>
              <w:ind w:left="0" w:right="0"/>
              <w:rPr>
                <w:rFonts w:hint="default"/>
                <w:snapToGrid w:val="0"/>
                <w:highlight w:val="none"/>
              </w:rPr>
            </w:pPr>
          </w:p>
        </w:tc>
        <w:tc>
          <w:tcPr>
            <w:tcW w:w="727" w:type="dxa"/>
            <w:vMerge w:val="continue"/>
            <w:vAlign w:val="center"/>
          </w:tcPr>
          <w:p w14:paraId="48EBE17E">
            <w:pPr>
              <w:pStyle w:val="8"/>
              <w:suppressLineNumbers w:val="0"/>
              <w:bidi w:val="0"/>
              <w:spacing w:before="0" w:beforeAutospacing="0" w:after="0" w:afterAutospacing="0"/>
              <w:ind w:left="0" w:right="0"/>
              <w:rPr>
                <w:rFonts w:hint="default"/>
                <w:snapToGrid w:val="0"/>
                <w:highlight w:val="none"/>
              </w:rPr>
            </w:pPr>
          </w:p>
        </w:tc>
        <w:tc>
          <w:tcPr>
            <w:tcW w:w="679" w:type="dxa"/>
            <w:vMerge w:val="continue"/>
            <w:vAlign w:val="center"/>
          </w:tcPr>
          <w:p w14:paraId="2CFE9156">
            <w:pPr>
              <w:pStyle w:val="8"/>
              <w:suppressLineNumbers w:val="0"/>
              <w:bidi w:val="0"/>
              <w:spacing w:before="0" w:beforeAutospacing="0" w:after="0" w:afterAutospacing="0"/>
              <w:ind w:left="0" w:right="0"/>
              <w:rPr>
                <w:rFonts w:hint="default"/>
                <w:snapToGrid w:val="0"/>
                <w:highlight w:val="none"/>
              </w:rPr>
            </w:pPr>
          </w:p>
        </w:tc>
        <w:tc>
          <w:tcPr>
            <w:tcW w:w="720" w:type="dxa"/>
            <w:vMerge w:val="continue"/>
            <w:vAlign w:val="center"/>
          </w:tcPr>
          <w:p w14:paraId="7790092D">
            <w:pPr>
              <w:pStyle w:val="8"/>
              <w:suppressLineNumbers w:val="0"/>
              <w:bidi w:val="0"/>
              <w:spacing w:before="0" w:beforeAutospacing="0" w:after="0" w:afterAutospacing="0"/>
              <w:ind w:left="0" w:right="0"/>
              <w:rPr>
                <w:rFonts w:hint="default"/>
                <w:snapToGrid w:val="0"/>
                <w:highlight w:val="none"/>
              </w:rPr>
            </w:pPr>
          </w:p>
        </w:tc>
        <w:tc>
          <w:tcPr>
            <w:tcW w:w="665" w:type="dxa"/>
            <w:vMerge w:val="continue"/>
            <w:vAlign w:val="center"/>
          </w:tcPr>
          <w:p w14:paraId="29D15B7B">
            <w:pPr>
              <w:pStyle w:val="8"/>
              <w:suppressLineNumbers w:val="0"/>
              <w:bidi w:val="0"/>
              <w:spacing w:before="0" w:beforeAutospacing="0" w:after="0" w:afterAutospacing="0"/>
              <w:ind w:left="0" w:right="0"/>
              <w:rPr>
                <w:rFonts w:hint="default"/>
                <w:snapToGrid w:val="0"/>
                <w:highlight w:val="none"/>
              </w:rPr>
            </w:pPr>
          </w:p>
        </w:tc>
        <w:tc>
          <w:tcPr>
            <w:tcW w:w="611" w:type="dxa"/>
            <w:vMerge w:val="continue"/>
            <w:vAlign w:val="center"/>
          </w:tcPr>
          <w:p w14:paraId="51B44902">
            <w:pPr>
              <w:pStyle w:val="8"/>
              <w:suppressLineNumbers w:val="0"/>
              <w:bidi w:val="0"/>
              <w:spacing w:before="0" w:beforeAutospacing="0" w:after="0" w:afterAutospacing="0"/>
              <w:ind w:left="0" w:right="0"/>
              <w:rPr>
                <w:rFonts w:hint="default"/>
                <w:snapToGrid w:val="0"/>
                <w:highlight w:val="none"/>
              </w:rPr>
            </w:pPr>
          </w:p>
        </w:tc>
        <w:tc>
          <w:tcPr>
            <w:tcW w:w="706" w:type="dxa"/>
            <w:vMerge w:val="continue"/>
            <w:vAlign w:val="center"/>
          </w:tcPr>
          <w:p w14:paraId="5C1DD7BE">
            <w:pPr>
              <w:pStyle w:val="8"/>
              <w:suppressLineNumbers w:val="0"/>
              <w:bidi w:val="0"/>
              <w:spacing w:before="0" w:beforeAutospacing="0" w:after="0" w:afterAutospacing="0"/>
              <w:ind w:left="0" w:right="0"/>
              <w:rPr>
                <w:rFonts w:hint="default"/>
                <w:snapToGrid w:val="0"/>
                <w:highlight w:val="none"/>
              </w:rPr>
            </w:pPr>
          </w:p>
        </w:tc>
        <w:tc>
          <w:tcPr>
            <w:tcW w:w="711" w:type="dxa"/>
            <w:vMerge w:val="continue"/>
            <w:vAlign w:val="center"/>
          </w:tcPr>
          <w:p w14:paraId="54580629">
            <w:pPr>
              <w:pStyle w:val="8"/>
              <w:suppressLineNumbers w:val="0"/>
              <w:bidi w:val="0"/>
              <w:spacing w:before="0" w:beforeAutospacing="0" w:after="0" w:afterAutospacing="0"/>
              <w:ind w:left="0" w:right="0"/>
              <w:rPr>
                <w:rFonts w:hint="default"/>
                <w:snapToGrid w:val="0"/>
                <w:highlight w:val="none"/>
              </w:rPr>
            </w:pPr>
          </w:p>
        </w:tc>
        <w:tc>
          <w:tcPr>
            <w:tcW w:w="709" w:type="dxa"/>
            <w:vMerge w:val="continue"/>
            <w:vAlign w:val="center"/>
          </w:tcPr>
          <w:p w14:paraId="5DA0E825">
            <w:pPr>
              <w:pStyle w:val="8"/>
              <w:suppressLineNumbers w:val="0"/>
              <w:bidi w:val="0"/>
              <w:spacing w:before="0" w:beforeAutospacing="0" w:after="0" w:afterAutospacing="0"/>
              <w:ind w:left="0" w:right="0"/>
              <w:rPr>
                <w:rFonts w:hint="default"/>
                <w:snapToGrid w:val="0"/>
                <w:highlight w:val="none"/>
              </w:rPr>
            </w:pPr>
          </w:p>
        </w:tc>
        <w:tc>
          <w:tcPr>
            <w:tcW w:w="709" w:type="dxa"/>
            <w:vMerge w:val="continue"/>
            <w:vAlign w:val="center"/>
          </w:tcPr>
          <w:p w14:paraId="38BA7A97">
            <w:pPr>
              <w:pStyle w:val="8"/>
              <w:suppressLineNumbers w:val="0"/>
              <w:bidi w:val="0"/>
              <w:spacing w:before="0" w:beforeAutospacing="0" w:after="0" w:afterAutospacing="0"/>
              <w:ind w:left="0" w:right="0"/>
              <w:rPr>
                <w:rFonts w:hint="default"/>
                <w:snapToGrid w:val="0"/>
                <w:highlight w:val="none"/>
              </w:rPr>
            </w:pPr>
          </w:p>
        </w:tc>
        <w:tc>
          <w:tcPr>
            <w:tcW w:w="634" w:type="dxa"/>
            <w:vAlign w:val="center"/>
          </w:tcPr>
          <w:p w14:paraId="70647F32">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kg/h</w:t>
            </w:r>
          </w:p>
        </w:tc>
        <w:tc>
          <w:tcPr>
            <w:tcW w:w="585" w:type="dxa"/>
            <w:vAlign w:val="center"/>
          </w:tcPr>
          <w:p w14:paraId="501A74CC">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t/a</w:t>
            </w:r>
          </w:p>
        </w:tc>
        <w:tc>
          <w:tcPr>
            <w:tcW w:w="624" w:type="dxa"/>
            <w:vAlign w:val="center"/>
          </w:tcPr>
          <w:p w14:paraId="66136959">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kg/h</w:t>
            </w:r>
          </w:p>
        </w:tc>
        <w:tc>
          <w:tcPr>
            <w:tcW w:w="567" w:type="dxa"/>
            <w:vAlign w:val="center"/>
          </w:tcPr>
          <w:p w14:paraId="64CF4F12">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t/a</w:t>
            </w:r>
          </w:p>
        </w:tc>
        <w:tc>
          <w:tcPr>
            <w:tcW w:w="708" w:type="dxa"/>
            <w:vAlign w:val="center"/>
          </w:tcPr>
          <w:p w14:paraId="7073DF6B">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h</w:t>
            </w:r>
          </w:p>
        </w:tc>
        <w:tc>
          <w:tcPr>
            <w:tcW w:w="709" w:type="dxa"/>
            <w:vAlign w:val="center"/>
          </w:tcPr>
          <w:p w14:paraId="5EB80F8D">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m</w:t>
            </w:r>
          </w:p>
        </w:tc>
        <w:tc>
          <w:tcPr>
            <w:tcW w:w="572" w:type="dxa"/>
            <w:vAlign w:val="center"/>
          </w:tcPr>
          <w:p w14:paraId="04D228A4">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m</w:t>
            </w:r>
          </w:p>
        </w:tc>
        <w:tc>
          <w:tcPr>
            <w:tcW w:w="660" w:type="dxa"/>
            <w:vAlign w:val="center"/>
          </w:tcPr>
          <w:p w14:paraId="60860CB7">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w:t>
            </w:r>
          </w:p>
        </w:tc>
        <w:tc>
          <w:tcPr>
            <w:tcW w:w="715" w:type="dxa"/>
            <w:vMerge w:val="continue"/>
            <w:vAlign w:val="center"/>
          </w:tcPr>
          <w:p w14:paraId="3DBED20C">
            <w:pPr>
              <w:pStyle w:val="8"/>
              <w:suppressLineNumbers w:val="0"/>
              <w:bidi w:val="0"/>
              <w:spacing w:before="0" w:beforeAutospacing="0" w:after="0" w:afterAutospacing="0"/>
              <w:ind w:left="0" w:right="0"/>
              <w:rPr>
                <w:rFonts w:hint="default"/>
                <w:snapToGrid w:val="0"/>
                <w:highlight w:val="none"/>
              </w:rPr>
            </w:pPr>
          </w:p>
        </w:tc>
      </w:tr>
      <w:tr w14:paraId="348D29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853" w:type="dxa"/>
            <w:vMerge w:val="restart"/>
            <w:vAlign w:val="center"/>
          </w:tcPr>
          <w:p w14:paraId="75B78148">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含油金属屑处理车间</w:t>
            </w:r>
          </w:p>
        </w:tc>
        <w:tc>
          <w:tcPr>
            <w:tcW w:w="584" w:type="dxa"/>
            <w:vMerge w:val="restart"/>
            <w:vAlign w:val="center"/>
          </w:tcPr>
          <w:p w14:paraId="1028A8E8">
            <w:pPr>
              <w:pStyle w:val="8"/>
              <w:suppressLineNumbers w:val="0"/>
              <w:bidi w:val="0"/>
              <w:spacing w:before="0" w:beforeAutospacing="0" w:after="0" w:afterAutospacing="0"/>
              <w:ind w:left="0" w:right="0"/>
              <w:rPr>
                <w:rFonts w:hint="default"/>
                <w:snapToGrid w:val="0"/>
                <w:highlight w:val="none"/>
              </w:rPr>
            </w:pPr>
            <w:r>
              <w:rPr>
                <w:rFonts w:hint="default"/>
                <w:snapToGrid w:val="0"/>
                <w:highlight w:val="none"/>
              </w:rPr>
              <w:t>无组织</w:t>
            </w:r>
          </w:p>
        </w:tc>
        <w:tc>
          <w:tcPr>
            <w:tcW w:w="527" w:type="dxa"/>
            <w:vAlign w:val="center"/>
          </w:tcPr>
          <w:p w14:paraId="7A0D8EB7">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非甲烷总烃</w:t>
            </w:r>
          </w:p>
        </w:tc>
        <w:tc>
          <w:tcPr>
            <w:tcW w:w="727" w:type="dxa"/>
            <w:vMerge w:val="restart"/>
            <w:vAlign w:val="center"/>
          </w:tcPr>
          <w:p w14:paraId="178CE911">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类比</w:t>
            </w:r>
          </w:p>
        </w:tc>
        <w:tc>
          <w:tcPr>
            <w:tcW w:w="679" w:type="dxa"/>
            <w:vAlign w:val="center"/>
          </w:tcPr>
          <w:p w14:paraId="2E9AD0D8">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rPr>
              <w:t>/</w:t>
            </w:r>
          </w:p>
        </w:tc>
        <w:tc>
          <w:tcPr>
            <w:tcW w:w="720" w:type="dxa"/>
            <w:vAlign w:val="center"/>
          </w:tcPr>
          <w:p w14:paraId="60645BA6">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rPr>
              <w:t>/</w:t>
            </w:r>
          </w:p>
        </w:tc>
        <w:tc>
          <w:tcPr>
            <w:tcW w:w="665" w:type="dxa"/>
            <w:shd w:val="clear" w:color="auto" w:fill="auto"/>
            <w:vAlign w:val="center"/>
          </w:tcPr>
          <w:p w14:paraId="5835C0F1">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0.288</w:t>
            </w:r>
          </w:p>
        </w:tc>
        <w:tc>
          <w:tcPr>
            <w:tcW w:w="611" w:type="dxa"/>
            <w:vAlign w:val="center"/>
          </w:tcPr>
          <w:p w14:paraId="5353C6B9">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rPr>
              <w:t>/</w:t>
            </w:r>
          </w:p>
        </w:tc>
        <w:tc>
          <w:tcPr>
            <w:tcW w:w="706" w:type="dxa"/>
            <w:vAlign w:val="center"/>
          </w:tcPr>
          <w:p w14:paraId="13938697">
            <w:pPr>
              <w:pStyle w:val="8"/>
              <w:suppressLineNumbers w:val="0"/>
              <w:bidi w:val="0"/>
              <w:spacing w:before="0" w:beforeAutospacing="0" w:after="0" w:afterAutospacing="0"/>
              <w:ind w:left="0" w:leftChars="0" w:right="0" w:rightChars="0" w:firstLine="0" w:firstLineChars="0"/>
              <w:rPr>
                <w:rFonts w:hint="default"/>
                <w:snapToGrid w:val="0"/>
                <w:highlight w:val="none"/>
              </w:rPr>
            </w:pPr>
            <w:r>
              <w:rPr>
                <w:rFonts w:hint="eastAsia"/>
                <w:snapToGrid w:val="0"/>
                <w:highlight w:val="none"/>
              </w:rPr>
              <w:t>/</w:t>
            </w:r>
          </w:p>
        </w:tc>
        <w:tc>
          <w:tcPr>
            <w:tcW w:w="711" w:type="dxa"/>
            <w:vAlign w:val="center"/>
          </w:tcPr>
          <w:p w14:paraId="5989163D">
            <w:pPr>
              <w:pStyle w:val="8"/>
              <w:suppressLineNumbers w:val="0"/>
              <w:bidi w:val="0"/>
              <w:spacing w:before="0" w:beforeAutospacing="0" w:after="0" w:afterAutospacing="0"/>
              <w:ind w:left="0" w:leftChars="0" w:right="0" w:rightChars="0" w:firstLine="0" w:firstLineChars="0"/>
              <w:rPr>
                <w:rFonts w:hint="default"/>
                <w:snapToGrid w:val="0"/>
                <w:highlight w:val="none"/>
              </w:rPr>
            </w:pPr>
            <w:r>
              <w:rPr>
                <w:rFonts w:hint="eastAsia"/>
                <w:snapToGrid w:val="0"/>
                <w:highlight w:val="none"/>
              </w:rPr>
              <w:t>/</w:t>
            </w:r>
          </w:p>
        </w:tc>
        <w:tc>
          <w:tcPr>
            <w:tcW w:w="709" w:type="dxa"/>
            <w:vAlign w:val="center"/>
          </w:tcPr>
          <w:p w14:paraId="4C70CC61">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rPr>
              <w:t>/</w:t>
            </w:r>
          </w:p>
        </w:tc>
        <w:tc>
          <w:tcPr>
            <w:tcW w:w="709" w:type="dxa"/>
            <w:vAlign w:val="center"/>
          </w:tcPr>
          <w:p w14:paraId="5CA7FAB9">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rPr>
              <w:t>/</w:t>
            </w:r>
          </w:p>
        </w:tc>
        <w:tc>
          <w:tcPr>
            <w:tcW w:w="634" w:type="dxa"/>
            <w:vAlign w:val="center"/>
          </w:tcPr>
          <w:p w14:paraId="5E876023">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w:t>
            </w:r>
          </w:p>
        </w:tc>
        <w:tc>
          <w:tcPr>
            <w:tcW w:w="585" w:type="dxa"/>
            <w:vAlign w:val="center"/>
          </w:tcPr>
          <w:p w14:paraId="557AD980">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w:t>
            </w:r>
          </w:p>
        </w:tc>
        <w:tc>
          <w:tcPr>
            <w:tcW w:w="624" w:type="dxa"/>
            <w:vAlign w:val="center"/>
          </w:tcPr>
          <w:p w14:paraId="6CD4381C">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0.288</w:t>
            </w:r>
          </w:p>
        </w:tc>
        <w:tc>
          <w:tcPr>
            <w:tcW w:w="567" w:type="dxa"/>
            <w:vAlign w:val="center"/>
          </w:tcPr>
          <w:p w14:paraId="3F4DF291">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0.687</w:t>
            </w:r>
          </w:p>
        </w:tc>
        <w:tc>
          <w:tcPr>
            <w:tcW w:w="708" w:type="dxa"/>
            <w:vMerge w:val="restart"/>
            <w:vAlign w:val="center"/>
          </w:tcPr>
          <w:p w14:paraId="691EFBAE">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2400</w:t>
            </w:r>
          </w:p>
        </w:tc>
        <w:tc>
          <w:tcPr>
            <w:tcW w:w="709" w:type="dxa"/>
            <w:vAlign w:val="center"/>
          </w:tcPr>
          <w:p w14:paraId="62892D1E">
            <w:pPr>
              <w:pStyle w:val="8"/>
              <w:suppressLineNumbers w:val="0"/>
              <w:bidi w:val="0"/>
              <w:spacing w:before="0" w:beforeAutospacing="0" w:after="0" w:afterAutospacing="0"/>
              <w:ind w:left="0" w:leftChars="0" w:right="0" w:rightChars="0" w:firstLine="0" w:firstLineChars="0"/>
              <w:rPr>
                <w:rFonts w:hint="default"/>
                <w:snapToGrid w:val="0"/>
                <w:highlight w:val="none"/>
              </w:rPr>
            </w:pPr>
            <w:r>
              <w:rPr>
                <w:rFonts w:hint="eastAsia"/>
                <w:snapToGrid w:val="0"/>
                <w:highlight w:val="none"/>
              </w:rPr>
              <w:t>/</w:t>
            </w:r>
          </w:p>
        </w:tc>
        <w:tc>
          <w:tcPr>
            <w:tcW w:w="572" w:type="dxa"/>
            <w:vAlign w:val="center"/>
          </w:tcPr>
          <w:p w14:paraId="26420B6C">
            <w:pPr>
              <w:pStyle w:val="8"/>
              <w:suppressLineNumbers w:val="0"/>
              <w:bidi w:val="0"/>
              <w:spacing w:before="0" w:beforeAutospacing="0" w:after="0" w:afterAutospacing="0"/>
              <w:ind w:left="0" w:leftChars="0" w:right="0" w:rightChars="0" w:firstLine="0" w:firstLineChars="0"/>
              <w:rPr>
                <w:rFonts w:hint="default"/>
                <w:snapToGrid w:val="0"/>
                <w:highlight w:val="none"/>
              </w:rPr>
            </w:pPr>
            <w:r>
              <w:rPr>
                <w:rFonts w:hint="eastAsia"/>
                <w:snapToGrid w:val="0"/>
                <w:highlight w:val="none"/>
              </w:rPr>
              <w:t>/</w:t>
            </w:r>
          </w:p>
        </w:tc>
        <w:tc>
          <w:tcPr>
            <w:tcW w:w="660" w:type="dxa"/>
            <w:vAlign w:val="center"/>
          </w:tcPr>
          <w:p w14:paraId="7FE19436">
            <w:pPr>
              <w:pStyle w:val="8"/>
              <w:suppressLineNumbers w:val="0"/>
              <w:bidi w:val="0"/>
              <w:spacing w:before="0" w:beforeAutospacing="0" w:after="0" w:afterAutospacing="0"/>
              <w:ind w:left="0" w:leftChars="0" w:right="0" w:rightChars="0" w:firstLine="0" w:firstLineChars="0"/>
              <w:rPr>
                <w:rFonts w:hint="eastAsia"/>
                <w:snapToGrid w:val="0"/>
                <w:highlight w:val="none"/>
                <w:lang w:eastAsia="zh-CN"/>
              </w:rPr>
            </w:pPr>
            <w:r>
              <w:rPr>
                <w:rFonts w:hint="eastAsia"/>
                <w:snapToGrid w:val="0"/>
                <w:highlight w:val="none"/>
              </w:rPr>
              <w:t>/</w:t>
            </w:r>
          </w:p>
        </w:tc>
        <w:tc>
          <w:tcPr>
            <w:tcW w:w="715" w:type="dxa"/>
            <w:vAlign w:val="center"/>
          </w:tcPr>
          <w:p w14:paraId="78F44A0F">
            <w:pPr>
              <w:pStyle w:val="8"/>
              <w:suppressLineNumbers w:val="0"/>
              <w:bidi w:val="0"/>
              <w:spacing w:before="0" w:beforeAutospacing="0" w:after="0" w:afterAutospacing="0"/>
              <w:ind w:left="0" w:leftChars="0" w:right="0" w:rightChars="0" w:firstLine="0" w:firstLineChars="0"/>
              <w:rPr>
                <w:rFonts w:hint="default"/>
                <w:snapToGrid w:val="0"/>
                <w:highlight w:val="none"/>
              </w:rPr>
            </w:pPr>
            <w:r>
              <w:rPr>
                <w:rFonts w:hint="eastAsia"/>
                <w:snapToGrid w:val="0"/>
                <w:highlight w:val="none"/>
              </w:rPr>
              <w:t>/</w:t>
            </w:r>
          </w:p>
        </w:tc>
      </w:tr>
      <w:tr w14:paraId="3AD5A5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853" w:type="dxa"/>
            <w:vMerge w:val="continue"/>
            <w:vAlign w:val="center"/>
          </w:tcPr>
          <w:p w14:paraId="1F1F201B">
            <w:pPr>
              <w:pStyle w:val="8"/>
              <w:suppressLineNumbers w:val="0"/>
              <w:bidi w:val="0"/>
              <w:spacing w:before="0" w:beforeAutospacing="0" w:after="0" w:afterAutospacing="0"/>
              <w:ind w:left="0" w:right="0"/>
              <w:rPr>
                <w:rFonts w:hint="eastAsia"/>
                <w:snapToGrid w:val="0"/>
                <w:highlight w:val="none"/>
                <w:lang w:val="en-US" w:eastAsia="zh-CN"/>
              </w:rPr>
            </w:pPr>
          </w:p>
        </w:tc>
        <w:tc>
          <w:tcPr>
            <w:tcW w:w="584" w:type="dxa"/>
            <w:vMerge w:val="continue"/>
            <w:vAlign w:val="center"/>
          </w:tcPr>
          <w:p w14:paraId="2DDA06F0">
            <w:pPr>
              <w:pStyle w:val="8"/>
              <w:suppressLineNumbers w:val="0"/>
              <w:bidi w:val="0"/>
              <w:spacing w:before="0" w:beforeAutospacing="0" w:after="0" w:afterAutospacing="0"/>
              <w:ind w:left="0" w:right="0"/>
              <w:rPr>
                <w:rFonts w:hint="default"/>
                <w:snapToGrid w:val="0"/>
                <w:highlight w:val="none"/>
              </w:rPr>
            </w:pPr>
          </w:p>
        </w:tc>
        <w:tc>
          <w:tcPr>
            <w:tcW w:w="527" w:type="dxa"/>
            <w:vAlign w:val="center"/>
          </w:tcPr>
          <w:p w14:paraId="1624F2E6">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颗粒物</w:t>
            </w:r>
          </w:p>
        </w:tc>
        <w:tc>
          <w:tcPr>
            <w:tcW w:w="727" w:type="dxa"/>
            <w:vMerge w:val="continue"/>
            <w:vAlign w:val="center"/>
          </w:tcPr>
          <w:p w14:paraId="4344C51B">
            <w:pPr>
              <w:pStyle w:val="8"/>
              <w:suppressLineNumbers w:val="0"/>
              <w:bidi w:val="0"/>
              <w:spacing w:before="0" w:beforeAutospacing="0" w:after="0" w:afterAutospacing="0"/>
              <w:ind w:left="0" w:right="0"/>
              <w:rPr>
                <w:rFonts w:hint="eastAsia"/>
                <w:snapToGrid w:val="0"/>
                <w:highlight w:val="none"/>
                <w:lang w:val="en-US" w:eastAsia="zh-CN"/>
              </w:rPr>
            </w:pPr>
          </w:p>
        </w:tc>
        <w:tc>
          <w:tcPr>
            <w:tcW w:w="679" w:type="dxa"/>
            <w:vAlign w:val="center"/>
          </w:tcPr>
          <w:p w14:paraId="1B609983">
            <w:pPr>
              <w:pStyle w:val="8"/>
              <w:suppressLineNumbers w:val="0"/>
              <w:bidi w:val="0"/>
              <w:spacing w:before="0" w:beforeAutospacing="0" w:after="0" w:afterAutospacing="0"/>
              <w:ind w:left="0" w:leftChars="0" w:right="0" w:rightChars="0" w:firstLine="0" w:firstLineChars="0"/>
              <w:rPr>
                <w:rFonts w:hint="eastAsia" w:eastAsia="宋体"/>
                <w:snapToGrid w:val="0"/>
                <w:highlight w:val="none"/>
                <w:lang w:val="en-US" w:eastAsia="zh-CN"/>
              </w:rPr>
            </w:pPr>
            <w:r>
              <w:rPr>
                <w:rFonts w:hint="eastAsia"/>
                <w:snapToGrid w:val="0"/>
                <w:highlight w:val="none"/>
                <w:lang w:val="en-US" w:eastAsia="zh-CN"/>
              </w:rPr>
              <w:t>/</w:t>
            </w:r>
          </w:p>
        </w:tc>
        <w:tc>
          <w:tcPr>
            <w:tcW w:w="720" w:type="dxa"/>
            <w:vAlign w:val="center"/>
          </w:tcPr>
          <w:p w14:paraId="78566FE9">
            <w:pPr>
              <w:pStyle w:val="8"/>
              <w:suppressLineNumbers w:val="0"/>
              <w:bidi w:val="0"/>
              <w:spacing w:before="0" w:beforeAutospacing="0" w:after="0" w:afterAutospacing="0"/>
              <w:ind w:left="0" w:leftChars="0" w:right="0" w:rightChars="0" w:firstLine="0" w:firstLineChars="0"/>
              <w:rPr>
                <w:rFonts w:hint="eastAsia" w:eastAsia="宋体"/>
                <w:snapToGrid w:val="0"/>
                <w:highlight w:val="none"/>
                <w:lang w:val="en-US" w:eastAsia="zh-CN"/>
              </w:rPr>
            </w:pPr>
            <w:r>
              <w:rPr>
                <w:rFonts w:hint="eastAsia"/>
                <w:snapToGrid w:val="0"/>
                <w:highlight w:val="none"/>
                <w:lang w:val="en-US" w:eastAsia="zh-CN"/>
              </w:rPr>
              <w:t>/</w:t>
            </w:r>
          </w:p>
        </w:tc>
        <w:tc>
          <w:tcPr>
            <w:tcW w:w="665" w:type="dxa"/>
            <w:shd w:val="clear" w:color="auto" w:fill="auto"/>
            <w:vAlign w:val="center"/>
          </w:tcPr>
          <w:p w14:paraId="25582DDB">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0.0005</w:t>
            </w:r>
          </w:p>
        </w:tc>
        <w:tc>
          <w:tcPr>
            <w:tcW w:w="611" w:type="dxa"/>
            <w:vAlign w:val="center"/>
          </w:tcPr>
          <w:p w14:paraId="7AE5EB24">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06" w:type="dxa"/>
            <w:vAlign w:val="center"/>
          </w:tcPr>
          <w:p w14:paraId="4A73FEBC">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11" w:type="dxa"/>
            <w:vAlign w:val="center"/>
          </w:tcPr>
          <w:p w14:paraId="6F02441D">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09" w:type="dxa"/>
            <w:vAlign w:val="center"/>
          </w:tcPr>
          <w:p w14:paraId="20B5AAE0">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09" w:type="dxa"/>
            <w:vAlign w:val="center"/>
          </w:tcPr>
          <w:p w14:paraId="2CEF5DCD">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634" w:type="dxa"/>
            <w:vAlign w:val="center"/>
          </w:tcPr>
          <w:p w14:paraId="20F1BA84">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585" w:type="dxa"/>
            <w:vAlign w:val="center"/>
          </w:tcPr>
          <w:p w14:paraId="05C31146">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624" w:type="dxa"/>
            <w:vAlign w:val="center"/>
          </w:tcPr>
          <w:p w14:paraId="66CBDE60">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0.0005</w:t>
            </w:r>
          </w:p>
        </w:tc>
        <w:tc>
          <w:tcPr>
            <w:tcW w:w="567" w:type="dxa"/>
            <w:vAlign w:val="center"/>
          </w:tcPr>
          <w:p w14:paraId="5C39FF4E">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0.001</w:t>
            </w:r>
          </w:p>
        </w:tc>
        <w:tc>
          <w:tcPr>
            <w:tcW w:w="708" w:type="dxa"/>
            <w:vMerge w:val="continue"/>
            <w:vAlign w:val="center"/>
          </w:tcPr>
          <w:p w14:paraId="318BEAC8">
            <w:pPr>
              <w:pStyle w:val="8"/>
              <w:suppressLineNumbers w:val="0"/>
              <w:bidi w:val="0"/>
              <w:spacing w:before="0" w:beforeAutospacing="0" w:after="0" w:afterAutospacing="0"/>
              <w:ind w:left="0" w:right="0"/>
              <w:rPr>
                <w:rFonts w:hint="eastAsia"/>
                <w:snapToGrid w:val="0"/>
                <w:highlight w:val="none"/>
                <w:lang w:val="en-US" w:eastAsia="zh-CN"/>
              </w:rPr>
            </w:pPr>
          </w:p>
        </w:tc>
        <w:tc>
          <w:tcPr>
            <w:tcW w:w="709" w:type="dxa"/>
            <w:vAlign w:val="center"/>
          </w:tcPr>
          <w:p w14:paraId="10B82299">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572" w:type="dxa"/>
            <w:vAlign w:val="center"/>
          </w:tcPr>
          <w:p w14:paraId="14DC46F0">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660" w:type="dxa"/>
            <w:vAlign w:val="center"/>
          </w:tcPr>
          <w:p w14:paraId="58792111">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15" w:type="dxa"/>
            <w:vAlign w:val="center"/>
          </w:tcPr>
          <w:p w14:paraId="108D959D">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r>
      <w:tr w14:paraId="6A873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853" w:type="dxa"/>
            <w:vMerge w:val="continue"/>
            <w:vAlign w:val="center"/>
          </w:tcPr>
          <w:p w14:paraId="54B9E12E">
            <w:pPr>
              <w:pStyle w:val="8"/>
              <w:suppressLineNumbers w:val="0"/>
              <w:bidi w:val="0"/>
              <w:spacing w:before="0" w:beforeAutospacing="0" w:after="0" w:afterAutospacing="0"/>
              <w:ind w:left="0" w:right="0"/>
              <w:rPr>
                <w:rFonts w:hint="default"/>
                <w:snapToGrid w:val="0"/>
                <w:highlight w:val="none"/>
                <w:lang w:val="en-US" w:eastAsia="zh-CN"/>
              </w:rPr>
            </w:pPr>
          </w:p>
        </w:tc>
        <w:tc>
          <w:tcPr>
            <w:tcW w:w="584" w:type="dxa"/>
            <w:vMerge w:val="continue"/>
            <w:vAlign w:val="center"/>
          </w:tcPr>
          <w:p w14:paraId="3157678C">
            <w:pPr>
              <w:pStyle w:val="8"/>
              <w:suppressLineNumbers w:val="0"/>
              <w:bidi w:val="0"/>
              <w:spacing w:before="0" w:beforeAutospacing="0" w:after="0" w:afterAutospacing="0"/>
              <w:ind w:left="0" w:right="0"/>
              <w:rPr>
                <w:rFonts w:hint="default"/>
                <w:snapToGrid w:val="0"/>
                <w:highlight w:val="none"/>
              </w:rPr>
            </w:pPr>
          </w:p>
        </w:tc>
        <w:tc>
          <w:tcPr>
            <w:tcW w:w="527" w:type="dxa"/>
            <w:vAlign w:val="center"/>
          </w:tcPr>
          <w:p w14:paraId="7396BEA3">
            <w:pPr>
              <w:pStyle w:val="8"/>
              <w:suppressLineNumbers w:val="0"/>
              <w:bidi w:val="0"/>
              <w:spacing w:before="0" w:beforeAutospacing="0" w:after="0" w:afterAutospacing="0"/>
              <w:ind w:left="0" w:leftChars="0" w:right="0" w:rightChars="0" w:firstLine="0" w:firstLineChars="0"/>
              <w:rPr>
                <w:rFonts w:hint="default"/>
                <w:snapToGrid w:val="0"/>
                <w:highlight w:val="none"/>
              </w:rPr>
            </w:pPr>
            <w:r>
              <w:rPr>
                <w:rFonts w:hint="eastAsia"/>
                <w:snapToGrid w:val="0"/>
                <w:highlight w:val="none"/>
                <w:lang w:val="en-US" w:eastAsia="zh-CN"/>
              </w:rPr>
              <w:t>臭气浓度</w:t>
            </w:r>
          </w:p>
        </w:tc>
        <w:tc>
          <w:tcPr>
            <w:tcW w:w="727" w:type="dxa"/>
            <w:vMerge w:val="continue"/>
            <w:vAlign w:val="center"/>
          </w:tcPr>
          <w:p w14:paraId="7E3D6C97">
            <w:pPr>
              <w:pStyle w:val="8"/>
              <w:suppressLineNumbers w:val="0"/>
              <w:bidi w:val="0"/>
              <w:spacing w:before="0" w:beforeAutospacing="0" w:after="0" w:afterAutospacing="0"/>
              <w:ind w:left="0" w:right="0"/>
              <w:rPr>
                <w:rFonts w:hint="eastAsia"/>
                <w:snapToGrid w:val="0"/>
                <w:highlight w:val="none"/>
                <w:lang w:val="en-US" w:eastAsia="zh-CN"/>
              </w:rPr>
            </w:pPr>
          </w:p>
        </w:tc>
        <w:tc>
          <w:tcPr>
            <w:tcW w:w="679" w:type="dxa"/>
            <w:vAlign w:val="center"/>
          </w:tcPr>
          <w:p w14:paraId="40C5C3F9">
            <w:pPr>
              <w:pStyle w:val="8"/>
              <w:suppressLineNumbers w:val="0"/>
              <w:bidi w:val="0"/>
              <w:spacing w:before="0" w:beforeAutospacing="0" w:after="0" w:afterAutospacing="0"/>
              <w:ind w:left="0" w:leftChars="0" w:right="0" w:rightChars="0" w:firstLine="0" w:firstLineChars="0"/>
              <w:rPr>
                <w:rFonts w:hint="eastAsia" w:eastAsia="宋体"/>
                <w:snapToGrid w:val="0"/>
                <w:highlight w:val="none"/>
                <w:lang w:val="en-US" w:eastAsia="zh-CN"/>
              </w:rPr>
            </w:pPr>
            <w:r>
              <w:rPr>
                <w:rFonts w:hint="eastAsia"/>
                <w:snapToGrid w:val="0"/>
                <w:highlight w:val="none"/>
              </w:rPr>
              <w:t>/</w:t>
            </w:r>
          </w:p>
        </w:tc>
        <w:tc>
          <w:tcPr>
            <w:tcW w:w="720" w:type="dxa"/>
            <w:vAlign w:val="center"/>
          </w:tcPr>
          <w:p w14:paraId="17A75D0E">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665" w:type="dxa"/>
            <w:shd w:val="clear" w:color="auto" w:fill="auto"/>
            <w:vAlign w:val="center"/>
          </w:tcPr>
          <w:p w14:paraId="00048FC0">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000000"/>
                <w:kern w:val="0"/>
                <w:sz w:val="21"/>
                <w:szCs w:val="24"/>
                <w:highlight w:val="none"/>
                <w:lang w:val="en-US" w:eastAsia="zh-CN" w:bidi="ar-SA"/>
              </w:rPr>
            </w:pPr>
            <w:r>
              <w:rPr>
                <w:rFonts w:hint="eastAsia" w:cs="Times New Roman"/>
                <w:snapToGrid w:val="0"/>
                <w:color w:val="000000"/>
                <w:kern w:val="0"/>
                <w:sz w:val="21"/>
                <w:szCs w:val="24"/>
                <w:highlight w:val="none"/>
                <w:lang w:val="en-US" w:eastAsia="zh-CN" w:bidi="ar-SA"/>
              </w:rPr>
              <w:t>/</w:t>
            </w:r>
          </w:p>
        </w:tc>
        <w:tc>
          <w:tcPr>
            <w:tcW w:w="611" w:type="dxa"/>
            <w:vAlign w:val="center"/>
          </w:tcPr>
          <w:p w14:paraId="3EE82C7B">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06" w:type="dxa"/>
            <w:vAlign w:val="center"/>
          </w:tcPr>
          <w:p w14:paraId="6790C575">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11" w:type="dxa"/>
            <w:vAlign w:val="center"/>
          </w:tcPr>
          <w:p w14:paraId="02A83246">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09" w:type="dxa"/>
            <w:vAlign w:val="center"/>
          </w:tcPr>
          <w:p w14:paraId="52559159">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09" w:type="dxa"/>
            <w:vAlign w:val="center"/>
          </w:tcPr>
          <w:p w14:paraId="17288969">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634" w:type="dxa"/>
            <w:vAlign w:val="center"/>
          </w:tcPr>
          <w:p w14:paraId="660B4488">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585" w:type="dxa"/>
            <w:vAlign w:val="center"/>
          </w:tcPr>
          <w:p w14:paraId="09947917">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1191" w:type="dxa"/>
            <w:gridSpan w:val="2"/>
            <w:vAlign w:val="center"/>
          </w:tcPr>
          <w:p w14:paraId="069AC3D6">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＜20（无量纲）</w:t>
            </w:r>
          </w:p>
        </w:tc>
        <w:tc>
          <w:tcPr>
            <w:tcW w:w="708" w:type="dxa"/>
            <w:vMerge w:val="continue"/>
            <w:vAlign w:val="center"/>
          </w:tcPr>
          <w:p w14:paraId="62596C62">
            <w:pPr>
              <w:pStyle w:val="8"/>
              <w:suppressLineNumbers w:val="0"/>
              <w:bidi w:val="0"/>
              <w:spacing w:before="0" w:beforeAutospacing="0" w:after="0" w:afterAutospacing="0"/>
              <w:ind w:left="0" w:right="0"/>
              <w:rPr>
                <w:rFonts w:hint="default"/>
                <w:snapToGrid w:val="0"/>
                <w:highlight w:val="none"/>
                <w:lang w:val="en-US" w:eastAsia="zh-CN"/>
              </w:rPr>
            </w:pPr>
          </w:p>
        </w:tc>
        <w:tc>
          <w:tcPr>
            <w:tcW w:w="709" w:type="dxa"/>
            <w:vAlign w:val="center"/>
          </w:tcPr>
          <w:p w14:paraId="66EA3706">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572" w:type="dxa"/>
            <w:vAlign w:val="center"/>
          </w:tcPr>
          <w:p w14:paraId="79C20D21">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660" w:type="dxa"/>
            <w:vAlign w:val="center"/>
          </w:tcPr>
          <w:p w14:paraId="5F30CA5C">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15" w:type="dxa"/>
            <w:vAlign w:val="center"/>
          </w:tcPr>
          <w:p w14:paraId="1AB29D77">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r>
      <w:tr w14:paraId="5ECFD0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853" w:type="dxa"/>
            <w:vMerge w:val="continue"/>
            <w:vAlign w:val="center"/>
          </w:tcPr>
          <w:p w14:paraId="08900B6B">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000000"/>
                <w:kern w:val="0"/>
                <w:sz w:val="21"/>
                <w:szCs w:val="24"/>
                <w:highlight w:val="none"/>
                <w:lang w:val="en-US" w:eastAsia="zh-CN" w:bidi="ar-SA"/>
              </w:rPr>
            </w:pPr>
          </w:p>
        </w:tc>
        <w:tc>
          <w:tcPr>
            <w:tcW w:w="584" w:type="dxa"/>
            <w:vMerge w:val="restart"/>
            <w:vAlign w:val="center"/>
          </w:tcPr>
          <w:p w14:paraId="230D0F10">
            <w:pPr>
              <w:pStyle w:val="8"/>
              <w:suppressLineNumbers w:val="0"/>
              <w:bidi w:val="0"/>
              <w:spacing w:before="0" w:beforeAutospacing="0" w:after="0" w:afterAutospacing="0"/>
              <w:ind w:left="0" w:right="0" w:firstLine="0" w:firstLineChars="0"/>
              <w:rPr>
                <w:rFonts w:hint="default"/>
                <w:snapToGrid w:val="0"/>
                <w:highlight w:val="none"/>
                <w:lang w:val="en-US"/>
              </w:rPr>
            </w:pPr>
            <w:r>
              <w:rPr>
                <w:rFonts w:hint="default"/>
                <w:snapToGrid w:val="0"/>
                <w:highlight w:val="none"/>
              </w:rPr>
              <w:t>DA0</w:t>
            </w:r>
            <w:r>
              <w:rPr>
                <w:rFonts w:hint="eastAsia"/>
                <w:snapToGrid w:val="0"/>
                <w:highlight w:val="none"/>
                <w:lang w:val="en-US" w:eastAsia="zh-CN"/>
              </w:rPr>
              <w:t>01</w:t>
            </w:r>
          </w:p>
        </w:tc>
        <w:tc>
          <w:tcPr>
            <w:tcW w:w="527" w:type="dxa"/>
            <w:vAlign w:val="center"/>
          </w:tcPr>
          <w:p w14:paraId="174EC4E3">
            <w:pPr>
              <w:pStyle w:val="8"/>
              <w:suppressLineNumbers w:val="0"/>
              <w:bidi w:val="0"/>
              <w:spacing w:before="0" w:beforeAutospacing="0" w:after="0" w:afterAutospacing="0"/>
              <w:ind w:left="0" w:right="0"/>
              <w:rPr>
                <w:rFonts w:hint="eastAsia" w:eastAsia="宋体"/>
                <w:snapToGrid w:val="0"/>
                <w:highlight w:val="none"/>
                <w:lang w:val="en-US" w:eastAsia="zh-CN"/>
              </w:rPr>
            </w:pPr>
            <w:r>
              <w:rPr>
                <w:rFonts w:hint="eastAsia"/>
                <w:snapToGrid w:val="0"/>
                <w:highlight w:val="none"/>
                <w:lang w:val="en-US" w:eastAsia="zh-CN"/>
              </w:rPr>
              <w:t>臭气浓度</w:t>
            </w:r>
          </w:p>
        </w:tc>
        <w:tc>
          <w:tcPr>
            <w:tcW w:w="727" w:type="dxa"/>
            <w:vMerge w:val="continue"/>
            <w:vAlign w:val="center"/>
          </w:tcPr>
          <w:p w14:paraId="6BF115E6">
            <w:pPr>
              <w:pStyle w:val="8"/>
              <w:suppressLineNumbers w:val="0"/>
              <w:bidi w:val="0"/>
              <w:spacing w:before="0" w:beforeAutospacing="0" w:after="0" w:afterAutospacing="0"/>
              <w:ind w:left="0" w:right="0"/>
              <w:rPr>
                <w:rFonts w:hint="eastAsia"/>
                <w:snapToGrid w:val="0"/>
                <w:highlight w:val="none"/>
                <w:lang w:val="en-US" w:eastAsia="zh-CN"/>
              </w:rPr>
            </w:pPr>
          </w:p>
        </w:tc>
        <w:tc>
          <w:tcPr>
            <w:tcW w:w="679" w:type="dxa"/>
            <w:vMerge w:val="restart"/>
            <w:vAlign w:val="center"/>
          </w:tcPr>
          <w:p w14:paraId="6E730B58">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5000</w:t>
            </w:r>
          </w:p>
        </w:tc>
        <w:tc>
          <w:tcPr>
            <w:tcW w:w="720" w:type="dxa"/>
            <w:vAlign w:val="center"/>
          </w:tcPr>
          <w:p w14:paraId="479FE579">
            <w:pPr>
              <w:pStyle w:val="8"/>
              <w:suppressLineNumbers w:val="0"/>
              <w:bidi w:val="0"/>
              <w:spacing w:before="0" w:beforeAutospacing="0" w:after="0" w:afterAutospacing="0"/>
              <w:ind w:left="0" w:leftChars="0" w:right="0" w:rightChars="0" w:firstLine="0" w:firstLineChars="0"/>
              <w:rPr>
                <w:rFonts w:hint="eastAsia" w:eastAsia="宋体"/>
                <w:snapToGrid w:val="0"/>
                <w:highlight w:val="none"/>
                <w:lang w:val="en-US" w:eastAsia="zh-CN"/>
              </w:rPr>
            </w:pPr>
            <w:r>
              <w:rPr>
                <w:rFonts w:hint="eastAsia"/>
                <w:snapToGrid w:val="0"/>
                <w:highlight w:val="none"/>
                <w:lang w:val="en-US" w:eastAsia="zh-CN"/>
              </w:rPr>
              <w:t>/</w:t>
            </w:r>
          </w:p>
        </w:tc>
        <w:tc>
          <w:tcPr>
            <w:tcW w:w="665" w:type="dxa"/>
            <w:shd w:val="clear" w:color="auto" w:fill="auto"/>
            <w:vAlign w:val="center"/>
          </w:tcPr>
          <w:p w14:paraId="5629C8E6">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w:t>
            </w:r>
          </w:p>
        </w:tc>
        <w:tc>
          <w:tcPr>
            <w:tcW w:w="611" w:type="dxa"/>
            <w:vMerge w:val="restart"/>
            <w:vAlign w:val="center"/>
          </w:tcPr>
          <w:p w14:paraId="2526E96F">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90</w:t>
            </w:r>
          </w:p>
        </w:tc>
        <w:tc>
          <w:tcPr>
            <w:tcW w:w="706" w:type="dxa"/>
            <w:vMerge w:val="restart"/>
            <w:vAlign w:val="center"/>
          </w:tcPr>
          <w:p w14:paraId="4D3A3F4E">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油雾净化器+活性炭吸附装置</w:t>
            </w:r>
          </w:p>
        </w:tc>
        <w:tc>
          <w:tcPr>
            <w:tcW w:w="711" w:type="dxa"/>
            <w:vAlign w:val="center"/>
          </w:tcPr>
          <w:p w14:paraId="0CD6EC40">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＞85</w:t>
            </w:r>
          </w:p>
        </w:tc>
        <w:tc>
          <w:tcPr>
            <w:tcW w:w="709" w:type="dxa"/>
            <w:vMerge w:val="restart"/>
            <w:vAlign w:val="center"/>
          </w:tcPr>
          <w:p w14:paraId="7AA98D3D">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5000</w:t>
            </w:r>
          </w:p>
        </w:tc>
        <w:tc>
          <w:tcPr>
            <w:tcW w:w="1928" w:type="dxa"/>
            <w:gridSpan w:val="3"/>
            <w:vAlign w:val="center"/>
          </w:tcPr>
          <w:p w14:paraId="777929AD">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＜2000（无量纲）</w:t>
            </w:r>
          </w:p>
        </w:tc>
        <w:tc>
          <w:tcPr>
            <w:tcW w:w="624" w:type="dxa"/>
            <w:vAlign w:val="center"/>
          </w:tcPr>
          <w:p w14:paraId="77512327">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rPr>
              <w:t>/</w:t>
            </w:r>
          </w:p>
        </w:tc>
        <w:tc>
          <w:tcPr>
            <w:tcW w:w="567" w:type="dxa"/>
            <w:vAlign w:val="center"/>
          </w:tcPr>
          <w:p w14:paraId="159FAD43">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rPr>
              <w:t>/</w:t>
            </w:r>
          </w:p>
        </w:tc>
        <w:tc>
          <w:tcPr>
            <w:tcW w:w="708" w:type="dxa"/>
            <w:vMerge w:val="continue"/>
            <w:vAlign w:val="center"/>
          </w:tcPr>
          <w:p w14:paraId="7EAE5ADF">
            <w:pPr>
              <w:pStyle w:val="8"/>
              <w:suppressLineNumbers w:val="0"/>
              <w:bidi w:val="0"/>
              <w:spacing w:before="0" w:beforeAutospacing="0" w:after="0" w:afterAutospacing="0"/>
              <w:ind w:left="0" w:right="0"/>
              <w:rPr>
                <w:rFonts w:hint="eastAsia"/>
                <w:snapToGrid w:val="0"/>
                <w:highlight w:val="none"/>
                <w:lang w:val="en-US" w:eastAsia="zh-CN"/>
              </w:rPr>
            </w:pPr>
          </w:p>
        </w:tc>
        <w:tc>
          <w:tcPr>
            <w:tcW w:w="709" w:type="dxa"/>
            <w:vMerge w:val="restart"/>
            <w:vAlign w:val="center"/>
          </w:tcPr>
          <w:p w14:paraId="3585B8D2">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15</w:t>
            </w:r>
          </w:p>
        </w:tc>
        <w:tc>
          <w:tcPr>
            <w:tcW w:w="572" w:type="dxa"/>
            <w:vMerge w:val="restart"/>
            <w:vAlign w:val="center"/>
          </w:tcPr>
          <w:p w14:paraId="7FBE4CA6">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0.4</w:t>
            </w:r>
          </w:p>
        </w:tc>
        <w:tc>
          <w:tcPr>
            <w:tcW w:w="660" w:type="dxa"/>
            <w:vMerge w:val="restart"/>
            <w:vAlign w:val="center"/>
          </w:tcPr>
          <w:p w14:paraId="7EA917A4">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常温</w:t>
            </w:r>
          </w:p>
        </w:tc>
        <w:tc>
          <w:tcPr>
            <w:tcW w:w="715" w:type="dxa"/>
            <w:vMerge w:val="restart"/>
            <w:vAlign w:val="center"/>
          </w:tcPr>
          <w:p w14:paraId="4EDA693A">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一般排放口</w:t>
            </w:r>
          </w:p>
        </w:tc>
      </w:tr>
      <w:tr w14:paraId="1AAC8E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853" w:type="dxa"/>
            <w:vMerge w:val="continue"/>
            <w:vAlign w:val="center"/>
          </w:tcPr>
          <w:p w14:paraId="6B39EE93">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000000"/>
                <w:kern w:val="0"/>
                <w:sz w:val="21"/>
                <w:szCs w:val="24"/>
                <w:highlight w:val="none"/>
                <w:lang w:val="en-US" w:eastAsia="zh-CN" w:bidi="ar-SA"/>
              </w:rPr>
            </w:pPr>
          </w:p>
        </w:tc>
        <w:tc>
          <w:tcPr>
            <w:tcW w:w="584" w:type="dxa"/>
            <w:vMerge w:val="continue"/>
            <w:vAlign w:val="center"/>
          </w:tcPr>
          <w:p w14:paraId="03732631">
            <w:pPr>
              <w:pStyle w:val="8"/>
              <w:suppressLineNumbers w:val="0"/>
              <w:bidi w:val="0"/>
              <w:spacing w:before="0" w:beforeAutospacing="0" w:after="0" w:afterAutospacing="0"/>
              <w:ind w:left="0" w:right="0"/>
              <w:rPr>
                <w:rFonts w:hint="default"/>
                <w:snapToGrid w:val="0"/>
                <w:highlight w:val="none"/>
              </w:rPr>
            </w:pPr>
          </w:p>
        </w:tc>
        <w:tc>
          <w:tcPr>
            <w:tcW w:w="527" w:type="dxa"/>
            <w:vAlign w:val="center"/>
          </w:tcPr>
          <w:p w14:paraId="5CBF7C6E">
            <w:pPr>
              <w:pStyle w:val="8"/>
              <w:suppressLineNumbers w:val="0"/>
              <w:bidi w:val="0"/>
              <w:spacing w:before="0" w:beforeAutospacing="0" w:after="0" w:afterAutospacing="0"/>
              <w:ind w:left="0" w:leftChars="0" w:right="0" w:rightChars="0" w:firstLine="0" w:firstLineChars="0"/>
              <w:rPr>
                <w:rFonts w:hint="default"/>
                <w:snapToGrid w:val="0"/>
                <w:highlight w:val="none"/>
              </w:rPr>
            </w:pPr>
            <w:r>
              <w:rPr>
                <w:rFonts w:hint="eastAsia"/>
                <w:snapToGrid w:val="0"/>
                <w:highlight w:val="none"/>
                <w:lang w:val="en-US" w:eastAsia="zh-CN"/>
              </w:rPr>
              <w:t>非甲烷总烃</w:t>
            </w:r>
          </w:p>
        </w:tc>
        <w:tc>
          <w:tcPr>
            <w:tcW w:w="727" w:type="dxa"/>
            <w:vMerge w:val="continue"/>
            <w:vAlign w:val="center"/>
          </w:tcPr>
          <w:p w14:paraId="306D8595">
            <w:pPr>
              <w:pStyle w:val="8"/>
              <w:suppressLineNumbers w:val="0"/>
              <w:bidi w:val="0"/>
              <w:spacing w:before="0" w:beforeAutospacing="0" w:after="0" w:afterAutospacing="0"/>
              <w:ind w:left="0" w:right="0"/>
              <w:rPr>
                <w:rFonts w:hint="eastAsia"/>
                <w:snapToGrid w:val="0"/>
                <w:highlight w:val="none"/>
                <w:lang w:val="en-US" w:eastAsia="zh-CN"/>
              </w:rPr>
            </w:pPr>
          </w:p>
        </w:tc>
        <w:tc>
          <w:tcPr>
            <w:tcW w:w="679" w:type="dxa"/>
            <w:vMerge w:val="continue"/>
            <w:vAlign w:val="center"/>
          </w:tcPr>
          <w:p w14:paraId="6BED385F">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p>
        </w:tc>
        <w:tc>
          <w:tcPr>
            <w:tcW w:w="720" w:type="dxa"/>
            <w:vAlign w:val="center"/>
          </w:tcPr>
          <w:p w14:paraId="147634EE">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519.576</w:t>
            </w:r>
          </w:p>
        </w:tc>
        <w:tc>
          <w:tcPr>
            <w:tcW w:w="665" w:type="dxa"/>
            <w:shd w:val="clear" w:color="auto" w:fill="auto"/>
            <w:vAlign w:val="center"/>
          </w:tcPr>
          <w:p w14:paraId="515CC540">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2.598</w:t>
            </w:r>
          </w:p>
        </w:tc>
        <w:tc>
          <w:tcPr>
            <w:tcW w:w="611" w:type="dxa"/>
            <w:vMerge w:val="continue"/>
            <w:vAlign w:val="center"/>
          </w:tcPr>
          <w:p w14:paraId="0763B13A">
            <w:pPr>
              <w:pStyle w:val="8"/>
              <w:suppressLineNumbers w:val="0"/>
              <w:bidi w:val="0"/>
              <w:spacing w:before="0" w:beforeAutospacing="0" w:after="0" w:afterAutospacing="0"/>
              <w:ind w:left="0" w:leftChars="0" w:right="0" w:rightChars="0" w:firstLine="0" w:firstLineChars="0"/>
              <w:rPr>
                <w:rFonts w:hint="eastAsia"/>
                <w:snapToGrid w:val="0"/>
                <w:highlight w:val="none"/>
              </w:rPr>
            </w:pPr>
          </w:p>
        </w:tc>
        <w:tc>
          <w:tcPr>
            <w:tcW w:w="706" w:type="dxa"/>
            <w:vMerge w:val="continue"/>
            <w:vAlign w:val="center"/>
          </w:tcPr>
          <w:p w14:paraId="4367F5A0">
            <w:pPr>
              <w:pStyle w:val="8"/>
              <w:suppressLineNumbers w:val="0"/>
              <w:bidi w:val="0"/>
              <w:spacing w:before="0" w:beforeAutospacing="0" w:after="0" w:afterAutospacing="0"/>
              <w:ind w:left="0" w:leftChars="0" w:right="0" w:rightChars="0" w:firstLine="0" w:firstLineChars="0"/>
              <w:rPr>
                <w:rFonts w:hint="eastAsia"/>
                <w:snapToGrid w:val="0"/>
                <w:highlight w:val="none"/>
              </w:rPr>
            </w:pPr>
          </w:p>
        </w:tc>
        <w:tc>
          <w:tcPr>
            <w:tcW w:w="711" w:type="dxa"/>
            <w:vAlign w:val="center"/>
          </w:tcPr>
          <w:p w14:paraId="0A574753">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99</w:t>
            </w:r>
          </w:p>
        </w:tc>
        <w:tc>
          <w:tcPr>
            <w:tcW w:w="709" w:type="dxa"/>
            <w:vMerge w:val="continue"/>
            <w:vAlign w:val="center"/>
          </w:tcPr>
          <w:p w14:paraId="1476090A">
            <w:pPr>
              <w:pStyle w:val="8"/>
              <w:suppressLineNumbers w:val="0"/>
              <w:bidi w:val="0"/>
              <w:spacing w:before="0" w:beforeAutospacing="0" w:after="0" w:afterAutospacing="0"/>
              <w:ind w:left="0" w:leftChars="0" w:right="0" w:rightChars="0" w:firstLine="0" w:firstLineChars="0"/>
              <w:rPr>
                <w:rFonts w:hint="eastAsia"/>
                <w:snapToGrid w:val="0"/>
                <w:highlight w:val="none"/>
              </w:rPr>
            </w:pPr>
          </w:p>
        </w:tc>
        <w:tc>
          <w:tcPr>
            <w:tcW w:w="709" w:type="dxa"/>
            <w:vAlign w:val="center"/>
          </w:tcPr>
          <w:p w14:paraId="57BA691F">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5.196</w:t>
            </w:r>
          </w:p>
        </w:tc>
        <w:tc>
          <w:tcPr>
            <w:tcW w:w="634" w:type="dxa"/>
            <w:vAlign w:val="center"/>
          </w:tcPr>
          <w:p w14:paraId="4FFC4660">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0.288</w:t>
            </w:r>
          </w:p>
        </w:tc>
        <w:tc>
          <w:tcPr>
            <w:tcW w:w="585" w:type="dxa"/>
            <w:vAlign w:val="center"/>
          </w:tcPr>
          <w:p w14:paraId="181E6B7C">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0.062</w:t>
            </w:r>
          </w:p>
        </w:tc>
        <w:tc>
          <w:tcPr>
            <w:tcW w:w="624" w:type="dxa"/>
            <w:vAlign w:val="center"/>
          </w:tcPr>
          <w:p w14:paraId="65BB2650">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rPr>
              <w:t>/</w:t>
            </w:r>
          </w:p>
        </w:tc>
        <w:tc>
          <w:tcPr>
            <w:tcW w:w="567" w:type="dxa"/>
            <w:vAlign w:val="center"/>
          </w:tcPr>
          <w:p w14:paraId="10B0BF82">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rPr>
              <w:t>/</w:t>
            </w:r>
          </w:p>
        </w:tc>
        <w:tc>
          <w:tcPr>
            <w:tcW w:w="708" w:type="dxa"/>
            <w:vMerge w:val="continue"/>
            <w:vAlign w:val="center"/>
          </w:tcPr>
          <w:p w14:paraId="4892AE7B">
            <w:pPr>
              <w:pStyle w:val="8"/>
              <w:suppressLineNumbers w:val="0"/>
              <w:bidi w:val="0"/>
              <w:spacing w:before="0" w:beforeAutospacing="0" w:after="0" w:afterAutospacing="0"/>
              <w:ind w:left="0" w:right="0"/>
              <w:rPr>
                <w:rFonts w:hint="eastAsia"/>
                <w:snapToGrid w:val="0"/>
                <w:highlight w:val="none"/>
                <w:lang w:val="en-US" w:eastAsia="zh-CN"/>
              </w:rPr>
            </w:pPr>
          </w:p>
        </w:tc>
        <w:tc>
          <w:tcPr>
            <w:tcW w:w="709" w:type="dxa"/>
            <w:vMerge w:val="continue"/>
            <w:vAlign w:val="center"/>
          </w:tcPr>
          <w:p w14:paraId="570E23B2">
            <w:pPr>
              <w:pStyle w:val="8"/>
              <w:suppressLineNumbers w:val="0"/>
              <w:bidi w:val="0"/>
              <w:spacing w:before="0" w:beforeAutospacing="0" w:after="0" w:afterAutospacing="0"/>
              <w:ind w:left="0" w:leftChars="0" w:right="0" w:rightChars="0" w:firstLine="0" w:firstLineChars="0"/>
              <w:rPr>
                <w:rFonts w:hint="eastAsia"/>
                <w:snapToGrid w:val="0"/>
                <w:highlight w:val="none"/>
              </w:rPr>
            </w:pPr>
          </w:p>
        </w:tc>
        <w:tc>
          <w:tcPr>
            <w:tcW w:w="572" w:type="dxa"/>
            <w:vMerge w:val="continue"/>
            <w:vAlign w:val="center"/>
          </w:tcPr>
          <w:p w14:paraId="09AA4F3B">
            <w:pPr>
              <w:pStyle w:val="8"/>
              <w:suppressLineNumbers w:val="0"/>
              <w:bidi w:val="0"/>
              <w:spacing w:before="0" w:beforeAutospacing="0" w:after="0" w:afterAutospacing="0"/>
              <w:ind w:left="0" w:leftChars="0" w:right="0" w:rightChars="0" w:firstLine="0" w:firstLineChars="0"/>
              <w:rPr>
                <w:rFonts w:hint="eastAsia"/>
                <w:snapToGrid w:val="0"/>
                <w:highlight w:val="none"/>
              </w:rPr>
            </w:pPr>
          </w:p>
        </w:tc>
        <w:tc>
          <w:tcPr>
            <w:tcW w:w="660" w:type="dxa"/>
            <w:vMerge w:val="continue"/>
            <w:vAlign w:val="center"/>
          </w:tcPr>
          <w:p w14:paraId="26E0A745">
            <w:pPr>
              <w:pStyle w:val="8"/>
              <w:suppressLineNumbers w:val="0"/>
              <w:bidi w:val="0"/>
              <w:spacing w:before="0" w:beforeAutospacing="0" w:after="0" w:afterAutospacing="0"/>
              <w:ind w:left="0" w:leftChars="0" w:right="0" w:rightChars="0" w:firstLine="0" w:firstLineChars="0"/>
              <w:rPr>
                <w:rFonts w:hint="eastAsia"/>
                <w:snapToGrid w:val="0"/>
                <w:highlight w:val="none"/>
              </w:rPr>
            </w:pPr>
          </w:p>
        </w:tc>
        <w:tc>
          <w:tcPr>
            <w:tcW w:w="715" w:type="dxa"/>
            <w:vMerge w:val="continue"/>
            <w:vAlign w:val="center"/>
          </w:tcPr>
          <w:p w14:paraId="68E30A3A">
            <w:pPr>
              <w:pStyle w:val="8"/>
              <w:suppressLineNumbers w:val="0"/>
              <w:bidi w:val="0"/>
              <w:spacing w:before="0" w:beforeAutospacing="0" w:after="0" w:afterAutospacing="0"/>
              <w:ind w:left="0" w:leftChars="0" w:right="0" w:rightChars="0" w:firstLine="0" w:firstLineChars="0"/>
              <w:rPr>
                <w:rFonts w:hint="eastAsia"/>
                <w:snapToGrid w:val="0"/>
                <w:highlight w:val="none"/>
              </w:rPr>
            </w:pPr>
          </w:p>
        </w:tc>
      </w:tr>
      <w:tr w14:paraId="2DD584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53" w:type="dxa"/>
            <w:vMerge w:val="continue"/>
            <w:vAlign w:val="center"/>
          </w:tcPr>
          <w:p w14:paraId="2A41792A">
            <w:pPr>
              <w:pStyle w:val="8"/>
              <w:suppressLineNumbers w:val="0"/>
              <w:bidi w:val="0"/>
              <w:spacing w:before="0" w:beforeAutospacing="0" w:after="0" w:afterAutospacing="0"/>
              <w:ind w:left="0" w:leftChars="0" w:right="0" w:rightChars="0" w:firstLine="0" w:firstLineChars="0"/>
              <w:rPr>
                <w:rFonts w:hint="default"/>
                <w:snapToGrid w:val="0"/>
                <w:highlight w:val="none"/>
              </w:rPr>
            </w:pPr>
          </w:p>
        </w:tc>
        <w:tc>
          <w:tcPr>
            <w:tcW w:w="584" w:type="dxa"/>
            <w:vMerge w:val="continue"/>
            <w:vAlign w:val="center"/>
          </w:tcPr>
          <w:p w14:paraId="0C0555FB">
            <w:pPr>
              <w:pStyle w:val="8"/>
              <w:suppressLineNumbers w:val="0"/>
              <w:bidi w:val="0"/>
              <w:spacing w:before="0" w:beforeAutospacing="0" w:after="0" w:afterAutospacing="0"/>
              <w:ind w:left="0" w:right="0" w:firstLine="0" w:firstLineChars="0"/>
              <w:rPr>
                <w:rFonts w:hint="default"/>
                <w:snapToGrid w:val="0"/>
                <w:highlight w:val="none"/>
              </w:rPr>
            </w:pPr>
          </w:p>
        </w:tc>
        <w:tc>
          <w:tcPr>
            <w:tcW w:w="527" w:type="dxa"/>
            <w:vAlign w:val="center"/>
          </w:tcPr>
          <w:p w14:paraId="5EE73020">
            <w:pPr>
              <w:pStyle w:val="8"/>
              <w:suppressLineNumbers w:val="0"/>
              <w:bidi w:val="0"/>
              <w:spacing w:before="0" w:beforeAutospacing="0" w:after="0" w:afterAutospacing="0"/>
              <w:ind w:left="0" w:leftChars="0" w:right="0" w:rightChars="0" w:firstLine="0" w:firstLineChars="0"/>
              <w:rPr>
                <w:rFonts w:hint="default"/>
                <w:snapToGrid w:val="0"/>
                <w:highlight w:val="none"/>
              </w:rPr>
            </w:pPr>
            <w:r>
              <w:rPr>
                <w:rFonts w:hint="eastAsia"/>
                <w:snapToGrid w:val="0"/>
                <w:highlight w:val="none"/>
                <w:lang w:val="en-US" w:eastAsia="zh-CN"/>
              </w:rPr>
              <w:t>颗粒物</w:t>
            </w:r>
          </w:p>
        </w:tc>
        <w:tc>
          <w:tcPr>
            <w:tcW w:w="727" w:type="dxa"/>
            <w:vMerge w:val="continue"/>
            <w:vAlign w:val="center"/>
          </w:tcPr>
          <w:p w14:paraId="2A8A0277">
            <w:pPr>
              <w:pStyle w:val="8"/>
              <w:suppressLineNumbers w:val="0"/>
              <w:bidi w:val="0"/>
              <w:spacing w:before="0" w:beforeAutospacing="0" w:after="0" w:afterAutospacing="0"/>
              <w:ind w:left="0" w:right="0"/>
              <w:rPr>
                <w:rFonts w:hint="default"/>
                <w:snapToGrid w:val="0"/>
                <w:highlight w:val="none"/>
              </w:rPr>
            </w:pPr>
          </w:p>
        </w:tc>
        <w:tc>
          <w:tcPr>
            <w:tcW w:w="679" w:type="dxa"/>
            <w:vMerge w:val="continue"/>
            <w:vAlign w:val="center"/>
          </w:tcPr>
          <w:p w14:paraId="57454E59">
            <w:pPr>
              <w:pStyle w:val="8"/>
              <w:suppressLineNumbers w:val="0"/>
              <w:bidi w:val="0"/>
              <w:spacing w:before="0" w:beforeAutospacing="0" w:after="0" w:afterAutospacing="0"/>
              <w:ind w:left="0" w:right="0"/>
              <w:rPr>
                <w:rFonts w:hint="default" w:eastAsia="宋体"/>
                <w:snapToGrid w:val="0"/>
                <w:highlight w:val="none"/>
                <w:lang w:val="en-US" w:eastAsia="zh-CN"/>
              </w:rPr>
            </w:pPr>
          </w:p>
        </w:tc>
        <w:tc>
          <w:tcPr>
            <w:tcW w:w="720" w:type="dxa"/>
            <w:vAlign w:val="center"/>
          </w:tcPr>
          <w:p w14:paraId="0AA5CB63">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0.872</w:t>
            </w:r>
          </w:p>
        </w:tc>
        <w:tc>
          <w:tcPr>
            <w:tcW w:w="665" w:type="dxa"/>
            <w:vAlign w:val="center"/>
          </w:tcPr>
          <w:p w14:paraId="0D32BE90">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0.004</w:t>
            </w:r>
          </w:p>
        </w:tc>
        <w:tc>
          <w:tcPr>
            <w:tcW w:w="611" w:type="dxa"/>
            <w:vMerge w:val="continue"/>
            <w:vAlign w:val="center"/>
          </w:tcPr>
          <w:p w14:paraId="4B144CE7">
            <w:pPr>
              <w:pStyle w:val="8"/>
              <w:suppressLineNumbers w:val="0"/>
              <w:bidi w:val="0"/>
              <w:spacing w:before="0" w:beforeAutospacing="0" w:after="0" w:afterAutospacing="0"/>
              <w:ind w:left="0" w:right="0"/>
              <w:rPr>
                <w:rFonts w:hint="eastAsia" w:eastAsia="宋体"/>
                <w:snapToGrid w:val="0"/>
                <w:highlight w:val="none"/>
                <w:lang w:val="en-US" w:eastAsia="zh-CN"/>
              </w:rPr>
            </w:pPr>
          </w:p>
        </w:tc>
        <w:tc>
          <w:tcPr>
            <w:tcW w:w="706" w:type="dxa"/>
            <w:vMerge w:val="continue"/>
            <w:vAlign w:val="center"/>
          </w:tcPr>
          <w:p w14:paraId="37A3EDD8">
            <w:pPr>
              <w:pStyle w:val="8"/>
              <w:suppressLineNumbers w:val="0"/>
              <w:bidi w:val="0"/>
              <w:spacing w:before="0" w:beforeAutospacing="0" w:after="0" w:afterAutospacing="0"/>
              <w:ind w:left="0" w:right="0"/>
              <w:rPr>
                <w:rFonts w:hint="default" w:eastAsia="宋体"/>
                <w:snapToGrid w:val="0"/>
                <w:highlight w:val="none"/>
                <w:lang w:val="en-US" w:eastAsia="zh-CN"/>
              </w:rPr>
            </w:pPr>
          </w:p>
        </w:tc>
        <w:tc>
          <w:tcPr>
            <w:tcW w:w="711" w:type="dxa"/>
            <w:vAlign w:val="center"/>
          </w:tcPr>
          <w:p w14:paraId="36ECE9A0">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w:t>
            </w:r>
          </w:p>
        </w:tc>
        <w:tc>
          <w:tcPr>
            <w:tcW w:w="709" w:type="dxa"/>
            <w:vMerge w:val="continue"/>
            <w:vAlign w:val="center"/>
          </w:tcPr>
          <w:p w14:paraId="7FCF328F">
            <w:pPr>
              <w:pStyle w:val="8"/>
              <w:suppressLineNumbers w:val="0"/>
              <w:bidi w:val="0"/>
              <w:spacing w:before="0" w:beforeAutospacing="0" w:after="0" w:afterAutospacing="0"/>
              <w:ind w:left="0" w:right="0"/>
              <w:rPr>
                <w:rFonts w:hint="default" w:eastAsia="宋体"/>
                <w:snapToGrid w:val="0"/>
                <w:highlight w:val="none"/>
                <w:lang w:val="en-US" w:eastAsia="zh-CN"/>
              </w:rPr>
            </w:pPr>
          </w:p>
        </w:tc>
        <w:tc>
          <w:tcPr>
            <w:tcW w:w="709" w:type="dxa"/>
            <w:vAlign w:val="center"/>
          </w:tcPr>
          <w:p w14:paraId="2C047A16">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0.009</w:t>
            </w:r>
          </w:p>
        </w:tc>
        <w:tc>
          <w:tcPr>
            <w:tcW w:w="634" w:type="dxa"/>
            <w:vAlign w:val="center"/>
          </w:tcPr>
          <w:p w14:paraId="21E37C15">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0.00004</w:t>
            </w:r>
          </w:p>
        </w:tc>
        <w:tc>
          <w:tcPr>
            <w:tcW w:w="585" w:type="dxa"/>
            <w:vAlign w:val="center"/>
          </w:tcPr>
          <w:p w14:paraId="43ABBDB8">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0.0001</w:t>
            </w:r>
          </w:p>
        </w:tc>
        <w:tc>
          <w:tcPr>
            <w:tcW w:w="624" w:type="dxa"/>
            <w:vAlign w:val="center"/>
          </w:tcPr>
          <w:p w14:paraId="214D8AFB">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567" w:type="dxa"/>
            <w:vAlign w:val="center"/>
          </w:tcPr>
          <w:p w14:paraId="08805E67">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rPr>
              <w:t>/</w:t>
            </w:r>
          </w:p>
        </w:tc>
        <w:tc>
          <w:tcPr>
            <w:tcW w:w="708" w:type="dxa"/>
            <w:vMerge w:val="continue"/>
            <w:vAlign w:val="center"/>
          </w:tcPr>
          <w:p w14:paraId="28D0C142">
            <w:pPr>
              <w:pStyle w:val="8"/>
              <w:suppressLineNumbers w:val="0"/>
              <w:bidi w:val="0"/>
              <w:spacing w:before="0" w:beforeAutospacing="0" w:after="0" w:afterAutospacing="0"/>
              <w:ind w:left="0" w:right="0"/>
              <w:rPr>
                <w:rFonts w:hint="default" w:eastAsia="宋体"/>
                <w:snapToGrid w:val="0"/>
                <w:highlight w:val="none"/>
                <w:lang w:val="en-US" w:eastAsia="zh-CN"/>
              </w:rPr>
            </w:pPr>
          </w:p>
        </w:tc>
        <w:tc>
          <w:tcPr>
            <w:tcW w:w="709" w:type="dxa"/>
            <w:vMerge w:val="continue"/>
            <w:vAlign w:val="center"/>
          </w:tcPr>
          <w:p w14:paraId="6BB87986">
            <w:pPr>
              <w:pStyle w:val="8"/>
              <w:suppressLineNumbers w:val="0"/>
              <w:bidi w:val="0"/>
              <w:spacing w:before="0" w:beforeAutospacing="0" w:after="0" w:afterAutospacing="0"/>
              <w:ind w:left="0" w:right="0" w:firstLine="0" w:firstLineChars="0"/>
              <w:rPr>
                <w:rFonts w:hint="eastAsia"/>
                <w:snapToGrid w:val="0"/>
                <w:highlight w:val="none"/>
              </w:rPr>
            </w:pPr>
          </w:p>
        </w:tc>
        <w:tc>
          <w:tcPr>
            <w:tcW w:w="572" w:type="dxa"/>
            <w:vMerge w:val="continue"/>
            <w:vAlign w:val="center"/>
          </w:tcPr>
          <w:p w14:paraId="74FDE109">
            <w:pPr>
              <w:pStyle w:val="8"/>
              <w:suppressLineNumbers w:val="0"/>
              <w:bidi w:val="0"/>
              <w:spacing w:before="0" w:beforeAutospacing="0" w:after="0" w:afterAutospacing="0"/>
              <w:ind w:left="0" w:right="0" w:firstLine="0" w:firstLineChars="0"/>
              <w:rPr>
                <w:rFonts w:hint="eastAsia"/>
                <w:snapToGrid w:val="0"/>
                <w:highlight w:val="none"/>
              </w:rPr>
            </w:pPr>
          </w:p>
        </w:tc>
        <w:tc>
          <w:tcPr>
            <w:tcW w:w="660" w:type="dxa"/>
            <w:vMerge w:val="continue"/>
            <w:vAlign w:val="center"/>
          </w:tcPr>
          <w:p w14:paraId="6859BCFC">
            <w:pPr>
              <w:pStyle w:val="8"/>
              <w:suppressLineNumbers w:val="0"/>
              <w:bidi w:val="0"/>
              <w:spacing w:before="0" w:beforeAutospacing="0" w:after="0" w:afterAutospacing="0"/>
              <w:ind w:left="0" w:right="0" w:firstLine="0" w:firstLineChars="0"/>
              <w:rPr>
                <w:rFonts w:hint="eastAsia"/>
                <w:snapToGrid w:val="0"/>
                <w:highlight w:val="none"/>
              </w:rPr>
            </w:pPr>
          </w:p>
        </w:tc>
        <w:tc>
          <w:tcPr>
            <w:tcW w:w="715" w:type="dxa"/>
            <w:vMerge w:val="continue"/>
            <w:vAlign w:val="center"/>
          </w:tcPr>
          <w:p w14:paraId="7D4A448D">
            <w:pPr>
              <w:pStyle w:val="8"/>
              <w:suppressLineNumbers w:val="0"/>
              <w:bidi w:val="0"/>
              <w:spacing w:before="0" w:beforeAutospacing="0" w:after="0" w:afterAutospacing="0"/>
              <w:ind w:left="0" w:right="0"/>
              <w:rPr>
                <w:rFonts w:hint="eastAsia" w:eastAsia="宋体"/>
                <w:snapToGrid w:val="0"/>
                <w:highlight w:val="none"/>
                <w:lang w:val="en-US" w:eastAsia="zh-CN"/>
              </w:rPr>
            </w:pPr>
          </w:p>
        </w:tc>
      </w:tr>
      <w:tr w14:paraId="2B4E64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53" w:type="dxa"/>
            <w:vMerge w:val="restart"/>
            <w:vAlign w:val="center"/>
          </w:tcPr>
          <w:p w14:paraId="0AE68C23">
            <w:pPr>
              <w:pStyle w:val="8"/>
              <w:suppressLineNumbers w:val="0"/>
              <w:bidi w:val="0"/>
              <w:spacing w:before="0" w:beforeAutospacing="0" w:after="0" w:afterAutospacing="0"/>
              <w:ind w:left="0" w:leftChars="0" w:right="0" w:rightChars="0" w:firstLine="0" w:firstLineChars="0"/>
              <w:rPr>
                <w:rFonts w:hint="eastAsia" w:eastAsia="宋体"/>
                <w:snapToGrid w:val="0"/>
                <w:highlight w:val="none"/>
                <w:lang w:val="en-US" w:eastAsia="zh-CN"/>
              </w:rPr>
            </w:pPr>
            <w:r>
              <w:rPr>
                <w:rFonts w:hint="eastAsia" w:hAnsiTheme="minorEastAsia" w:eastAsiaTheme="minorEastAsia"/>
                <w:snapToGrid w:val="0"/>
                <w:color w:val="auto"/>
                <w:kern w:val="0"/>
                <w:szCs w:val="21"/>
                <w:highlight w:val="none"/>
                <w:lang w:eastAsia="zh-CN"/>
              </w:rPr>
              <w:t>危险废物贮存库</w:t>
            </w:r>
          </w:p>
        </w:tc>
        <w:tc>
          <w:tcPr>
            <w:tcW w:w="584" w:type="dxa"/>
            <w:vAlign w:val="center"/>
          </w:tcPr>
          <w:p w14:paraId="0E366765">
            <w:pPr>
              <w:pStyle w:val="8"/>
              <w:suppressLineNumbers w:val="0"/>
              <w:bidi w:val="0"/>
              <w:spacing w:before="0" w:beforeAutospacing="0" w:after="0" w:afterAutospacing="0"/>
              <w:ind w:left="0" w:right="0" w:firstLine="0" w:firstLineChars="0"/>
              <w:rPr>
                <w:rFonts w:hint="default"/>
                <w:snapToGrid w:val="0"/>
                <w:highlight w:val="none"/>
              </w:rPr>
            </w:pPr>
            <w:r>
              <w:rPr>
                <w:rFonts w:hint="default"/>
                <w:snapToGrid w:val="0"/>
                <w:highlight w:val="none"/>
              </w:rPr>
              <w:t>DA0</w:t>
            </w:r>
            <w:r>
              <w:rPr>
                <w:rFonts w:hint="eastAsia"/>
                <w:snapToGrid w:val="0"/>
                <w:highlight w:val="none"/>
                <w:lang w:val="en-US" w:eastAsia="zh-CN"/>
              </w:rPr>
              <w:t>65</w:t>
            </w:r>
            <w:r>
              <w:rPr>
                <w:rFonts w:hint="default"/>
                <w:snapToGrid w:val="0"/>
                <w:highlight w:val="none"/>
              </w:rPr>
              <w:t>排气筒</w:t>
            </w:r>
          </w:p>
        </w:tc>
        <w:tc>
          <w:tcPr>
            <w:tcW w:w="527" w:type="dxa"/>
            <w:vMerge w:val="restart"/>
            <w:vAlign w:val="center"/>
          </w:tcPr>
          <w:p w14:paraId="04D0B1AF">
            <w:pPr>
              <w:pStyle w:val="8"/>
              <w:suppressLineNumbers w:val="0"/>
              <w:bidi w:val="0"/>
              <w:spacing w:before="0" w:beforeAutospacing="0" w:after="0" w:afterAutospacing="0"/>
              <w:ind w:left="0" w:right="0"/>
              <w:rPr>
                <w:rFonts w:hint="eastAsia" w:eastAsia="宋体"/>
                <w:snapToGrid w:val="0"/>
                <w:highlight w:val="none"/>
                <w:lang w:val="en-US" w:eastAsia="zh-CN"/>
              </w:rPr>
            </w:pPr>
            <w:r>
              <w:rPr>
                <w:rFonts w:hint="eastAsia"/>
                <w:snapToGrid w:val="0"/>
                <w:highlight w:val="none"/>
                <w:lang w:val="en-US" w:eastAsia="zh-CN"/>
              </w:rPr>
              <w:t>非甲烷总烃</w:t>
            </w:r>
          </w:p>
        </w:tc>
        <w:tc>
          <w:tcPr>
            <w:tcW w:w="727" w:type="dxa"/>
            <w:vMerge w:val="continue"/>
            <w:vAlign w:val="center"/>
          </w:tcPr>
          <w:p w14:paraId="15D984DF">
            <w:pPr>
              <w:pStyle w:val="8"/>
              <w:suppressLineNumbers w:val="0"/>
              <w:bidi w:val="0"/>
              <w:spacing w:before="0" w:beforeAutospacing="0" w:after="0" w:afterAutospacing="0"/>
              <w:ind w:left="0" w:right="0"/>
              <w:rPr>
                <w:rFonts w:hint="default"/>
                <w:snapToGrid w:val="0"/>
                <w:highlight w:val="none"/>
              </w:rPr>
            </w:pPr>
          </w:p>
        </w:tc>
        <w:tc>
          <w:tcPr>
            <w:tcW w:w="679" w:type="dxa"/>
            <w:vAlign w:val="center"/>
          </w:tcPr>
          <w:p w14:paraId="31D18601">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5000</w:t>
            </w:r>
          </w:p>
        </w:tc>
        <w:tc>
          <w:tcPr>
            <w:tcW w:w="720" w:type="dxa"/>
            <w:vAlign w:val="center"/>
          </w:tcPr>
          <w:p w14:paraId="116649A7">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9.661</w:t>
            </w:r>
          </w:p>
        </w:tc>
        <w:tc>
          <w:tcPr>
            <w:tcW w:w="665" w:type="dxa"/>
            <w:vAlign w:val="center"/>
          </w:tcPr>
          <w:p w14:paraId="557C7D90">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0.048</w:t>
            </w:r>
          </w:p>
        </w:tc>
        <w:tc>
          <w:tcPr>
            <w:tcW w:w="611" w:type="dxa"/>
            <w:vAlign w:val="center"/>
          </w:tcPr>
          <w:p w14:paraId="30A44194">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90</w:t>
            </w:r>
          </w:p>
        </w:tc>
        <w:tc>
          <w:tcPr>
            <w:tcW w:w="706" w:type="dxa"/>
            <w:vAlign w:val="center"/>
          </w:tcPr>
          <w:p w14:paraId="0F4DDA1E">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油雾净化器</w:t>
            </w:r>
          </w:p>
        </w:tc>
        <w:tc>
          <w:tcPr>
            <w:tcW w:w="711" w:type="dxa"/>
            <w:vAlign w:val="center"/>
          </w:tcPr>
          <w:p w14:paraId="2B7EAE8A">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90</w:t>
            </w:r>
          </w:p>
        </w:tc>
        <w:tc>
          <w:tcPr>
            <w:tcW w:w="709" w:type="dxa"/>
            <w:vAlign w:val="center"/>
          </w:tcPr>
          <w:p w14:paraId="2226A3DE">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5000</w:t>
            </w:r>
          </w:p>
        </w:tc>
        <w:tc>
          <w:tcPr>
            <w:tcW w:w="709" w:type="dxa"/>
            <w:vAlign w:val="center"/>
          </w:tcPr>
          <w:p w14:paraId="53880FA7">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0.966</w:t>
            </w:r>
          </w:p>
        </w:tc>
        <w:tc>
          <w:tcPr>
            <w:tcW w:w="634" w:type="dxa"/>
            <w:vAlign w:val="center"/>
          </w:tcPr>
          <w:p w14:paraId="473678A3">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0.005</w:t>
            </w:r>
          </w:p>
        </w:tc>
        <w:tc>
          <w:tcPr>
            <w:tcW w:w="585" w:type="dxa"/>
            <w:vAlign w:val="center"/>
          </w:tcPr>
          <w:p w14:paraId="5A690F05">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0.003</w:t>
            </w:r>
          </w:p>
        </w:tc>
        <w:tc>
          <w:tcPr>
            <w:tcW w:w="624" w:type="dxa"/>
            <w:vAlign w:val="center"/>
          </w:tcPr>
          <w:p w14:paraId="7CD27EF4">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w:t>
            </w:r>
          </w:p>
        </w:tc>
        <w:tc>
          <w:tcPr>
            <w:tcW w:w="567" w:type="dxa"/>
            <w:vAlign w:val="center"/>
          </w:tcPr>
          <w:p w14:paraId="74497094">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w:t>
            </w:r>
          </w:p>
        </w:tc>
        <w:tc>
          <w:tcPr>
            <w:tcW w:w="708" w:type="dxa"/>
            <w:vMerge w:val="restart"/>
            <w:vAlign w:val="center"/>
          </w:tcPr>
          <w:p w14:paraId="01CD8B1F">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720</w:t>
            </w:r>
          </w:p>
        </w:tc>
        <w:tc>
          <w:tcPr>
            <w:tcW w:w="709" w:type="dxa"/>
            <w:vAlign w:val="center"/>
          </w:tcPr>
          <w:p w14:paraId="4765ACC4">
            <w:pPr>
              <w:pStyle w:val="8"/>
              <w:suppressLineNumbers w:val="0"/>
              <w:bidi w:val="0"/>
              <w:spacing w:before="0" w:beforeAutospacing="0" w:after="0" w:afterAutospacing="0"/>
              <w:ind w:left="0" w:leftChars="0" w:right="0" w:rightChars="0" w:firstLine="0" w:firstLineChars="0"/>
              <w:rPr>
                <w:rFonts w:hint="default" w:eastAsia="宋体"/>
                <w:snapToGrid w:val="0"/>
                <w:highlight w:val="none"/>
                <w:lang w:val="en-US" w:eastAsia="zh-CN"/>
              </w:rPr>
            </w:pPr>
            <w:r>
              <w:rPr>
                <w:rFonts w:hint="eastAsia"/>
                <w:snapToGrid w:val="0"/>
                <w:highlight w:val="none"/>
                <w:lang w:val="en-US" w:eastAsia="zh-CN"/>
              </w:rPr>
              <w:t>15</w:t>
            </w:r>
          </w:p>
        </w:tc>
        <w:tc>
          <w:tcPr>
            <w:tcW w:w="572" w:type="dxa"/>
            <w:vAlign w:val="center"/>
          </w:tcPr>
          <w:p w14:paraId="540E1526">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lang w:val="en-US" w:eastAsia="zh-CN"/>
              </w:rPr>
              <w:t>0.7</w:t>
            </w:r>
          </w:p>
        </w:tc>
        <w:tc>
          <w:tcPr>
            <w:tcW w:w="660" w:type="dxa"/>
            <w:vAlign w:val="center"/>
          </w:tcPr>
          <w:p w14:paraId="58E23AB3">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lang w:val="en-US" w:eastAsia="zh-CN"/>
              </w:rPr>
              <w:t>常温</w:t>
            </w:r>
          </w:p>
        </w:tc>
        <w:tc>
          <w:tcPr>
            <w:tcW w:w="715" w:type="dxa"/>
            <w:vAlign w:val="center"/>
          </w:tcPr>
          <w:p w14:paraId="098C5783">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一般排放口</w:t>
            </w:r>
          </w:p>
        </w:tc>
      </w:tr>
      <w:tr w14:paraId="6420C8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53" w:type="dxa"/>
            <w:vMerge w:val="continue"/>
            <w:vAlign w:val="center"/>
          </w:tcPr>
          <w:p w14:paraId="3EA11F9D">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p>
        </w:tc>
        <w:tc>
          <w:tcPr>
            <w:tcW w:w="584" w:type="dxa"/>
            <w:vAlign w:val="center"/>
          </w:tcPr>
          <w:p w14:paraId="51490145">
            <w:pPr>
              <w:pStyle w:val="8"/>
              <w:suppressLineNumbers w:val="0"/>
              <w:bidi w:val="0"/>
              <w:spacing w:before="0" w:beforeAutospacing="0" w:after="0" w:afterAutospacing="0"/>
              <w:ind w:left="0" w:right="0" w:firstLine="0" w:firstLineChars="0"/>
              <w:rPr>
                <w:rFonts w:hint="eastAsia" w:eastAsia="宋体"/>
                <w:snapToGrid w:val="0"/>
                <w:highlight w:val="none"/>
                <w:lang w:val="en-US" w:eastAsia="zh-CN"/>
              </w:rPr>
            </w:pPr>
            <w:r>
              <w:rPr>
                <w:rFonts w:hint="eastAsia"/>
                <w:snapToGrid w:val="0"/>
                <w:highlight w:val="none"/>
                <w:lang w:val="en-US" w:eastAsia="zh-CN"/>
              </w:rPr>
              <w:t>无组织</w:t>
            </w:r>
          </w:p>
        </w:tc>
        <w:tc>
          <w:tcPr>
            <w:tcW w:w="527" w:type="dxa"/>
            <w:vMerge w:val="continue"/>
            <w:vAlign w:val="center"/>
          </w:tcPr>
          <w:p w14:paraId="504C7B96">
            <w:pPr>
              <w:pStyle w:val="8"/>
              <w:suppressLineNumbers w:val="0"/>
              <w:bidi w:val="0"/>
              <w:spacing w:before="0" w:beforeAutospacing="0" w:after="0" w:afterAutospacing="0"/>
              <w:ind w:left="0" w:right="0"/>
              <w:rPr>
                <w:rFonts w:hint="eastAsia" w:eastAsia="宋体"/>
                <w:snapToGrid w:val="0"/>
                <w:highlight w:val="none"/>
                <w:lang w:val="en-US" w:eastAsia="zh-CN"/>
              </w:rPr>
            </w:pPr>
          </w:p>
        </w:tc>
        <w:tc>
          <w:tcPr>
            <w:tcW w:w="727" w:type="dxa"/>
            <w:vMerge w:val="continue"/>
            <w:vAlign w:val="center"/>
          </w:tcPr>
          <w:p w14:paraId="650AB48F">
            <w:pPr>
              <w:pStyle w:val="8"/>
              <w:suppressLineNumbers w:val="0"/>
              <w:bidi w:val="0"/>
              <w:spacing w:before="0" w:beforeAutospacing="0" w:after="0" w:afterAutospacing="0"/>
              <w:ind w:left="0" w:right="0"/>
              <w:rPr>
                <w:rFonts w:hint="default"/>
                <w:snapToGrid w:val="0"/>
                <w:highlight w:val="none"/>
              </w:rPr>
            </w:pPr>
          </w:p>
        </w:tc>
        <w:tc>
          <w:tcPr>
            <w:tcW w:w="679" w:type="dxa"/>
            <w:vAlign w:val="center"/>
          </w:tcPr>
          <w:p w14:paraId="6546443C">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720" w:type="dxa"/>
            <w:vAlign w:val="center"/>
          </w:tcPr>
          <w:p w14:paraId="17111234">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w:t>
            </w:r>
          </w:p>
        </w:tc>
        <w:tc>
          <w:tcPr>
            <w:tcW w:w="665" w:type="dxa"/>
            <w:vAlign w:val="center"/>
          </w:tcPr>
          <w:p w14:paraId="1709827B">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0.005</w:t>
            </w:r>
          </w:p>
        </w:tc>
        <w:tc>
          <w:tcPr>
            <w:tcW w:w="611" w:type="dxa"/>
            <w:vAlign w:val="center"/>
          </w:tcPr>
          <w:p w14:paraId="674E598F">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706" w:type="dxa"/>
            <w:vAlign w:val="center"/>
          </w:tcPr>
          <w:p w14:paraId="388528AC">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711" w:type="dxa"/>
            <w:vAlign w:val="center"/>
          </w:tcPr>
          <w:p w14:paraId="2D62275C">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709" w:type="dxa"/>
            <w:vAlign w:val="center"/>
          </w:tcPr>
          <w:p w14:paraId="70C01E08">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709" w:type="dxa"/>
            <w:vAlign w:val="center"/>
          </w:tcPr>
          <w:p w14:paraId="170645F5">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634" w:type="dxa"/>
            <w:vAlign w:val="center"/>
          </w:tcPr>
          <w:p w14:paraId="2192FA8D">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585" w:type="dxa"/>
            <w:vAlign w:val="center"/>
          </w:tcPr>
          <w:p w14:paraId="092E2E4F">
            <w:pPr>
              <w:pStyle w:val="8"/>
              <w:suppressLineNumbers w:val="0"/>
              <w:bidi w:val="0"/>
              <w:spacing w:before="0" w:beforeAutospacing="0" w:after="0" w:afterAutospacing="0"/>
              <w:ind w:left="0" w:leftChars="0" w:right="0" w:rightChars="0" w:firstLine="0" w:firstLineChars="0"/>
              <w:rPr>
                <w:rFonts w:hint="eastAsia"/>
                <w:snapToGrid w:val="0"/>
                <w:highlight w:val="none"/>
                <w:lang w:val="en-US" w:eastAsia="zh-CN"/>
              </w:rPr>
            </w:pPr>
            <w:r>
              <w:rPr>
                <w:rFonts w:hint="eastAsia"/>
                <w:snapToGrid w:val="0"/>
                <w:highlight w:val="none"/>
                <w:lang w:val="en-US" w:eastAsia="zh-CN"/>
              </w:rPr>
              <w:t>/</w:t>
            </w:r>
          </w:p>
        </w:tc>
        <w:tc>
          <w:tcPr>
            <w:tcW w:w="624" w:type="dxa"/>
            <w:vAlign w:val="center"/>
          </w:tcPr>
          <w:p w14:paraId="3B98F0D1">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0.005</w:t>
            </w:r>
          </w:p>
        </w:tc>
        <w:tc>
          <w:tcPr>
            <w:tcW w:w="567" w:type="dxa"/>
            <w:vAlign w:val="center"/>
          </w:tcPr>
          <w:p w14:paraId="0647133F">
            <w:pPr>
              <w:pStyle w:val="8"/>
              <w:suppressLineNumbers w:val="0"/>
              <w:bidi w:val="0"/>
              <w:spacing w:before="0" w:beforeAutospacing="0" w:after="0" w:afterAutospacing="0"/>
              <w:ind w:left="0" w:leftChars="0" w:right="0" w:rightChars="0" w:firstLine="0" w:firstLineChars="0"/>
              <w:rPr>
                <w:rFonts w:hint="default"/>
                <w:snapToGrid w:val="0"/>
                <w:highlight w:val="none"/>
                <w:lang w:val="en-US" w:eastAsia="zh-CN"/>
              </w:rPr>
            </w:pPr>
            <w:r>
              <w:rPr>
                <w:rFonts w:hint="eastAsia"/>
                <w:snapToGrid w:val="0"/>
                <w:highlight w:val="none"/>
                <w:lang w:val="en-US" w:eastAsia="zh-CN"/>
              </w:rPr>
              <w:t>0.004</w:t>
            </w:r>
          </w:p>
        </w:tc>
        <w:tc>
          <w:tcPr>
            <w:tcW w:w="708" w:type="dxa"/>
            <w:vMerge w:val="continue"/>
            <w:vAlign w:val="center"/>
          </w:tcPr>
          <w:p w14:paraId="189C37FB">
            <w:pPr>
              <w:pStyle w:val="8"/>
              <w:suppressLineNumbers w:val="0"/>
              <w:bidi w:val="0"/>
              <w:spacing w:before="0" w:beforeAutospacing="0" w:after="0" w:afterAutospacing="0"/>
              <w:ind w:left="0" w:right="0"/>
              <w:rPr>
                <w:rFonts w:hint="eastAsia"/>
                <w:snapToGrid w:val="0"/>
                <w:highlight w:val="none"/>
                <w:lang w:val="en-US" w:eastAsia="zh-CN"/>
              </w:rPr>
            </w:pPr>
          </w:p>
        </w:tc>
        <w:tc>
          <w:tcPr>
            <w:tcW w:w="709" w:type="dxa"/>
            <w:vAlign w:val="center"/>
          </w:tcPr>
          <w:p w14:paraId="3D348A41">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572" w:type="dxa"/>
            <w:vAlign w:val="center"/>
          </w:tcPr>
          <w:p w14:paraId="63BC416E">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660" w:type="dxa"/>
            <w:vAlign w:val="center"/>
          </w:tcPr>
          <w:p w14:paraId="0C90F45B">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c>
          <w:tcPr>
            <w:tcW w:w="715" w:type="dxa"/>
            <w:vAlign w:val="center"/>
          </w:tcPr>
          <w:p w14:paraId="77617B7C">
            <w:pPr>
              <w:pStyle w:val="8"/>
              <w:suppressLineNumbers w:val="0"/>
              <w:bidi w:val="0"/>
              <w:spacing w:before="0" w:beforeAutospacing="0" w:after="0" w:afterAutospacing="0"/>
              <w:ind w:left="0" w:leftChars="0" w:right="0" w:rightChars="0" w:firstLine="0" w:firstLineChars="0"/>
              <w:rPr>
                <w:rFonts w:hint="eastAsia"/>
                <w:snapToGrid w:val="0"/>
                <w:highlight w:val="none"/>
              </w:rPr>
            </w:pPr>
            <w:r>
              <w:rPr>
                <w:rFonts w:hint="eastAsia"/>
                <w:snapToGrid w:val="0"/>
                <w:highlight w:val="none"/>
              </w:rPr>
              <w:t>/</w:t>
            </w:r>
          </w:p>
        </w:tc>
      </w:tr>
      <w:bookmarkEnd w:id="258"/>
    </w:tbl>
    <w:p w14:paraId="016B3176">
      <w:pPr>
        <w:pStyle w:val="8"/>
        <w:bidi w:val="0"/>
        <w:rPr>
          <w:rFonts w:ascii="Times New Roman" w:cs="Times New Roman" w:hAnsiTheme="minorEastAsia" w:eastAsiaTheme="minorEastAsia"/>
          <w:sz w:val="24"/>
          <w:szCs w:val="24"/>
          <w:highlight w:val="none"/>
        </w:rPr>
      </w:pPr>
    </w:p>
    <w:p w14:paraId="75F4193A">
      <w:pPr>
        <w:pStyle w:val="8"/>
        <w:bidi w:val="0"/>
        <w:rPr>
          <w:rFonts w:ascii="Times New Roman" w:cs="Times New Roman" w:hAnsiTheme="minorEastAsia" w:eastAsiaTheme="minorEastAsia"/>
          <w:sz w:val="24"/>
          <w:szCs w:val="24"/>
          <w:highlight w:val="none"/>
        </w:rPr>
      </w:pPr>
    </w:p>
    <w:p w14:paraId="71A8DCDF">
      <w:pPr>
        <w:pStyle w:val="8"/>
        <w:bidi w:val="0"/>
        <w:rPr>
          <w:rFonts w:ascii="Times New Roman" w:cs="Times New Roman" w:hAnsiTheme="minorEastAsia" w:eastAsiaTheme="minorEastAsia"/>
          <w:sz w:val="24"/>
          <w:szCs w:val="24"/>
          <w:highlight w:val="none"/>
        </w:rPr>
      </w:pPr>
    </w:p>
    <w:p w14:paraId="4244F0A9">
      <w:pPr>
        <w:pStyle w:val="7"/>
        <w:bidi w:val="0"/>
        <w:rPr>
          <w:rFonts w:ascii="Times New Roman" w:hAnsi="Times New Roman" w:cs="Times New Roman" w:eastAsiaTheme="minorEastAsia"/>
          <w:sz w:val="24"/>
          <w:szCs w:val="24"/>
          <w:highlight w:val="none"/>
        </w:rPr>
      </w:pPr>
      <w:r>
        <w:rPr>
          <w:rFonts w:ascii="Times New Roman" w:cs="Times New Roman" w:hAnsiTheme="minorEastAsia" w:eastAsiaTheme="minorEastAsia"/>
          <w:sz w:val="24"/>
          <w:szCs w:val="24"/>
          <w:highlight w:val="none"/>
        </w:rPr>
        <w:t>表</w:t>
      </w:r>
      <w:r>
        <w:rPr>
          <w:rFonts w:ascii="Times New Roman" w:hAnsi="Times New Roman" w:cs="Times New Roman" w:eastAsiaTheme="minorEastAsia"/>
          <w:sz w:val="24"/>
          <w:szCs w:val="24"/>
          <w:highlight w:val="none"/>
        </w:rPr>
        <w:t>3</w:t>
      </w:r>
      <w:r>
        <w:rPr>
          <w:rFonts w:hint="eastAsia" w:cs="Times New Roman" w:eastAsiaTheme="minorEastAsia"/>
          <w:sz w:val="24"/>
          <w:szCs w:val="24"/>
          <w:highlight w:val="none"/>
          <w:lang w:val="en-US" w:eastAsia="zh-CN"/>
        </w:rPr>
        <w:t>-3-4</w:t>
      </w:r>
      <w:r>
        <w:rPr>
          <w:rFonts w:hint="eastAsia" w:ascii="Times New Roman" w:hAnsi="Times New Roman" w:cs="Times New Roman" w:eastAsiaTheme="minorEastAsia"/>
          <w:sz w:val="24"/>
          <w:szCs w:val="24"/>
          <w:highlight w:val="none"/>
        </w:rPr>
        <w:t xml:space="preserve"> </w:t>
      </w:r>
      <w:r>
        <w:rPr>
          <w:rFonts w:ascii="Times New Roman" w:cs="Times New Roman" w:hAnsiTheme="minorEastAsia" w:eastAsiaTheme="minorEastAsia"/>
          <w:sz w:val="24"/>
          <w:szCs w:val="24"/>
          <w:highlight w:val="none"/>
        </w:rPr>
        <w:t>废水污染源源强核算结果及相关参数一览表</w:t>
      </w:r>
    </w:p>
    <w:tbl>
      <w:tblPr>
        <w:tblStyle w:val="44"/>
        <w:tblW w:w="494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85"/>
        <w:gridCol w:w="853"/>
        <w:gridCol w:w="709"/>
        <w:gridCol w:w="847"/>
        <w:gridCol w:w="1277"/>
        <w:gridCol w:w="905"/>
        <w:gridCol w:w="1647"/>
        <w:gridCol w:w="709"/>
        <w:gridCol w:w="709"/>
        <w:gridCol w:w="847"/>
        <w:gridCol w:w="1134"/>
        <w:gridCol w:w="996"/>
        <w:gridCol w:w="990"/>
        <w:gridCol w:w="993"/>
        <w:gridCol w:w="830"/>
      </w:tblGrid>
      <w:tr w14:paraId="41EF85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08" w:type="pct"/>
            <w:vMerge w:val="restart"/>
            <w:tcBorders>
              <w:tl2br w:val="nil"/>
              <w:tr2bl w:val="nil"/>
            </w:tcBorders>
            <w:vAlign w:val="center"/>
          </w:tcPr>
          <w:p w14:paraId="3CE9C1B6">
            <w:pPr>
              <w:pStyle w:val="8"/>
              <w:suppressLineNumbers w:val="0"/>
              <w:bidi w:val="0"/>
              <w:spacing w:before="0" w:beforeAutospacing="0" w:after="0" w:afterAutospacing="0"/>
              <w:ind w:left="0" w:right="0"/>
              <w:rPr>
                <w:rFonts w:hint="default"/>
                <w:highlight w:val="none"/>
              </w:rPr>
            </w:pPr>
            <w:r>
              <w:rPr>
                <w:rFonts w:hint="default"/>
                <w:highlight w:val="none"/>
              </w:rPr>
              <w:t>工序</w:t>
            </w:r>
          </w:p>
        </w:tc>
        <w:tc>
          <w:tcPr>
            <w:tcW w:w="303" w:type="pct"/>
            <w:vMerge w:val="restart"/>
            <w:tcBorders>
              <w:tl2br w:val="nil"/>
              <w:tr2bl w:val="nil"/>
            </w:tcBorders>
            <w:vAlign w:val="center"/>
          </w:tcPr>
          <w:p w14:paraId="3DFC46BC">
            <w:pPr>
              <w:pStyle w:val="8"/>
              <w:suppressLineNumbers w:val="0"/>
              <w:bidi w:val="0"/>
              <w:spacing w:before="0" w:beforeAutospacing="0" w:after="0" w:afterAutospacing="0"/>
              <w:ind w:left="0" w:right="0"/>
              <w:rPr>
                <w:rFonts w:hint="default"/>
                <w:highlight w:val="none"/>
              </w:rPr>
            </w:pPr>
            <w:r>
              <w:rPr>
                <w:rFonts w:hint="default"/>
                <w:highlight w:val="none"/>
              </w:rPr>
              <w:t>污染物</w:t>
            </w:r>
          </w:p>
        </w:tc>
        <w:tc>
          <w:tcPr>
            <w:tcW w:w="1331" w:type="pct"/>
            <w:gridSpan w:val="4"/>
            <w:tcBorders>
              <w:tl2br w:val="nil"/>
              <w:tr2bl w:val="nil"/>
            </w:tcBorders>
          </w:tcPr>
          <w:p w14:paraId="29EFC796">
            <w:pPr>
              <w:pStyle w:val="8"/>
              <w:suppressLineNumbers w:val="0"/>
              <w:bidi w:val="0"/>
              <w:spacing w:before="0" w:beforeAutospacing="0" w:after="0" w:afterAutospacing="0"/>
              <w:ind w:left="0" w:right="0"/>
              <w:rPr>
                <w:rFonts w:hint="default"/>
                <w:highlight w:val="none"/>
              </w:rPr>
            </w:pPr>
            <w:r>
              <w:rPr>
                <w:rFonts w:hint="default"/>
                <w:highlight w:val="none"/>
              </w:rPr>
              <w:t>污染物产生</w:t>
            </w:r>
          </w:p>
        </w:tc>
        <w:tc>
          <w:tcPr>
            <w:tcW w:w="839" w:type="pct"/>
            <w:gridSpan w:val="2"/>
            <w:tcBorders>
              <w:tl2br w:val="nil"/>
              <w:tr2bl w:val="nil"/>
            </w:tcBorders>
            <w:vAlign w:val="center"/>
          </w:tcPr>
          <w:p w14:paraId="47D9F68C">
            <w:pPr>
              <w:pStyle w:val="8"/>
              <w:suppressLineNumbers w:val="0"/>
              <w:bidi w:val="0"/>
              <w:spacing w:before="0" w:beforeAutospacing="0" w:after="0" w:afterAutospacing="0"/>
              <w:ind w:left="0" w:right="0"/>
              <w:rPr>
                <w:rFonts w:hint="default"/>
                <w:highlight w:val="none"/>
              </w:rPr>
            </w:pPr>
            <w:r>
              <w:rPr>
                <w:rFonts w:hint="default"/>
                <w:highlight w:val="none"/>
              </w:rPr>
              <w:t>治理措施</w:t>
            </w:r>
          </w:p>
        </w:tc>
        <w:tc>
          <w:tcPr>
            <w:tcW w:w="2315" w:type="pct"/>
            <w:gridSpan w:val="7"/>
            <w:tcBorders>
              <w:tl2br w:val="nil"/>
              <w:tr2bl w:val="nil"/>
            </w:tcBorders>
            <w:vAlign w:val="center"/>
          </w:tcPr>
          <w:p w14:paraId="43311513">
            <w:pPr>
              <w:pStyle w:val="8"/>
              <w:suppressLineNumbers w:val="0"/>
              <w:bidi w:val="0"/>
              <w:spacing w:before="0" w:beforeAutospacing="0" w:after="0" w:afterAutospacing="0"/>
              <w:ind w:left="0" w:right="0"/>
              <w:rPr>
                <w:rFonts w:hint="default"/>
                <w:highlight w:val="none"/>
              </w:rPr>
            </w:pPr>
            <w:r>
              <w:rPr>
                <w:rFonts w:hint="default"/>
                <w:highlight w:val="none"/>
              </w:rPr>
              <w:t>污染物排放</w:t>
            </w:r>
          </w:p>
        </w:tc>
      </w:tr>
      <w:tr w14:paraId="6D59D8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2" w:hRule="atLeast"/>
          <w:jc w:val="center"/>
        </w:trPr>
        <w:tc>
          <w:tcPr>
            <w:tcW w:w="208" w:type="pct"/>
            <w:vMerge w:val="continue"/>
            <w:tcBorders>
              <w:tl2br w:val="nil"/>
              <w:tr2bl w:val="nil"/>
            </w:tcBorders>
            <w:vAlign w:val="center"/>
          </w:tcPr>
          <w:p w14:paraId="22E86A5A">
            <w:pPr>
              <w:pStyle w:val="8"/>
              <w:suppressLineNumbers w:val="0"/>
              <w:bidi w:val="0"/>
              <w:spacing w:before="0" w:beforeAutospacing="0" w:after="0" w:afterAutospacing="0"/>
              <w:ind w:left="0" w:right="0"/>
              <w:rPr>
                <w:rFonts w:hint="default"/>
                <w:highlight w:val="none"/>
              </w:rPr>
            </w:pPr>
          </w:p>
        </w:tc>
        <w:tc>
          <w:tcPr>
            <w:tcW w:w="303" w:type="pct"/>
            <w:vMerge w:val="continue"/>
            <w:tcBorders>
              <w:tl2br w:val="nil"/>
              <w:tr2bl w:val="nil"/>
            </w:tcBorders>
            <w:vAlign w:val="center"/>
          </w:tcPr>
          <w:p w14:paraId="461F5C9F">
            <w:pPr>
              <w:pStyle w:val="8"/>
              <w:suppressLineNumbers w:val="0"/>
              <w:bidi w:val="0"/>
              <w:spacing w:before="0" w:beforeAutospacing="0" w:after="0" w:afterAutospacing="0"/>
              <w:ind w:left="0" w:right="0"/>
              <w:rPr>
                <w:rFonts w:hint="default"/>
                <w:highlight w:val="none"/>
              </w:rPr>
            </w:pPr>
          </w:p>
        </w:tc>
        <w:tc>
          <w:tcPr>
            <w:tcW w:w="252" w:type="pct"/>
            <w:tcBorders>
              <w:tl2br w:val="nil"/>
              <w:tr2bl w:val="nil"/>
            </w:tcBorders>
          </w:tcPr>
          <w:p w14:paraId="5A2B2341">
            <w:pPr>
              <w:pStyle w:val="8"/>
              <w:suppressLineNumbers w:val="0"/>
              <w:bidi w:val="0"/>
              <w:spacing w:before="0" w:beforeAutospacing="0" w:after="0" w:afterAutospacing="0"/>
              <w:ind w:left="0" w:right="0"/>
              <w:rPr>
                <w:rFonts w:hint="default"/>
                <w:highlight w:val="none"/>
              </w:rPr>
            </w:pPr>
            <w:r>
              <w:rPr>
                <w:rFonts w:hint="default"/>
                <w:highlight w:val="none"/>
              </w:rPr>
              <w:t>核算方法</w:t>
            </w:r>
          </w:p>
        </w:tc>
        <w:tc>
          <w:tcPr>
            <w:tcW w:w="301" w:type="pct"/>
            <w:tcBorders>
              <w:tl2br w:val="nil"/>
              <w:tr2bl w:val="nil"/>
            </w:tcBorders>
            <w:vAlign w:val="center"/>
          </w:tcPr>
          <w:p w14:paraId="5733E12D">
            <w:pPr>
              <w:pStyle w:val="8"/>
              <w:suppressLineNumbers w:val="0"/>
              <w:bidi w:val="0"/>
              <w:spacing w:before="0" w:beforeAutospacing="0" w:after="0" w:afterAutospacing="0"/>
              <w:ind w:left="0" w:right="0"/>
              <w:rPr>
                <w:rFonts w:hint="default"/>
                <w:highlight w:val="none"/>
              </w:rPr>
            </w:pPr>
            <w:r>
              <w:rPr>
                <w:rFonts w:hint="default"/>
                <w:highlight w:val="none"/>
              </w:rPr>
              <w:t>废水产生量（t/a）</w:t>
            </w:r>
          </w:p>
        </w:tc>
        <w:tc>
          <w:tcPr>
            <w:tcW w:w="455" w:type="pct"/>
            <w:tcBorders>
              <w:tl2br w:val="nil"/>
              <w:tr2bl w:val="nil"/>
            </w:tcBorders>
            <w:vAlign w:val="center"/>
          </w:tcPr>
          <w:p w14:paraId="42E44044">
            <w:pPr>
              <w:pStyle w:val="8"/>
              <w:suppressLineNumbers w:val="0"/>
              <w:bidi w:val="0"/>
              <w:spacing w:before="0" w:beforeAutospacing="0" w:after="0" w:afterAutospacing="0"/>
              <w:ind w:left="0" w:right="0"/>
              <w:rPr>
                <w:rFonts w:hint="default"/>
                <w:highlight w:val="none"/>
              </w:rPr>
            </w:pPr>
            <w:r>
              <w:rPr>
                <w:rFonts w:hint="default"/>
                <w:highlight w:val="none"/>
              </w:rPr>
              <w:t>产生质量浓度（mg/L）</w:t>
            </w:r>
          </w:p>
        </w:tc>
        <w:tc>
          <w:tcPr>
            <w:tcW w:w="322" w:type="pct"/>
            <w:tcBorders>
              <w:tl2br w:val="nil"/>
              <w:tr2bl w:val="nil"/>
            </w:tcBorders>
            <w:vAlign w:val="center"/>
          </w:tcPr>
          <w:p w14:paraId="54C8B72E">
            <w:pPr>
              <w:pStyle w:val="8"/>
              <w:suppressLineNumbers w:val="0"/>
              <w:bidi w:val="0"/>
              <w:spacing w:before="0" w:beforeAutospacing="0" w:after="0" w:afterAutospacing="0"/>
              <w:ind w:left="0" w:right="0"/>
              <w:rPr>
                <w:rFonts w:hint="default"/>
                <w:highlight w:val="none"/>
              </w:rPr>
            </w:pPr>
            <w:r>
              <w:rPr>
                <w:rFonts w:hint="default"/>
                <w:highlight w:val="none"/>
              </w:rPr>
              <w:t>产生量t/a</w:t>
            </w:r>
          </w:p>
        </w:tc>
        <w:tc>
          <w:tcPr>
            <w:tcW w:w="586" w:type="pct"/>
            <w:tcBorders>
              <w:tl2br w:val="nil"/>
              <w:tr2bl w:val="nil"/>
            </w:tcBorders>
            <w:vAlign w:val="center"/>
          </w:tcPr>
          <w:p w14:paraId="4CAD39D9">
            <w:pPr>
              <w:pStyle w:val="8"/>
              <w:suppressLineNumbers w:val="0"/>
              <w:bidi w:val="0"/>
              <w:spacing w:before="0" w:beforeAutospacing="0" w:after="0" w:afterAutospacing="0"/>
              <w:ind w:left="0" w:right="0"/>
              <w:rPr>
                <w:rFonts w:hint="default"/>
                <w:highlight w:val="none"/>
              </w:rPr>
            </w:pPr>
            <w:r>
              <w:rPr>
                <w:rFonts w:hint="default"/>
                <w:highlight w:val="none"/>
              </w:rPr>
              <w:t>工艺</w:t>
            </w:r>
          </w:p>
        </w:tc>
        <w:tc>
          <w:tcPr>
            <w:tcW w:w="252" w:type="pct"/>
            <w:tcBorders>
              <w:tl2br w:val="nil"/>
              <w:tr2bl w:val="nil"/>
            </w:tcBorders>
            <w:vAlign w:val="center"/>
          </w:tcPr>
          <w:p w14:paraId="01C40026">
            <w:pPr>
              <w:pStyle w:val="8"/>
              <w:suppressLineNumbers w:val="0"/>
              <w:bidi w:val="0"/>
              <w:spacing w:before="0" w:beforeAutospacing="0" w:after="0" w:afterAutospacing="0"/>
              <w:ind w:left="0" w:right="0"/>
              <w:rPr>
                <w:rFonts w:hint="default"/>
                <w:highlight w:val="none"/>
              </w:rPr>
            </w:pPr>
            <w:r>
              <w:rPr>
                <w:rFonts w:hint="default"/>
                <w:highlight w:val="none"/>
              </w:rPr>
              <w:t>处理效率%</w:t>
            </w:r>
          </w:p>
        </w:tc>
        <w:tc>
          <w:tcPr>
            <w:tcW w:w="252" w:type="pct"/>
            <w:tcBorders>
              <w:tl2br w:val="nil"/>
              <w:tr2bl w:val="nil"/>
            </w:tcBorders>
            <w:vAlign w:val="center"/>
          </w:tcPr>
          <w:p w14:paraId="56B5DE66">
            <w:pPr>
              <w:pStyle w:val="8"/>
              <w:suppressLineNumbers w:val="0"/>
              <w:bidi w:val="0"/>
              <w:spacing w:before="0" w:beforeAutospacing="0" w:after="0" w:afterAutospacing="0"/>
              <w:ind w:left="0" w:right="0"/>
              <w:rPr>
                <w:rFonts w:hint="default"/>
                <w:highlight w:val="none"/>
              </w:rPr>
            </w:pPr>
            <w:r>
              <w:rPr>
                <w:rFonts w:hint="default"/>
                <w:highlight w:val="none"/>
              </w:rPr>
              <w:t>核算方法</w:t>
            </w:r>
          </w:p>
        </w:tc>
        <w:tc>
          <w:tcPr>
            <w:tcW w:w="301" w:type="pct"/>
            <w:tcBorders>
              <w:tl2br w:val="nil"/>
              <w:tr2bl w:val="nil"/>
            </w:tcBorders>
            <w:vAlign w:val="center"/>
          </w:tcPr>
          <w:p w14:paraId="0E0F7AC0">
            <w:pPr>
              <w:pStyle w:val="8"/>
              <w:suppressLineNumbers w:val="0"/>
              <w:bidi w:val="0"/>
              <w:spacing w:before="0" w:beforeAutospacing="0" w:after="0" w:afterAutospacing="0"/>
              <w:ind w:left="0" w:right="0"/>
              <w:rPr>
                <w:rFonts w:hint="default"/>
                <w:highlight w:val="none"/>
              </w:rPr>
            </w:pPr>
            <w:r>
              <w:rPr>
                <w:rFonts w:hint="default"/>
                <w:highlight w:val="none"/>
              </w:rPr>
              <w:t>废水排放量（t/a）</w:t>
            </w:r>
          </w:p>
        </w:tc>
        <w:tc>
          <w:tcPr>
            <w:tcW w:w="404" w:type="pct"/>
            <w:tcBorders>
              <w:tl2br w:val="nil"/>
              <w:tr2bl w:val="nil"/>
            </w:tcBorders>
            <w:vAlign w:val="center"/>
          </w:tcPr>
          <w:p w14:paraId="0D4B8FEF">
            <w:pPr>
              <w:pStyle w:val="8"/>
              <w:suppressLineNumbers w:val="0"/>
              <w:bidi w:val="0"/>
              <w:spacing w:before="0" w:beforeAutospacing="0" w:after="0" w:afterAutospacing="0"/>
              <w:ind w:left="0" w:right="0"/>
              <w:rPr>
                <w:rFonts w:hint="default"/>
                <w:highlight w:val="none"/>
              </w:rPr>
            </w:pPr>
            <w:r>
              <w:rPr>
                <w:rFonts w:hint="default"/>
                <w:highlight w:val="none"/>
              </w:rPr>
              <w:t>排放质量浓度（mg/L）</w:t>
            </w:r>
          </w:p>
        </w:tc>
        <w:tc>
          <w:tcPr>
            <w:tcW w:w="354" w:type="pct"/>
            <w:tcBorders>
              <w:tl2br w:val="nil"/>
              <w:tr2bl w:val="nil"/>
            </w:tcBorders>
            <w:vAlign w:val="center"/>
          </w:tcPr>
          <w:p w14:paraId="1E840B94">
            <w:pPr>
              <w:pStyle w:val="8"/>
              <w:suppressLineNumbers w:val="0"/>
              <w:bidi w:val="0"/>
              <w:spacing w:before="0" w:beforeAutospacing="0" w:after="0" w:afterAutospacing="0"/>
              <w:ind w:left="0" w:right="0"/>
              <w:rPr>
                <w:rFonts w:hint="default"/>
                <w:highlight w:val="none"/>
              </w:rPr>
            </w:pPr>
            <w:r>
              <w:rPr>
                <w:rFonts w:hint="default"/>
                <w:highlight w:val="none"/>
              </w:rPr>
              <w:t>排放量t/a</w:t>
            </w:r>
          </w:p>
        </w:tc>
        <w:tc>
          <w:tcPr>
            <w:tcW w:w="352" w:type="pct"/>
            <w:tcBorders>
              <w:tl2br w:val="nil"/>
              <w:tr2bl w:val="nil"/>
            </w:tcBorders>
            <w:vAlign w:val="center"/>
          </w:tcPr>
          <w:p w14:paraId="7A73FD0B">
            <w:pPr>
              <w:pStyle w:val="8"/>
              <w:suppressLineNumbers w:val="0"/>
              <w:bidi w:val="0"/>
              <w:spacing w:before="0" w:beforeAutospacing="0" w:after="0" w:afterAutospacing="0"/>
              <w:ind w:left="0" w:right="0"/>
              <w:rPr>
                <w:rFonts w:hint="default"/>
                <w:highlight w:val="none"/>
              </w:rPr>
            </w:pPr>
            <w:r>
              <w:rPr>
                <w:rFonts w:hint="default"/>
                <w:highlight w:val="none"/>
              </w:rPr>
              <w:t>排放时间（h）</w:t>
            </w:r>
          </w:p>
        </w:tc>
        <w:tc>
          <w:tcPr>
            <w:tcW w:w="353" w:type="pct"/>
            <w:tcBorders>
              <w:tl2br w:val="nil"/>
              <w:tr2bl w:val="nil"/>
            </w:tcBorders>
            <w:vAlign w:val="center"/>
          </w:tcPr>
          <w:p w14:paraId="1184EE92">
            <w:pPr>
              <w:pStyle w:val="8"/>
              <w:suppressLineNumbers w:val="0"/>
              <w:bidi w:val="0"/>
              <w:spacing w:before="0" w:beforeAutospacing="0" w:after="0" w:afterAutospacing="0"/>
              <w:ind w:left="0" w:right="0"/>
              <w:rPr>
                <w:rFonts w:hint="default"/>
                <w:highlight w:val="none"/>
              </w:rPr>
            </w:pPr>
            <w:r>
              <w:rPr>
                <w:rFonts w:hint="default"/>
                <w:highlight w:val="none"/>
              </w:rPr>
              <w:t>排放口名称</w:t>
            </w:r>
          </w:p>
        </w:tc>
        <w:tc>
          <w:tcPr>
            <w:tcW w:w="295" w:type="pct"/>
            <w:tcBorders>
              <w:tl2br w:val="nil"/>
              <w:tr2bl w:val="nil"/>
            </w:tcBorders>
            <w:vAlign w:val="center"/>
          </w:tcPr>
          <w:p w14:paraId="2E9FA6D6">
            <w:pPr>
              <w:pStyle w:val="8"/>
              <w:suppressLineNumbers w:val="0"/>
              <w:bidi w:val="0"/>
              <w:spacing w:before="0" w:beforeAutospacing="0" w:after="0" w:afterAutospacing="0"/>
              <w:ind w:left="0" w:right="0"/>
              <w:rPr>
                <w:rFonts w:hint="default"/>
                <w:highlight w:val="none"/>
              </w:rPr>
            </w:pPr>
            <w:r>
              <w:rPr>
                <w:rFonts w:hint="default"/>
                <w:highlight w:val="none"/>
              </w:rPr>
              <w:t>排放口类型</w:t>
            </w:r>
          </w:p>
        </w:tc>
      </w:tr>
      <w:tr w14:paraId="5C9AEC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1" w:hRule="atLeast"/>
          <w:jc w:val="center"/>
        </w:trPr>
        <w:tc>
          <w:tcPr>
            <w:tcW w:w="208" w:type="pct"/>
            <w:vMerge w:val="restart"/>
            <w:tcBorders>
              <w:tl2br w:val="nil"/>
              <w:tr2bl w:val="nil"/>
            </w:tcBorders>
            <w:vAlign w:val="center"/>
          </w:tcPr>
          <w:p w14:paraId="51886703">
            <w:pPr>
              <w:pStyle w:val="8"/>
              <w:suppressLineNumbers w:val="0"/>
              <w:bidi w:val="0"/>
              <w:spacing w:before="0" w:beforeAutospacing="0" w:after="0" w:afterAutospacing="0"/>
              <w:ind w:left="0" w:right="0"/>
              <w:rPr>
                <w:rFonts w:hint="default"/>
                <w:highlight w:val="none"/>
              </w:rPr>
            </w:pPr>
            <w:r>
              <w:rPr>
                <w:rFonts w:hint="default"/>
                <w:highlight w:val="none"/>
              </w:rPr>
              <w:t>生活</w:t>
            </w:r>
          </w:p>
          <w:p w14:paraId="4A284DDD">
            <w:pPr>
              <w:pStyle w:val="8"/>
              <w:suppressLineNumbers w:val="0"/>
              <w:bidi w:val="0"/>
              <w:spacing w:before="0" w:beforeAutospacing="0" w:after="0" w:afterAutospacing="0"/>
              <w:ind w:left="0" w:right="0"/>
              <w:rPr>
                <w:rFonts w:hint="default"/>
                <w:highlight w:val="none"/>
              </w:rPr>
            </w:pPr>
            <w:r>
              <w:rPr>
                <w:rFonts w:hint="default"/>
                <w:highlight w:val="none"/>
              </w:rPr>
              <w:t>污水</w:t>
            </w:r>
          </w:p>
        </w:tc>
        <w:tc>
          <w:tcPr>
            <w:tcW w:w="303" w:type="pct"/>
            <w:tcBorders>
              <w:tl2br w:val="nil"/>
              <w:tr2bl w:val="nil"/>
            </w:tcBorders>
            <w:vAlign w:val="center"/>
          </w:tcPr>
          <w:p w14:paraId="192842DB">
            <w:pPr>
              <w:pStyle w:val="8"/>
              <w:suppressLineNumbers w:val="0"/>
              <w:bidi w:val="0"/>
              <w:spacing w:before="0" w:beforeAutospacing="0" w:after="0" w:afterAutospacing="0"/>
              <w:ind w:left="0" w:right="0"/>
              <w:rPr>
                <w:rFonts w:hint="default"/>
                <w:highlight w:val="none"/>
              </w:rPr>
            </w:pPr>
            <w:r>
              <w:rPr>
                <w:rFonts w:hint="default"/>
                <w:highlight w:val="none"/>
              </w:rPr>
              <w:t>COD</w:t>
            </w:r>
          </w:p>
        </w:tc>
        <w:tc>
          <w:tcPr>
            <w:tcW w:w="252" w:type="pct"/>
            <w:vMerge w:val="restart"/>
            <w:tcBorders>
              <w:tl2br w:val="nil"/>
              <w:tr2bl w:val="nil"/>
            </w:tcBorders>
            <w:vAlign w:val="center"/>
          </w:tcPr>
          <w:p w14:paraId="77DD64AD">
            <w:pPr>
              <w:pStyle w:val="8"/>
              <w:suppressLineNumbers w:val="0"/>
              <w:bidi w:val="0"/>
              <w:spacing w:before="0" w:beforeAutospacing="0" w:after="0" w:afterAutospacing="0"/>
              <w:ind w:left="0" w:right="0"/>
              <w:rPr>
                <w:rFonts w:hint="default"/>
                <w:highlight w:val="none"/>
              </w:rPr>
            </w:pPr>
            <w:r>
              <w:rPr>
                <w:rFonts w:hint="default"/>
                <w:highlight w:val="none"/>
              </w:rPr>
              <w:t>类比法</w:t>
            </w:r>
          </w:p>
        </w:tc>
        <w:tc>
          <w:tcPr>
            <w:tcW w:w="301" w:type="pct"/>
            <w:vMerge w:val="restart"/>
            <w:tcBorders>
              <w:tl2br w:val="nil"/>
              <w:tr2bl w:val="nil"/>
            </w:tcBorders>
            <w:vAlign w:val="center"/>
          </w:tcPr>
          <w:p w14:paraId="2277437E">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76.8</w:t>
            </w:r>
          </w:p>
        </w:tc>
        <w:tc>
          <w:tcPr>
            <w:tcW w:w="455" w:type="pct"/>
            <w:tcBorders>
              <w:tl2br w:val="nil"/>
              <w:tr2bl w:val="nil"/>
            </w:tcBorders>
            <w:vAlign w:val="center"/>
          </w:tcPr>
          <w:p w14:paraId="0DC6F106">
            <w:pPr>
              <w:pStyle w:val="8"/>
              <w:suppressLineNumbers w:val="0"/>
              <w:bidi w:val="0"/>
              <w:spacing w:before="0" w:beforeAutospacing="0" w:after="0" w:afterAutospacing="0"/>
              <w:ind w:left="0" w:right="0"/>
              <w:rPr>
                <w:rFonts w:hint="default"/>
                <w:highlight w:val="none"/>
              </w:rPr>
            </w:pPr>
            <w:r>
              <w:rPr>
                <w:rFonts w:hint="default"/>
                <w:highlight w:val="none"/>
              </w:rPr>
              <w:t>350</w:t>
            </w:r>
          </w:p>
        </w:tc>
        <w:tc>
          <w:tcPr>
            <w:tcW w:w="322" w:type="pct"/>
            <w:tcBorders>
              <w:tl2br w:val="nil"/>
              <w:tr2bl w:val="nil"/>
            </w:tcBorders>
            <w:vAlign w:val="center"/>
          </w:tcPr>
          <w:p w14:paraId="70E7BF03">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0.027</w:t>
            </w:r>
          </w:p>
        </w:tc>
        <w:tc>
          <w:tcPr>
            <w:tcW w:w="586" w:type="pct"/>
            <w:vMerge w:val="restart"/>
            <w:tcBorders>
              <w:tl2br w:val="nil"/>
              <w:tr2bl w:val="nil"/>
            </w:tcBorders>
            <w:vAlign w:val="center"/>
          </w:tcPr>
          <w:p w14:paraId="5692F6A9">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252" w:type="pct"/>
            <w:vMerge w:val="restart"/>
            <w:tcBorders>
              <w:tl2br w:val="nil"/>
              <w:tr2bl w:val="nil"/>
            </w:tcBorders>
            <w:vAlign w:val="center"/>
          </w:tcPr>
          <w:p w14:paraId="516EBC02">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252" w:type="pct"/>
            <w:vMerge w:val="restart"/>
            <w:tcBorders>
              <w:tl2br w:val="nil"/>
              <w:tr2bl w:val="nil"/>
            </w:tcBorders>
            <w:vAlign w:val="center"/>
          </w:tcPr>
          <w:p w14:paraId="00597534">
            <w:pPr>
              <w:pStyle w:val="8"/>
              <w:suppressLineNumbers w:val="0"/>
              <w:bidi w:val="0"/>
              <w:spacing w:before="0" w:beforeAutospacing="0" w:after="0" w:afterAutospacing="0"/>
              <w:ind w:left="0" w:right="0"/>
              <w:rPr>
                <w:rFonts w:hint="eastAsia" w:eastAsia="宋体"/>
                <w:highlight w:val="none"/>
                <w:lang w:eastAsia="zh-CN"/>
              </w:rPr>
            </w:pPr>
            <w:r>
              <w:rPr>
                <w:rFonts w:hint="eastAsia"/>
                <w:highlight w:val="none"/>
                <w:lang w:val="en-US" w:eastAsia="zh-CN"/>
              </w:rPr>
              <w:t>/</w:t>
            </w:r>
          </w:p>
        </w:tc>
        <w:tc>
          <w:tcPr>
            <w:tcW w:w="301" w:type="pct"/>
            <w:vMerge w:val="restart"/>
            <w:tcBorders>
              <w:tl2br w:val="nil"/>
              <w:tr2bl w:val="nil"/>
            </w:tcBorders>
            <w:vAlign w:val="center"/>
          </w:tcPr>
          <w:p w14:paraId="767BACDD">
            <w:pPr>
              <w:pStyle w:val="8"/>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0</w:t>
            </w:r>
          </w:p>
        </w:tc>
        <w:tc>
          <w:tcPr>
            <w:tcW w:w="1134" w:type="dxa"/>
            <w:tcBorders>
              <w:tl2br w:val="nil"/>
              <w:tr2bl w:val="nil"/>
            </w:tcBorders>
            <w:vAlign w:val="center"/>
          </w:tcPr>
          <w:p w14:paraId="6BD8A32B">
            <w:pPr>
              <w:pStyle w:val="8"/>
              <w:suppressLineNumbers w:val="0"/>
              <w:bidi w:val="0"/>
              <w:spacing w:before="0" w:beforeAutospacing="0" w:after="0" w:afterAutospacing="0"/>
              <w:ind w:left="0" w:leftChars="0" w:right="0" w:rightChars="0" w:firstLine="0" w:firstLineChars="0"/>
              <w:rPr>
                <w:rFonts w:hint="eastAsia" w:eastAsia="宋体"/>
                <w:highlight w:val="none"/>
                <w:lang w:val="en-US" w:eastAsia="zh-CN"/>
              </w:rPr>
            </w:pPr>
            <w:r>
              <w:rPr>
                <w:rFonts w:hint="eastAsia"/>
                <w:highlight w:val="none"/>
                <w:lang w:val="en-US" w:eastAsia="zh-CN"/>
              </w:rPr>
              <w:t>0</w:t>
            </w:r>
          </w:p>
        </w:tc>
        <w:tc>
          <w:tcPr>
            <w:tcW w:w="996" w:type="dxa"/>
            <w:tcBorders>
              <w:tl2br w:val="nil"/>
              <w:tr2bl w:val="nil"/>
            </w:tcBorders>
            <w:vAlign w:val="center"/>
          </w:tcPr>
          <w:p w14:paraId="62DFECCD">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0</w:t>
            </w:r>
          </w:p>
        </w:tc>
        <w:tc>
          <w:tcPr>
            <w:tcW w:w="352" w:type="pct"/>
            <w:vMerge w:val="restart"/>
            <w:tcBorders>
              <w:tl2br w:val="nil"/>
              <w:tr2bl w:val="nil"/>
            </w:tcBorders>
            <w:vAlign w:val="center"/>
          </w:tcPr>
          <w:p w14:paraId="5954F732">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w:t>
            </w:r>
          </w:p>
        </w:tc>
        <w:tc>
          <w:tcPr>
            <w:tcW w:w="353" w:type="pct"/>
            <w:vMerge w:val="restart"/>
            <w:tcBorders>
              <w:tl2br w:val="nil"/>
              <w:tr2bl w:val="nil"/>
            </w:tcBorders>
            <w:vAlign w:val="center"/>
          </w:tcPr>
          <w:p w14:paraId="70516A3B">
            <w:pPr>
              <w:pStyle w:val="8"/>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w:t>
            </w:r>
          </w:p>
        </w:tc>
        <w:tc>
          <w:tcPr>
            <w:tcW w:w="295" w:type="pct"/>
            <w:vMerge w:val="restart"/>
            <w:tcBorders>
              <w:tl2br w:val="nil"/>
              <w:tr2bl w:val="nil"/>
            </w:tcBorders>
            <w:vAlign w:val="center"/>
          </w:tcPr>
          <w:p w14:paraId="1EC16DC8">
            <w:pPr>
              <w:pStyle w:val="8"/>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w:t>
            </w:r>
          </w:p>
        </w:tc>
      </w:tr>
      <w:tr w14:paraId="1F4962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208" w:type="pct"/>
            <w:vMerge w:val="continue"/>
            <w:tcBorders>
              <w:tl2br w:val="nil"/>
              <w:tr2bl w:val="nil"/>
            </w:tcBorders>
            <w:vAlign w:val="center"/>
          </w:tcPr>
          <w:p w14:paraId="1B54E26A">
            <w:pPr>
              <w:pStyle w:val="8"/>
              <w:suppressLineNumbers w:val="0"/>
              <w:bidi w:val="0"/>
              <w:spacing w:before="0" w:beforeAutospacing="0" w:after="0" w:afterAutospacing="0"/>
              <w:ind w:left="0" w:right="0"/>
              <w:rPr>
                <w:rFonts w:hint="default"/>
                <w:highlight w:val="none"/>
              </w:rPr>
            </w:pPr>
          </w:p>
        </w:tc>
        <w:tc>
          <w:tcPr>
            <w:tcW w:w="303" w:type="pct"/>
            <w:tcBorders>
              <w:tl2br w:val="nil"/>
              <w:tr2bl w:val="nil"/>
            </w:tcBorders>
            <w:vAlign w:val="center"/>
          </w:tcPr>
          <w:p w14:paraId="07868261">
            <w:pPr>
              <w:pStyle w:val="8"/>
              <w:suppressLineNumbers w:val="0"/>
              <w:bidi w:val="0"/>
              <w:spacing w:before="0" w:beforeAutospacing="0" w:after="0" w:afterAutospacing="0"/>
              <w:ind w:left="0" w:right="0"/>
              <w:rPr>
                <w:rFonts w:hint="default"/>
                <w:highlight w:val="none"/>
              </w:rPr>
            </w:pPr>
            <w:r>
              <w:rPr>
                <w:rFonts w:hint="default"/>
                <w:highlight w:val="none"/>
              </w:rPr>
              <w:t>氨氮</w:t>
            </w:r>
          </w:p>
        </w:tc>
        <w:tc>
          <w:tcPr>
            <w:tcW w:w="252" w:type="pct"/>
            <w:vMerge w:val="continue"/>
            <w:tcBorders>
              <w:tl2br w:val="nil"/>
              <w:tr2bl w:val="nil"/>
            </w:tcBorders>
            <w:vAlign w:val="center"/>
          </w:tcPr>
          <w:p w14:paraId="6F7DB5A1">
            <w:pPr>
              <w:pStyle w:val="8"/>
              <w:suppressLineNumbers w:val="0"/>
              <w:bidi w:val="0"/>
              <w:spacing w:before="0" w:beforeAutospacing="0" w:after="0" w:afterAutospacing="0"/>
              <w:ind w:left="0" w:right="0"/>
              <w:rPr>
                <w:rFonts w:hint="default"/>
                <w:highlight w:val="none"/>
              </w:rPr>
            </w:pPr>
          </w:p>
        </w:tc>
        <w:tc>
          <w:tcPr>
            <w:tcW w:w="301" w:type="pct"/>
            <w:vMerge w:val="continue"/>
            <w:tcBorders>
              <w:tl2br w:val="nil"/>
              <w:tr2bl w:val="nil"/>
            </w:tcBorders>
            <w:vAlign w:val="center"/>
          </w:tcPr>
          <w:p w14:paraId="1971A4CC">
            <w:pPr>
              <w:pStyle w:val="8"/>
              <w:suppressLineNumbers w:val="0"/>
              <w:bidi w:val="0"/>
              <w:spacing w:before="0" w:beforeAutospacing="0" w:after="0" w:afterAutospacing="0"/>
              <w:ind w:left="0" w:right="0"/>
              <w:rPr>
                <w:rFonts w:hint="default"/>
                <w:highlight w:val="none"/>
              </w:rPr>
            </w:pPr>
          </w:p>
        </w:tc>
        <w:tc>
          <w:tcPr>
            <w:tcW w:w="455" w:type="pct"/>
            <w:tcBorders>
              <w:tl2br w:val="nil"/>
              <w:tr2bl w:val="nil"/>
            </w:tcBorders>
            <w:vAlign w:val="center"/>
          </w:tcPr>
          <w:p w14:paraId="12BEAF36">
            <w:pPr>
              <w:pStyle w:val="8"/>
              <w:suppressLineNumbers w:val="0"/>
              <w:bidi w:val="0"/>
              <w:spacing w:before="0" w:beforeAutospacing="0" w:after="0" w:afterAutospacing="0"/>
              <w:ind w:left="0" w:right="0"/>
              <w:rPr>
                <w:rFonts w:hint="default"/>
                <w:highlight w:val="none"/>
              </w:rPr>
            </w:pPr>
            <w:r>
              <w:rPr>
                <w:rFonts w:hint="default"/>
                <w:highlight w:val="none"/>
              </w:rPr>
              <w:t>35</w:t>
            </w:r>
          </w:p>
        </w:tc>
        <w:tc>
          <w:tcPr>
            <w:tcW w:w="322" w:type="pct"/>
            <w:tcBorders>
              <w:tl2br w:val="nil"/>
              <w:tr2bl w:val="nil"/>
            </w:tcBorders>
            <w:vAlign w:val="center"/>
          </w:tcPr>
          <w:p w14:paraId="22CC32DD">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0.003</w:t>
            </w:r>
          </w:p>
        </w:tc>
        <w:tc>
          <w:tcPr>
            <w:tcW w:w="586" w:type="pct"/>
            <w:vMerge w:val="continue"/>
            <w:tcBorders>
              <w:tl2br w:val="nil"/>
              <w:tr2bl w:val="nil"/>
            </w:tcBorders>
            <w:vAlign w:val="center"/>
          </w:tcPr>
          <w:p w14:paraId="592FAE71">
            <w:pPr>
              <w:pStyle w:val="8"/>
              <w:suppressLineNumbers w:val="0"/>
              <w:bidi w:val="0"/>
              <w:spacing w:before="0" w:beforeAutospacing="0" w:after="0" w:afterAutospacing="0"/>
              <w:ind w:left="0" w:right="0"/>
              <w:rPr>
                <w:rFonts w:hint="default"/>
                <w:highlight w:val="none"/>
              </w:rPr>
            </w:pPr>
          </w:p>
        </w:tc>
        <w:tc>
          <w:tcPr>
            <w:tcW w:w="252" w:type="pct"/>
            <w:vMerge w:val="continue"/>
            <w:tcBorders>
              <w:tl2br w:val="nil"/>
              <w:tr2bl w:val="nil"/>
            </w:tcBorders>
            <w:vAlign w:val="center"/>
          </w:tcPr>
          <w:p w14:paraId="4C2BF7DA">
            <w:pPr>
              <w:pStyle w:val="8"/>
              <w:suppressLineNumbers w:val="0"/>
              <w:bidi w:val="0"/>
              <w:spacing w:before="0" w:beforeAutospacing="0" w:after="0" w:afterAutospacing="0"/>
              <w:ind w:left="0" w:right="0"/>
              <w:rPr>
                <w:rFonts w:hint="default"/>
                <w:highlight w:val="none"/>
              </w:rPr>
            </w:pPr>
          </w:p>
        </w:tc>
        <w:tc>
          <w:tcPr>
            <w:tcW w:w="252" w:type="pct"/>
            <w:vMerge w:val="continue"/>
            <w:tcBorders>
              <w:tl2br w:val="nil"/>
              <w:tr2bl w:val="nil"/>
            </w:tcBorders>
            <w:vAlign w:val="center"/>
          </w:tcPr>
          <w:p w14:paraId="5163A9CA">
            <w:pPr>
              <w:pStyle w:val="8"/>
              <w:suppressLineNumbers w:val="0"/>
              <w:bidi w:val="0"/>
              <w:spacing w:before="0" w:beforeAutospacing="0" w:after="0" w:afterAutospacing="0"/>
              <w:ind w:left="0" w:right="0"/>
              <w:rPr>
                <w:rFonts w:hint="default"/>
                <w:highlight w:val="none"/>
              </w:rPr>
            </w:pPr>
          </w:p>
        </w:tc>
        <w:tc>
          <w:tcPr>
            <w:tcW w:w="301" w:type="pct"/>
            <w:vMerge w:val="continue"/>
            <w:tcBorders>
              <w:tl2br w:val="nil"/>
              <w:tr2bl w:val="nil"/>
            </w:tcBorders>
            <w:vAlign w:val="center"/>
          </w:tcPr>
          <w:p w14:paraId="56B0DAC1">
            <w:pPr>
              <w:pStyle w:val="8"/>
              <w:suppressLineNumbers w:val="0"/>
              <w:bidi w:val="0"/>
              <w:spacing w:before="0" w:beforeAutospacing="0" w:after="0" w:afterAutospacing="0"/>
              <w:ind w:left="0" w:right="0"/>
              <w:rPr>
                <w:rFonts w:hint="default"/>
                <w:highlight w:val="none"/>
              </w:rPr>
            </w:pPr>
          </w:p>
        </w:tc>
        <w:tc>
          <w:tcPr>
            <w:tcW w:w="1134" w:type="dxa"/>
            <w:tcBorders>
              <w:tl2br w:val="nil"/>
              <w:tr2bl w:val="nil"/>
            </w:tcBorders>
            <w:vAlign w:val="center"/>
          </w:tcPr>
          <w:p w14:paraId="685805CA">
            <w:pPr>
              <w:pStyle w:val="8"/>
              <w:suppressLineNumbers w:val="0"/>
              <w:bidi w:val="0"/>
              <w:spacing w:before="0" w:beforeAutospacing="0" w:after="0" w:afterAutospacing="0"/>
              <w:ind w:left="0" w:leftChars="0" w:right="0" w:rightChars="0" w:firstLine="0" w:firstLineChars="0"/>
              <w:rPr>
                <w:rFonts w:hint="eastAsia" w:eastAsia="宋体"/>
                <w:highlight w:val="none"/>
                <w:lang w:val="en-US" w:eastAsia="zh-CN"/>
              </w:rPr>
            </w:pPr>
            <w:r>
              <w:rPr>
                <w:rFonts w:hint="eastAsia"/>
                <w:highlight w:val="none"/>
                <w:lang w:val="en-US" w:eastAsia="zh-CN"/>
              </w:rPr>
              <w:t>0</w:t>
            </w:r>
          </w:p>
        </w:tc>
        <w:tc>
          <w:tcPr>
            <w:tcW w:w="996" w:type="dxa"/>
            <w:tcBorders>
              <w:tl2br w:val="nil"/>
              <w:tr2bl w:val="nil"/>
            </w:tcBorders>
            <w:vAlign w:val="center"/>
          </w:tcPr>
          <w:p w14:paraId="034006FA">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0</w:t>
            </w:r>
          </w:p>
        </w:tc>
        <w:tc>
          <w:tcPr>
            <w:tcW w:w="352" w:type="pct"/>
            <w:vMerge w:val="continue"/>
            <w:tcBorders>
              <w:tl2br w:val="nil"/>
              <w:tr2bl w:val="nil"/>
            </w:tcBorders>
            <w:vAlign w:val="center"/>
          </w:tcPr>
          <w:p w14:paraId="1F67B66A">
            <w:pPr>
              <w:pStyle w:val="8"/>
              <w:suppressLineNumbers w:val="0"/>
              <w:bidi w:val="0"/>
              <w:spacing w:before="0" w:beforeAutospacing="0" w:after="0" w:afterAutospacing="0"/>
              <w:ind w:left="0" w:right="0"/>
              <w:rPr>
                <w:rFonts w:hint="default"/>
                <w:highlight w:val="none"/>
              </w:rPr>
            </w:pPr>
          </w:p>
        </w:tc>
        <w:tc>
          <w:tcPr>
            <w:tcW w:w="353" w:type="pct"/>
            <w:vMerge w:val="continue"/>
            <w:tcBorders>
              <w:tl2br w:val="nil"/>
              <w:tr2bl w:val="nil"/>
            </w:tcBorders>
            <w:vAlign w:val="center"/>
          </w:tcPr>
          <w:p w14:paraId="77F79871">
            <w:pPr>
              <w:pStyle w:val="8"/>
              <w:suppressLineNumbers w:val="0"/>
              <w:bidi w:val="0"/>
              <w:spacing w:before="0" w:beforeAutospacing="0" w:after="0" w:afterAutospacing="0"/>
              <w:ind w:left="0" w:right="0"/>
              <w:rPr>
                <w:rFonts w:hint="default"/>
                <w:highlight w:val="none"/>
              </w:rPr>
            </w:pPr>
          </w:p>
        </w:tc>
        <w:tc>
          <w:tcPr>
            <w:tcW w:w="295" w:type="pct"/>
            <w:vMerge w:val="continue"/>
            <w:tcBorders>
              <w:tl2br w:val="nil"/>
              <w:tr2bl w:val="nil"/>
            </w:tcBorders>
            <w:vAlign w:val="center"/>
          </w:tcPr>
          <w:p w14:paraId="7D27D57A">
            <w:pPr>
              <w:pStyle w:val="8"/>
              <w:suppressLineNumbers w:val="0"/>
              <w:bidi w:val="0"/>
              <w:spacing w:before="0" w:beforeAutospacing="0" w:after="0" w:afterAutospacing="0"/>
              <w:ind w:left="0" w:right="0"/>
              <w:rPr>
                <w:rFonts w:hint="default"/>
                <w:highlight w:val="none"/>
              </w:rPr>
            </w:pPr>
          </w:p>
        </w:tc>
      </w:tr>
      <w:tr w14:paraId="3AD368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208" w:type="pct"/>
            <w:vMerge w:val="continue"/>
            <w:tcBorders>
              <w:tl2br w:val="nil"/>
              <w:tr2bl w:val="nil"/>
            </w:tcBorders>
            <w:vAlign w:val="center"/>
          </w:tcPr>
          <w:p w14:paraId="60871080">
            <w:pPr>
              <w:pStyle w:val="8"/>
              <w:suppressLineNumbers w:val="0"/>
              <w:bidi w:val="0"/>
              <w:spacing w:before="0" w:beforeAutospacing="0" w:after="0" w:afterAutospacing="0"/>
              <w:ind w:left="0" w:right="0"/>
              <w:rPr>
                <w:rFonts w:hint="default"/>
                <w:highlight w:val="none"/>
              </w:rPr>
            </w:pPr>
          </w:p>
        </w:tc>
        <w:tc>
          <w:tcPr>
            <w:tcW w:w="303" w:type="pct"/>
            <w:tcBorders>
              <w:tl2br w:val="nil"/>
              <w:tr2bl w:val="nil"/>
            </w:tcBorders>
            <w:vAlign w:val="center"/>
          </w:tcPr>
          <w:p w14:paraId="24E11FE6">
            <w:pPr>
              <w:pStyle w:val="8"/>
              <w:suppressLineNumbers w:val="0"/>
              <w:bidi w:val="0"/>
              <w:spacing w:before="0" w:beforeAutospacing="0" w:after="0" w:afterAutospacing="0"/>
              <w:ind w:left="0" w:right="0"/>
              <w:rPr>
                <w:rFonts w:hint="default"/>
                <w:highlight w:val="none"/>
              </w:rPr>
            </w:pPr>
            <w:r>
              <w:rPr>
                <w:rFonts w:hint="default"/>
                <w:highlight w:val="none"/>
              </w:rPr>
              <w:t>pH</w:t>
            </w:r>
          </w:p>
        </w:tc>
        <w:tc>
          <w:tcPr>
            <w:tcW w:w="252" w:type="pct"/>
            <w:vMerge w:val="continue"/>
            <w:tcBorders>
              <w:tl2br w:val="nil"/>
              <w:tr2bl w:val="nil"/>
            </w:tcBorders>
            <w:vAlign w:val="center"/>
          </w:tcPr>
          <w:p w14:paraId="1BB76CE5">
            <w:pPr>
              <w:pStyle w:val="8"/>
              <w:suppressLineNumbers w:val="0"/>
              <w:bidi w:val="0"/>
              <w:spacing w:before="0" w:beforeAutospacing="0" w:after="0" w:afterAutospacing="0"/>
              <w:ind w:left="0" w:right="0"/>
              <w:rPr>
                <w:rFonts w:hint="default"/>
                <w:highlight w:val="none"/>
              </w:rPr>
            </w:pPr>
          </w:p>
        </w:tc>
        <w:tc>
          <w:tcPr>
            <w:tcW w:w="301" w:type="pct"/>
            <w:vMerge w:val="continue"/>
            <w:tcBorders>
              <w:tl2br w:val="nil"/>
              <w:tr2bl w:val="nil"/>
            </w:tcBorders>
            <w:vAlign w:val="center"/>
          </w:tcPr>
          <w:p w14:paraId="2E86A534">
            <w:pPr>
              <w:pStyle w:val="8"/>
              <w:suppressLineNumbers w:val="0"/>
              <w:bidi w:val="0"/>
              <w:spacing w:before="0" w:beforeAutospacing="0" w:after="0" w:afterAutospacing="0"/>
              <w:ind w:left="0" w:right="0"/>
              <w:rPr>
                <w:rFonts w:hint="default"/>
                <w:highlight w:val="none"/>
              </w:rPr>
            </w:pPr>
          </w:p>
        </w:tc>
        <w:tc>
          <w:tcPr>
            <w:tcW w:w="777" w:type="pct"/>
            <w:gridSpan w:val="2"/>
            <w:tcBorders>
              <w:tl2br w:val="nil"/>
              <w:tr2bl w:val="nil"/>
            </w:tcBorders>
            <w:vAlign w:val="center"/>
          </w:tcPr>
          <w:p w14:paraId="583504E6">
            <w:pPr>
              <w:pStyle w:val="8"/>
              <w:suppressLineNumbers w:val="0"/>
              <w:bidi w:val="0"/>
              <w:spacing w:before="0" w:beforeAutospacing="0" w:after="0" w:afterAutospacing="0"/>
              <w:ind w:left="0" w:right="0"/>
              <w:rPr>
                <w:rFonts w:hint="default"/>
                <w:highlight w:val="none"/>
              </w:rPr>
            </w:pPr>
            <w:r>
              <w:rPr>
                <w:rFonts w:hint="default"/>
                <w:highlight w:val="none"/>
              </w:rPr>
              <w:t>6.5-7.5（无量纲）</w:t>
            </w:r>
          </w:p>
        </w:tc>
        <w:tc>
          <w:tcPr>
            <w:tcW w:w="586" w:type="pct"/>
            <w:vMerge w:val="continue"/>
            <w:tcBorders>
              <w:tl2br w:val="nil"/>
              <w:tr2bl w:val="nil"/>
            </w:tcBorders>
            <w:vAlign w:val="center"/>
          </w:tcPr>
          <w:p w14:paraId="21D4DD2A">
            <w:pPr>
              <w:pStyle w:val="8"/>
              <w:suppressLineNumbers w:val="0"/>
              <w:bidi w:val="0"/>
              <w:spacing w:before="0" w:beforeAutospacing="0" w:after="0" w:afterAutospacing="0"/>
              <w:ind w:left="0" w:right="0"/>
              <w:rPr>
                <w:rFonts w:hint="default"/>
                <w:highlight w:val="none"/>
              </w:rPr>
            </w:pPr>
          </w:p>
        </w:tc>
        <w:tc>
          <w:tcPr>
            <w:tcW w:w="252" w:type="pct"/>
            <w:vMerge w:val="continue"/>
            <w:tcBorders>
              <w:tl2br w:val="nil"/>
              <w:tr2bl w:val="nil"/>
            </w:tcBorders>
            <w:vAlign w:val="center"/>
          </w:tcPr>
          <w:p w14:paraId="34F639B1">
            <w:pPr>
              <w:pStyle w:val="8"/>
              <w:suppressLineNumbers w:val="0"/>
              <w:bidi w:val="0"/>
              <w:spacing w:before="0" w:beforeAutospacing="0" w:after="0" w:afterAutospacing="0"/>
              <w:ind w:left="0" w:right="0"/>
              <w:rPr>
                <w:rFonts w:hint="default"/>
                <w:highlight w:val="none"/>
              </w:rPr>
            </w:pPr>
          </w:p>
        </w:tc>
        <w:tc>
          <w:tcPr>
            <w:tcW w:w="252" w:type="pct"/>
            <w:vMerge w:val="continue"/>
            <w:tcBorders>
              <w:tl2br w:val="nil"/>
              <w:tr2bl w:val="nil"/>
            </w:tcBorders>
            <w:vAlign w:val="center"/>
          </w:tcPr>
          <w:p w14:paraId="61E1FB92">
            <w:pPr>
              <w:pStyle w:val="8"/>
              <w:suppressLineNumbers w:val="0"/>
              <w:bidi w:val="0"/>
              <w:spacing w:before="0" w:beforeAutospacing="0" w:after="0" w:afterAutospacing="0"/>
              <w:ind w:left="0" w:right="0"/>
              <w:rPr>
                <w:rFonts w:hint="default"/>
                <w:highlight w:val="none"/>
              </w:rPr>
            </w:pPr>
          </w:p>
        </w:tc>
        <w:tc>
          <w:tcPr>
            <w:tcW w:w="301" w:type="pct"/>
            <w:vMerge w:val="continue"/>
            <w:tcBorders>
              <w:tl2br w:val="nil"/>
              <w:tr2bl w:val="nil"/>
            </w:tcBorders>
            <w:vAlign w:val="center"/>
          </w:tcPr>
          <w:p w14:paraId="4AD20DC0">
            <w:pPr>
              <w:pStyle w:val="8"/>
              <w:suppressLineNumbers w:val="0"/>
              <w:bidi w:val="0"/>
              <w:spacing w:before="0" w:beforeAutospacing="0" w:after="0" w:afterAutospacing="0"/>
              <w:ind w:left="0" w:right="0"/>
              <w:rPr>
                <w:rFonts w:hint="default"/>
                <w:highlight w:val="none"/>
              </w:rPr>
            </w:pPr>
          </w:p>
        </w:tc>
        <w:tc>
          <w:tcPr>
            <w:tcW w:w="2130" w:type="dxa"/>
            <w:gridSpan w:val="2"/>
            <w:tcBorders>
              <w:tl2br w:val="nil"/>
              <w:tr2bl w:val="nil"/>
            </w:tcBorders>
            <w:vAlign w:val="center"/>
          </w:tcPr>
          <w:p w14:paraId="25F948EF">
            <w:pPr>
              <w:pStyle w:val="8"/>
              <w:suppressLineNumbers w:val="0"/>
              <w:bidi w:val="0"/>
              <w:spacing w:before="0" w:beforeAutospacing="0" w:after="0" w:afterAutospacing="0"/>
              <w:ind w:left="0" w:leftChars="0" w:right="0" w:rightChars="0" w:firstLine="0" w:firstLineChars="0"/>
              <w:rPr>
                <w:rFonts w:hint="eastAsia" w:eastAsia="宋体"/>
                <w:highlight w:val="none"/>
                <w:lang w:val="en-US" w:eastAsia="zh-CN"/>
              </w:rPr>
            </w:pPr>
            <w:r>
              <w:rPr>
                <w:rFonts w:hint="eastAsia"/>
                <w:highlight w:val="none"/>
                <w:lang w:val="en-US" w:eastAsia="zh-CN"/>
              </w:rPr>
              <w:t>/</w:t>
            </w:r>
          </w:p>
        </w:tc>
        <w:tc>
          <w:tcPr>
            <w:tcW w:w="352" w:type="pct"/>
            <w:vMerge w:val="continue"/>
            <w:tcBorders>
              <w:tl2br w:val="nil"/>
              <w:tr2bl w:val="nil"/>
            </w:tcBorders>
            <w:vAlign w:val="center"/>
          </w:tcPr>
          <w:p w14:paraId="7D139F8A">
            <w:pPr>
              <w:pStyle w:val="8"/>
              <w:suppressLineNumbers w:val="0"/>
              <w:bidi w:val="0"/>
              <w:spacing w:before="0" w:beforeAutospacing="0" w:after="0" w:afterAutospacing="0"/>
              <w:ind w:left="0" w:right="0"/>
              <w:rPr>
                <w:rFonts w:hint="default"/>
                <w:highlight w:val="none"/>
              </w:rPr>
            </w:pPr>
          </w:p>
        </w:tc>
        <w:tc>
          <w:tcPr>
            <w:tcW w:w="353" w:type="pct"/>
            <w:vMerge w:val="continue"/>
            <w:tcBorders>
              <w:tl2br w:val="nil"/>
              <w:tr2bl w:val="nil"/>
            </w:tcBorders>
            <w:vAlign w:val="center"/>
          </w:tcPr>
          <w:p w14:paraId="2BAB0294">
            <w:pPr>
              <w:pStyle w:val="8"/>
              <w:suppressLineNumbers w:val="0"/>
              <w:bidi w:val="0"/>
              <w:spacing w:before="0" w:beforeAutospacing="0" w:after="0" w:afterAutospacing="0"/>
              <w:ind w:left="0" w:right="0"/>
              <w:rPr>
                <w:rFonts w:hint="default"/>
                <w:highlight w:val="none"/>
              </w:rPr>
            </w:pPr>
          </w:p>
        </w:tc>
        <w:tc>
          <w:tcPr>
            <w:tcW w:w="295" w:type="pct"/>
            <w:vMerge w:val="continue"/>
            <w:tcBorders>
              <w:tl2br w:val="nil"/>
              <w:tr2bl w:val="nil"/>
            </w:tcBorders>
            <w:vAlign w:val="center"/>
          </w:tcPr>
          <w:p w14:paraId="16C04455">
            <w:pPr>
              <w:pStyle w:val="8"/>
              <w:suppressLineNumbers w:val="0"/>
              <w:bidi w:val="0"/>
              <w:spacing w:before="0" w:beforeAutospacing="0" w:after="0" w:afterAutospacing="0"/>
              <w:ind w:left="0" w:right="0"/>
              <w:rPr>
                <w:rFonts w:hint="default"/>
                <w:highlight w:val="none"/>
              </w:rPr>
            </w:pPr>
          </w:p>
        </w:tc>
      </w:tr>
      <w:tr w14:paraId="76061C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208" w:type="pct"/>
            <w:vMerge w:val="continue"/>
            <w:tcBorders>
              <w:tl2br w:val="nil"/>
              <w:tr2bl w:val="nil"/>
            </w:tcBorders>
            <w:vAlign w:val="center"/>
          </w:tcPr>
          <w:p w14:paraId="4A8F13BD">
            <w:pPr>
              <w:pStyle w:val="8"/>
              <w:suppressLineNumbers w:val="0"/>
              <w:bidi w:val="0"/>
              <w:spacing w:before="0" w:beforeAutospacing="0" w:after="0" w:afterAutospacing="0"/>
              <w:ind w:left="0" w:right="0"/>
              <w:rPr>
                <w:rFonts w:hint="default"/>
                <w:highlight w:val="none"/>
              </w:rPr>
            </w:pPr>
          </w:p>
        </w:tc>
        <w:tc>
          <w:tcPr>
            <w:tcW w:w="303" w:type="pct"/>
            <w:tcBorders>
              <w:tl2br w:val="nil"/>
              <w:tr2bl w:val="nil"/>
            </w:tcBorders>
            <w:vAlign w:val="center"/>
          </w:tcPr>
          <w:p w14:paraId="11342975">
            <w:pPr>
              <w:pStyle w:val="8"/>
              <w:suppressLineNumbers w:val="0"/>
              <w:bidi w:val="0"/>
              <w:spacing w:before="0" w:beforeAutospacing="0" w:after="0" w:afterAutospacing="0"/>
              <w:ind w:left="0" w:right="0"/>
              <w:rPr>
                <w:rFonts w:hint="default"/>
                <w:highlight w:val="none"/>
              </w:rPr>
            </w:pPr>
            <w:r>
              <w:rPr>
                <w:rFonts w:hint="default"/>
                <w:highlight w:val="none"/>
              </w:rPr>
              <w:t>BOD</w:t>
            </w:r>
            <w:r>
              <w:rPr>
                <w:rFonts w:hint="default"/>
                <w:highlight w:val="none"/>
                <w:vertAlign w:val="subscript"/>
              </w:rPr>
              <w:t>5</w:t>
            </w:r>
          </w:p>
        </w:tc>
        <w:tc>
          <w:tcPr>
            <w:tcW w:w="252" w:type="pct"/>
            <w:vMerge w:val="continue"/>
            <w:tcBorders>
              <w:tl2br w:val="nil"/>
              <w:tr2bl w:val="nil"/>
            </w:tcBorders>
            <w:vAlign w:val="center"/>
          </w:tcPr>
          <w:p w14:paraId="179467C4">
            <w:pPr>
              <w:pStyle w:val="8"/>
              <w:suppressLineNumbers w:val="0"/>
              <w:bidi w:val="0"/>
              <w:spacing w:before="0" w:beforeAutospacing="0" w:after="0" w:afterAutospacing="0"/>
              <w:ind w:left="0" w:right="0"/>
              <w:rPr>
                <w:rFonts w:hint="default"/>
                <w:highlight w:val="none"/>
              </w:rPr>
            </w:pPr>
          </w:p>
        </w:tc>
        <w:tc>
          <w:tcPr>
            <w:tcW w:w="301" w:type="pct"/>
            <w:vMerge w:val="continue"/>
            <w:tcBorders>
              <w:tl2br w:val="nil"/>
              <w:tr2bl w:val="nil"/>
            </w:tcBorders>
            <w:vAlign w:val="center"/>
          </w:tcPr>
          <w:p w14:paraId="30BB1D05">
            <w:pPr>
              <w:pStyle w:val="8"/>
              <w:suppressLineNumbers w:val="0"/>
              <w:bidi w:val="0"/>
              <w:spacing w:before="0" w:beforeAutospacing="0" w:after="0" w:afterAutospacing="0"/>
              <w:ind w:left="0" w:right="0"/>
              <w:rPr>
                <w:rFonts w:hint="default"/>
                <w:highlight w:val="none"/>
              </w:rPr>
            </w:pPr>
          </w:p>
        </w:tc>
        <w:tc>
          <w:tcPr>
            <w:tcW w:w="455" w:type="pct"/>
            <w:tcBorders>
              <w:tl2br w:val="nil"/>
              <w:tr2bl w:val="nil"/>
            </w:tcBorders>
            <w:vAlign w:val="center"/>
          </w:tcPr>
          <w:p w14:paraId="34018C2E">
            <w:pPr>
              <w:pStyle w:val="8"/>
              <w:suppressLineNumbers w:val="0"/>
              <w:bidi w:val="0"/>
              <w:spacing w:before="0" w:beforeAutospacing="0" w:after="0" w:afterAutospacing="0"/>
              <w:ind w:left="0" w:right="0"/>
              <w:rPr>
                <w:rFonts w:hint="default"/>
                <w:highlight w:val="none"/>
              </w:rPr>
            </w:pPr>
            <w:r>
              <w:rPr>
                <w:rFonts w:hint="default"/>
                <w:highlight w:val="none"/>
              </w:rPr>
              <w:t>1</w:t>
            </w:r>
            <w:r>
              <w:rPr>
                <w:rFonts w:hint="eastAsia"/>
                <w:highlight w:val="none"/>
                <w:lang w:val="en-US" w:eastAsia="zh-CN"/>
              </w:rPr>
              <w:t>5</w:t>
            </w:r>
            <w:r>
              <w:rPr>
                <w:rFonts w:hint="default"/>
                <w:highlight w:val="none"/>
              </w:rPr>
              <w:t>0</w:t>
            </w:r>
          </w:p>
        </w:tc>
        <w:tc>
          <w:tcPr>
            <w:tcW w:w="322" w:type="pct"/>
            <w:tcBorders>
              <w:tl2br w:val="nil"/>
              <w:tr2bl w:val="nil"/>
            </w:tcBorders>
            <w:vAlign w:val="center"/>
          </w:tcPr>
          <w:p w14:paraId="123A82CF">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0.012</w:t>
            </w:r>
          </w:p>
        </w:tc>
        <w:tc>
          <w:tcPr>
            <w:tcW w:w="586" w:type="pct"/>
            <w:vMerge w:val="continue"/>
            <w:tcBorders>
              <w:tl2br w:val="nil"/>
              <w:tr2bl w:val="nil"/>
            </w:tcBorders>
            <w:vAlign w:val="center"/>
          </w:tcPr>
          <w:p w14:paraId="353460A6">
            <w:pPr>
              <w:pStyle w:val="8"/>
              <w:suppressLineNumbers w:val="0"/>
              <w:bidi w:val="0"/>
              <w:spacing w:before="0" w:beforeAutospacing="0" w:after="0" w:afterAutospacing="0"/>
              <w:ind w:left="0" w:right="0"/>
              <w:rPr>
                <w:rFonts w:hint="default"/>
                <w:highlight w:val="none"/>
              </w:rPr>
            </w:pPr>
          </w:p>
        </w:tc>
        <w:tc>
          <w:tcPr>
            <w:tcW w:w="252" w:type="pct"/>
            <w:vMerge w:val="continue"/>
            <w:tcBorders>
              <w:tl2br w:val="nil"/>
              <w:tr2bl w:val="nil"/>
            </w:tcBorders>
            <w:vAlign w:val="center"/>
          </w:tcPr>
          <w:p w14:paraId="3DEDB854">
            <w:pPr>
              <w:pStyle w:val="8"/>
              <w:suppressLineNumbers w:val="0"/>
              <w:bidi w:val="0"/>
              <w:spacing w:before="0" w:beforeAutospacing="0" w:after="0" w:afterAutospacing="0"/>
              <w:ind w:left="0" w:right="0"/>
              <w:rPr>
                <w:rFonts w:hint="default"/>
                <w:highlight w:val="none"/>
              </w:rPr>
            </w:pPr>
          </w:p>
        </w:tc>
        <w:tc>
          <w:tcPr>
            <w:tcW w:w="252" w:type="pct"/>
            <w:vMerge w:val="continue"/>
            <w:tcBorders>
              <w:tl2br w:val="nil"/>
              <w:tr2bl w:val="nil"/>
            </w:tcBorders>
            <w:vAlign w:val="center"/>
          </w:tcPr>
          <w:p w14:paraId="527199F2">
            <w:pPr>
              <w:pStyle w:val="8"/>
              <w:suppressLineNumbers w:val="0"/>
              <w:bidi w:val="0"/>
              <w:spacing w:before="0" w:beforeAutospacing="0" w:after="0" w:afterAutospacing="0"/>
              <w:ind w:left="0" w:right="0"/>
              <w:rPr>
                <w:rFonts w:hint="default"/>
                <w:highlight w:val="none"/>
              </w:rPr>
            </w:pPr>
          </w:p>
        </w:tc>
        <w:tc>
          <w:tcPr>
            <w:tcW w:w="301" w:type="pct"/>
            <w:vMerge w:val="continue"/>
            <w:tcBorders>
              <w:tl2br w:val="nil"/>
              <w:tr2bl w:val="nil"/>
            </w:tcBorders>
            <w:vAlign w:val="center"/>
          </w:tcPr>
          <w:p w14:paraId="127F0C46">
            <w:pPr>
              <w:pStyle w:val="8"/>
              <w:suppressLineNumbers w:val="0"/>
              <w:bidi w:val="0"/>
              <w:spacing w:before="0" w:beforeAutospacing="0" w:after="0" w:afterAutospacing="0"/>
              <w:ind w:left="0" w:right="0"/>
              <w:rPr>
                <w:rFonts w:hint="default"/>
                <w:highlight w:val="none"/>
              </w:rPr>
            </w:pPr>
          </w:p>
        </w:tc>
        <w:tc>
          <w:tcPr>
            <w:tcW w:w="1134" w:type="dxa"/>
            <w:tcBorders>
              <w:tl2br w:val="nil"/>
              <w:tr2bl w:val="nil"/>
            </w:tcBorders>
            <w:vAlign w:val="center"/>
          </w:tcPr>
          <w:p w14:paraId="701DB605">
            <w:pPr>
              <w:pStyle w:val="8"/>
              <w:suppressLineNumbers w:val="0"/>
              <w:bidi w:val="0"/>
              <w:spacing w:before="0" w:beforeAutospacing="0" w:after="0" w:afterAutospacing="0"/>
              <w:ind w:left="0" w:leftChars="0" w:right="0" w:rightChars="0" w:firstLine="0" w:firstLineChars="0"/>
              <w:rPr>
                <w:rFonts w:hint="eastAsia" w:eastAsia="宋体"/>
                <w:highlight w:val="none"/>
                <w:lang w:val="en-US" w:eastAsia="zh-CN"/>
              </w:rPr>
            </w:pPr>
            <w:r>
              <w:rPr>
                <w:rFonts w:hint="eastAsia"/>
                <w:highlight w:val="none"/>
                <w:lang w:val="en-US" w:eastAsia="zh-CN"/>
              </w:rPr>
              <w:t>0</w:t>
            </w:r>
          </w:p>
        </w:tc>
        <w:tc>
          <w:tcPr>
            <w:tcW w:w="996" w:type="dxa"/>
            <w:tcBorders>
              <w:tl2br w:val="nil"/>
              <w:tr2bl w:val="nil"/>
            </w:tcBorders>
            <w:vAlign w:val="center"/>
          </w:tcPr>
          <w:p w14:paraId="00733969">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0</w:t>
            </w:r>
          </w:p>
        </w:tc>
        <w:tc>
          <w:tcPr>
            <w:tcW w:w="352" w:type="pct"/>
            <w:vMerge w:val="continue"/>
            <w:tcBorders>
              <w:tl2br w:val="nil"/>
              <w:tr2bl w:val="nil"/>
            </w:tcBorders>
            <w:vAlign w:val="center"/>
          </w:tcPr>
          <w:p w14:paraId="08F65160">
            <w:pPr>
              <w:pStyle w:val="8"/>
              <w:suppressLineNumbers w:val="0"/>
              <w:bidi w:val="0"/>
              <w:spacing w:before="0" w:beforeAutospacing="0" w:after="0" w:afterAutospacing="0"/>
              <w:ind w:left="0" w:right="0"/>
              <w:rPr>
                <w:rFonts w:hint="default"/>
                <w:highlight w:val="none"/>
              </w:rPr>
            </w:pPr>
          </w:p>
        </w:tc>
        <w:tc>
          <w:tcPr>
            <w:tcW w:w="353" w:type="pct"/>
            <w:vMerge w:val="continue"/>
            <w:tcBorders>
              <w:tl2br w:val="nil"/>
              <w:tr2bl w:val="nil"/>
            </w:tcBorders>
            <w:vAlign w:val="center"/>
          </w:tcPr>
          <w:p w14:paraId="75EB826A">
            <w:pPr>
              <w:pStyle w:val="8"/>
              <w:suppressLineNumbers w:val="0"/>
              <w:bidi w:val="0"/>
              <w:spacing w:before="0" w:beforeAutospacing="0" w:after="0" w:afterAutospacing="0"/>
              <w:ind w:left="0" w:right="0"/>
              <w:rPr>
                <w:rFonts w:hint="default"/>
                <w:highlight w:val="none"/>
              </w:rPr>
            </w:pPr>
          </w:p>
        </w:tc>
        <w:tc>
          <w:tcPr>
            <w:tcW w:w="295" w:type="pct"/>
            <w:vMerge w:val="continue"/>
            <w:tcBorders>
              <w:tl2br w:val="nil"/>
              <w:tr2bl w:val="nil"/>
            </w:tcBorders>
            <w:vAlign w:val="center"/>
          </w:tcPr>
          <w:p w14:paraId="2503067A">
            <w:pPr>
              <w:pStyle w:val="8"/>
              <w:suppressLineNumbers w:val="0"/>
              <w:bidi w:val="0"/>
              <w:spacing w:before="0" w:beforeAutospacing="0" w:after="0" w:afterAutospacing="0"/>
              <w:ind w:left="0" w:right="0"/>
              <w:rPr>
                <w:rFonts w:hint="default"/>
                <w:highlight w:val="none"/>
              </w:rPr>
            </w:pPr>
          </w:p>
        </w:tc>
      </w:tr>
      <w:tr w14:paraId="43A6AA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208" w:type="pct"/>
            <w:vMerge w:val="continue"/>
            <w:tcBorders>
              <w:tl2br w:val="nil"/>
              <w:tr2bl w:val="nil"/>
            </w:tcBorders>
            <w:vAlign w:val="center"/>
          </w:tcPr>
          <w:p w14:paraId="56DE3527">
            <w:pPr>
              <w:pStyle w:val="8"/>
              <w:suppressLineNumbers w:val="0"/>
              <w:bidi w:val="0"/>
              <w:spacing w:before="0" w:beforeAutospacing="0" w:after="0" w:afterAutospacing="0"/>
              <w:ind w:left="0" w:right="0"/>
              <w:rPr>
                <w:rFonts w:hint="default"/>
                <w:highlight w:val="none"/>
              </w:rPr>
            </w:pPr>
          </w:p>
        </w:tc>
        <w:tc>
          <w:tcPr>
            <w:tcW w:w="303" w:type="pct"/>
            <w:tcBorders>
              <w:tl2br w:val="nil"/>
              <w:tr2bl w:val="nil"/>
            </w:tcBorders>
            <w:vAlign w:val="center"/>
          </w:tcPr>
          <w:p w14:paraId="109B2710">
            <w:pPr>
              <w:pStyle w:val="8"/>
              <w:suppressLineNumbers w:val="0"/>
              <w:bidi w:val="0"/>
              <w:spacing w:before="0" w:beforeAutospacing="0" w:after="0" w:afterAutospacing="0"/>
              <w:ind w:left="0" w:right="0"/>
              <w:rPr>
                <w:rFonts w:hint="default"/>
                <w:highlight w:val="none"/>
              </w:rPr>
            </w:pPr>
            <w:r>
              <w:rPr>
                <w:rFonts w:hint="default"/>
                <w:highlight w:val="none"/>
              </w:rPr>
              <w:t>SS</w:t>
            </w:r>
          </w:p>
        </w:tc>
        <w:tc>
          <w:tcPr>
            <w:tcW w:w="252" w:type="pct"/>
            <w:vMerge w:val="continue"/>
            <w:tcBorders>
              <w:tl2br w:val="nil"/>
              <w:tr2bl w:val="nil"/>
            </w:tcBorders>
            <w:vAlign w:val="center"/>
          </w:tcPr>
          <w:p w14:paraId="48ABFFE9">
            <w:pPr>
              <w:pStyle w:val="8"/>
              <w:suppressLineNumbers w:val="0"/>
              <w:bidi w:val="0"/>
              <w:spacing w:before="0" w:beforeAutospacing="0" w:after="0" w:afterAutospacing="0"/>
              <w:ind w:left="0" w:right="0"/>
              <w:rPr>
                <w:rFonts w:hint="default"/>
                <w:highlight w:val="none"/>
              </w:rPr>
            </w:pPr>
          </w:p>
        </w:tc>
        <w:tc>
          <w:tcPr>
            <w:tcW w:w="301" w:type="pct"/>
            <w:vMerge w:val="continue"/>
            <w:tcBorders>
              <w:tl2br w:val="nil"/>
              <w:tr2bl w:val="nil"/>
            </w:tcBorders>
            <w:vAlign w:val="center"/>
          </w:tcPr>
          <w:p w14:paraId="74C185E7">
            <w:pPr>
              <w:pStyle w:val="8"/>
              <w:suppressLineNumbers w:val="0"/>
              <w:bidi w:val="0"/>
              <w:spacing w:before="0" w:beforeAutospacing="0" w:after="0" w:afterAutospacing="0"/>
              <w:ind w:left="0" w:right="0"/>
              <w:rPr>
                <w:rFonts w:hint="default"/>
                <w:highlight w:val="none"/>
              </w:rPr>
            </w:pPr>
          </w:p>
        </w:tc>
        <w:tc>
          <w:tcPr>
            <w:tcW w:w="455" w:type="pct"/>
            <w:tcBorders>
              <w:tl2br w:val="nil"/>
              <w:tr2bl w:val="nil"/>
            </w:tcBorders>
            <w:vAlign w:val="center"/>
          </w:tcPr>
          <w:p w14:paraId="1FB49D06">
            <w:pPr>
              <w:pStyle w:val="8"/>
              <w:suppressLineNumbers w:val="0"/>
              <w:bidi w:val="0"/>
              <w:spacing w:before="0" w:beforeAutospacing="0" w:after="0" w:afterAutospacing="0"/>
              <w:ind w:left="0" w:right="0"/>
              <w:rPr>
                <w:rFonts w:hint="default"/>
                <w:highlight w:val="none"/>
              </w:rPr>
            </w:pPr>
            <w:r>
              <w:rPr>
                <w:rFonts w:hint="default"/>
                <w:highlight w:val="none"/>
              </w:rPr>
              <w:t>200</w:t>
            </w:r>
          </w:p>
        </w:tc>
        <w:tc>
          <w:tcPr>
            <w:tcW w:w="322" w:type="pct"/>
            <w:tcBorders>
              <w:tl2br w:val="nil"/>
              <w:tr2bl w:val="nil"/>
            </w:tcBorders>
            <w:vAlign w:val="center"/>
          </w:tcPr>
          <w:p w14:paraId="5E212CA7">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0.015</w:t>
            </w:r>
          </w:p>
        </w:tc>
        <w:tc>
          <w:tcPr>
            <w:tcW w:w="586" w:type="pct"/>
            <w:vMerge w:val="continue"/>
            <w:tcBorders>
              <w:tl2br w:val="nil"/>
              <w:tr2bl w:val="nil"/>
            </w:tcBorders>
            <w:vAlign w:val="center"/>
          </w:tcPr>
          <w:p w14:paraId="7E662434">
            <w:pPr>
              <w:pStyle w:val="8"/>
              <w:suppressLineNumbers w:val="0"/>
              <w:bidi w:val="0"/>
              <w:spacing w:before="0" w:beforeAutospacing="0" w:after="0" w:afterAutospacing="0"/>
              <w:ind w:left="0" w:right="0"/>
              <w:rPr>
                <w:rFonts w:hint="default"/>
                <w:highlight w:val="none"/>
              </w:rPr>
            </w:pPr>
          </w:p>
        </w:tc>
        <w:tc>
          <w:tcPr>
            <w:tcW w:w="252" w:type="pct"/>
            <w:vMerge w:val="continue"/>
            <w:tcBorders>
              <w:tl2br w:val="nil"/>
              <w:tr2bl w:val="nil"/>
            </w:tcBorders>
            <w:vAlign w:val="center"/>
          </w:tcPr>
          <w:p w14:paraId="75157E1D">
            <w:pPr>
              <w:pStyle w:val="8"/>
              <w:suppressLineNumbers w:val="0"/>
              <w:bidi w:val="0"/>
              <w:spacing w:before="0" w:beforeAutospacing="0" w:after="0" w:afterAutospacing="0"/>
              <w:ind w:left="0" w:right="0"/>
              <w:rPr>
                <w:rFonts w:hint="default"/>
                <w:highlight w:val="none"/>
              </w:rPr>
            </w:pPr>
          </w:p>
        </w:tc>
        <w:tc>
          <w:tcPr>
            <w:tcW w:w="252" w:type="pct"/>
            <w:vMerge w:val="continue"/>
            <w:tcBorders>
              <w:tl2br w:val="nil"/>
              <w:tr2bl w:val="nil"/>
            </w:tcBorders>
            <w:vAlign w:val="center"/>
          </w:tcPr>
          <w:p w14:paraId="7DBAD82E">
            <w:pPr>
              <w:pStyle w:val="8"/>
              <w:suppressLineNumbers w:val="0"/>
              <w:bidi w:val="0"/>
              <w:spacing w:before="0" w:beforeAutospacing="0" w:after="0" w:afterAutospacing="0"/>
              <w:ind w:left="0" w:right="0"/>
              <w:rPr>
                <w:rFonts w:hint="default"/>
                <w:highlight w:val="none"/>
              </w:rPr>
            </w:pPr>
          </w:p>
        </w:tc>
        <w:tc>
          <w:tcPr>
            <w:tcW w:w="301" w:type="pct"/>
            <w:vMerge w:val="continue"/>
            <w:tcBorders>
              <w:tl2br w:val="nil"/>
              <w:tr2bl w:val="nil"/>
            </w:tcBorders>
            <w:vAlign w:val="center"/>
          </w:tcPr>
          <w:p w14:paraId="1DFDDF9B">
            <w:pPr>
              <w:pStyle w:val="8"/>
              <w:suppressLineNumbers w:val="0"/>
              <w:bidi w:val="0"/>
              <w:spacing w:before="0" w:beforeAutospacing="0" w:after="0" w:afterAutospacing="0"/>
              <w:ind w:left="0" w:right="0"/>
              <w:rPr>
                <w:rFonts w:hint="default"/>
                <w:highlight w:val="none"/>
              </w:rPr>
            </w:pPr>
          </w:p>
        </w:tc>
        <w:tc>
          <w:tcPr>
            <w:tcW w:w="1134" w:type="dxa"/>
            <w:tcBorders>
              <w:tl2br w:val="nil"/>
              <w:tr2bl w:val="nil"/>
            </w:tcBorders>
            <w:vAlign w:val="center"/>
          </w:tcPr>
          <w:p w14:paraId="0CD3E766">
            <w:pPr>
              <w:pStyle w:val="8"/>
              <w:suppressLineNumbers w:val="0"/>
              <w:bidi w:val="0"/>
              <w:spacing w:before="0" w:beforeAutospacing="0" w:after="0" w:afterAutospacing="0"/>
              <w:ind w:left="0" w:leftChars="0" w:right="0" w:rightChars="0" w:firstLine="0" w:firstLineChars="0"/>
              <w:rPr>
                <w:rFonts w:hint="eastAsia" w:eastAsia="宋体"/>
                <w:highlight w:val="none"/>
                <w:lang w:val="en-US" w:eastAsia="zh-CN"/>
              </w:rPr>
            </w:pPr>
            <w:r>
              <w:rPr>
                <w:rFonts w:hint="eastAsia"/>
                <w:highlight w:val="none"/>
                <w:lang w:val="en-US" w:eastAsia="zh-CN"/>
              </w:rPr>
              <w:t>0</w:t>
            </w:r>
          </w:p>
        </w:tc>
        <w:tc>
          <w:tcPr>
            <w:tcW w:w="996" w:type="dxa"/>
            <w:tcBorders>
              <w:tl2br w:val="nil"/>
              <w:tr2bl w:val="nil"/>
            </w:tcBorders>
            <w:vAlign w:val="center"/>
          </w:tcPr>
          <w:p w14:paraId="3318BA86">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highlight w:val="none"/>
                <w:lang w:val="en-US" w:eastAsia="zh-CN"/>
              </w:rPr>
              <w:t>0</w:t>
            </w:r>
          </w:p>
        </w:tc>
        <w:tc>
          <w:tcPr>
            <w:tcW w:w="352" w:type="pct"/>
            <w:vMerge w:val="continue"/>
            <w:tcBorders>
              <w:tl2br w:val="nil"/>
              <w:tr2bl w:val="nil"/>
            </w:tcBorders>
            <w:vAlign w:val="center"/>
          </w:tcPr>
          <w:p w14:paraId="615CDACD">
            <w:pPr>
              <w:pStyle w:val="8"/>
              <w:suppressLineNumbers w:val="0"/>
              <w:bidi w:val="0"/>
              <w:spacing w:before="0" w:beforeAutospacing="0" w:after="0" w:afterAutospacing="0"/>
              <w:ind w:left="0" w:right="0"/>
              <w:rPr>
                <w:rFonts w:hint="default"/>
                <w:highlight w:val="none"/>
              </w:rPr>
            </w:pPr>
          </w:p>
        </w:tc>
        <w:tc>
          <w:tcPr>
            <w:tcW w:w="353" w:type="pct"/>
            <w:vMerge w:val="continue"/>
            <w:tcBorders>
              <w:tl2br w:val="nil"/>
              <w:tr2bl w:val="nil"/>
            </w:tcBorders>
            <w:vAlign w:val="center"/>
          </w:tcPr>
          <w:p w14:paraId="62EA824A">
            <w:pPr>
              <w:pStyle w:val="8"/>
              <w:suppressLineNumbers w:val="0"/>
              <w:bidi w:val="0"/>
              <w:spacing w:before="0" w:beforeAutospacing="0" w:after="0" w:afterAutospacing="0"/>
              <w:ind w:left="0" w:right="0"/>
              <w:rPr>
                <w:rFonts w:hint="default"/>
                <w:highlight w:val="none"/>
              </w:rPr>
            </w:pPr>
          </w:p>
        </w:tc>
        <w:tc>
          <w:tcPr>
            <w:tcW w:w="295" w:type="pct"/>
            <w:vMerge w:val="continue"/>
            <w:tcBorders>
              <w:tl2br w:val="nil"/>
              <w:tr2bl w:val="nil"/>
            </w:tcBorders>
            <w:vAlign w:val="center"/>
          </w:tcPr>
          <w:p w14:paraId="609160CC">
            <w:pPr>
              <w:pStyle w:val="8"/>
              <w:suppressLineNumbers w:val="0"/>
              <w:bidi w:val="0"/>
              <w:spacing w:before="0" w:beforeAutospacing="0" w:after="0" w:afterAutospacing="0"/>
              <w:ind w:left="0" w:right="0"/>
              <w:rPr>
                <w:rFonts w:hint="default"/>
                <w:highlight w:val="none"/>
              </w:rPr>
            </w:pPr>
          </w:p>
        </w:tc>
      </w:tr>
    </w:tbl>
    <w:p w14:paraId="2BDBF88D">
      <w:pPr>
        <w:pStyle w:val="7"/>
        <w:bidi w:val="0"/>
        <w:rPr>
          <w:rFonts w:hint="eastAsia"/>
          <w:highlight w:val="none"/>
        </w:rPr>
      </w:pPr>
      <w:r>
        <w:rPr>
          <w:highlight w:val="none"/>
        </w:rPr>
        <w:t>表</w:t>
      </w:r>
      <w:r>
        <w:rPr>
          <w:rFonts w:hint="eastAsia"/>
          <w:highlight w:val="none"/>
        </w:rPr>
        <w:t>3-</w:t>
      </w:r>
      <w:r>
        <w:rPr>
          <w:rFonts w:hint="eastAsia"/>
          <w:highlight w:val="none"/>
          <w:lang w:val="en-US" w:eastAsia="zh-CN"/>
        </w:rPr>
        <w:t>3-6工</w:t>
      </w:r>
      <w:r>
        <w:rPr>
          <w:rFonts w:hint="eastAsia"/>
          <w:highlight w:val="none"/>
        </w:rPr>
        <w:t>业企业噪源强调查清单（室内声源）</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1419"/>
        <w:gridCol w:w="1563"/>
        <w:gridCol w:w="426"/>
        <w:gridCol w:w="1104"/>
        <w:gridCol w:w="769"/>
        <w:gridCol w:w="1010"/>
        <w:gridCol w:w="862"/>
        <w:gridCol w:w="814"/>
        <w:gridCol w:w="1010"/>
        <w:gridCol w:w="1010"/>
        <w:gridCol w:w="712"/>
        <w:gridCol w:w="1010"/>
        <w:gridCol w:w="1013"/>
        <w:gridCol w:w="1021"/>
      </w:tblGrid>
      <w:tr w14:paraId="68A13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 w:type="pct"/>
            <w:vMerge w:val="restart"/>
            <w:vAlign w:val="center"/>
          </w:tcPr>
          <w:p w14:paraId="44E21D1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序号</w:t>
            </w:r>
          </w:p>
        </w:tc>
        <w:tc>
          <w:tcPr>
            <w:tcW w:w="500" w:type="pct"/>
            <w:vMerge w:val="restart"/>
            <w:vAlign w:val="center"/>
          </w:tcPr>
          <w:p w14:paraId="3D8CC840">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建筑物名称</w:t>
            </w:r>
          </w:p>
        </w:tc>
        <w:tc>
          <w:tcPr>
            <w:tcW w:w="551" w:type="pct"/>
            <w:vMerge w:val="restart"/>
            <w:vAlign w:val="center"/>
          </w:tcPr>
          <w:p w14:paraId="2BF9531B">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声源名称</w:t>
            </w:r>
          </w:p>
        </w:tc>
        <w:tc>
          <w:tcPr>
            <w:tcW w:w="150" w:type="pct"/>
            <w:vMerge w:val="restart"/>
            <w:vAlign w:val="center"/>
          </w:tcPr>
          <w:p w14:paraId="0ABAC40E">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型号</w:t>
            </w:r>
          </w:p>
        </w:tc>
        <w:tc>
          <w:tcPr>
            <w:tcW w:w="389" w:type="pct"/>
            <w:vAlign w:val="center"/>
          </w:tcPr>
          <w:p w14:paraId="6CA8E095">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声源源强</w:t>
            </w:r>
          </w:p>
        </w:tc>
        <w:tc>
          <w:tcPr>
            <w:tcW w:w="271" w:type="pct"/>
            <w:vMerge w:val="restart"/>
            <w:vAlign w:val="center"/>
          </w:tcPr>
          <w:p w14:paraId="65E6DAB5">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声源控制措施</w:t>
            </w:r>
          </w:p>
        </w:tc>
        <w:tc>
          <w:tcPr>
            <w:tcW w:w="947" w:type="pct"/>
            <w:gridSpan w:val="3"/>
            <w:vAlign w:val="center"/>
          </w:tcPr>
          <w:p w14:paraId="2D36EA85">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空间相对位置/m</w:t>
            </w:r>
          </w:p>
        </w:tc>
        <w:tc>
          <w:tcPr>
            <w:tcW w:w="356" w:type="pct"/>
            <w:vMerge w:val="restart"/>
            <w:vAlign w:val="center"/>
          </w:tcPr>
          <w:p w14:paraId="487F38B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eastAsiaTheme="minorEastAsia"/>
                <w:sz w:val="21"/>
                <w:szCs w:val="21"/>
                <w:highlight w:val="none"/>
                <w:lang w:val="en-US" w:eastAsia="zh-CN"/>
              </w:rPr>
            </w:pPr>
            <w:r>
              <w:rPr>
                <w:rFonts w:hint="default"/>
                <w:sz w:val="21"/>
                <w:szCs w:val="21"/>
                <w:highlight w:val="none"/>
              </w:rPr>
              <w:t>距室内边界距离</w:t>
            </w:r>
            <w:r>
              <w:rPr>
                <w:rFonts w:hint="eastAsia"/>
                <w:sz w:val="21"/>
                <w:szCs w:val="21"/>
                <w:highlight w:val="none"/>
                <w:lang w:val="en-US" w:eastAsia="zh-CN"/>
              </w:rPr>
              <w:t>/m</w:t>
            </w:r>
          </w:p>
        </w:tc>
        <w:tc>
          <w:tcPr>
            <w:tcW w:w="356" w:type="pct"/>
            <w:vMerge w:val="restart"/>
            <w:vAlign w:val="center"/>
          </w:tcPr>
          <w:p w14:paraId="2C5BE8B1">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室内边界声级/dB（A）</w:t>
            </w:r>
          </w:p>
        </w:tc>
        <w:tc>
          <w:tcPr>
            <w:tcW w:w="251" w:type="pct"/>
            <w:vMerge w:val="restart"/>
            <w:vAlign w:val="center"/>
          </w:tcPr>
          <w:p w14:paraId="047F5ABF">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运行时段</w:t>
            </w:r>
          </w:p>
        </w:tc>
        <w:tc>
          <w:tcPr>
            <w:tcW w:w="356" w:type="pct"/>
            <w:vMerge w:val="restart"/>
            <w:vAlign w:val="center"/>
          </w:tcPr>
          <w:p w14:paraId="2636AD91">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建筑物插入损失/dB（A）</w:t>
            </w:r>
          </w:p>
        </w:tc>
        <w:tc>
          <w:tcPr>
            <w:tcW w:w="717" w:type="pct"/>
            <w:gridSpan w:val="2"/>
            <w:vAlign w:val="center"/>
          </w:tcPr>
          <w:p w14:paraId="086A177D">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建筑物外噪声</w:t>
            </w:r>
          </w:p>
        </w:tc>
      </w:tr>
      <w:tr w14:paraId="76D06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52" w:type="pct"/>
            <w:vMerge w:val="continue"/>
            <w:vAlign w:val="center"/>
          </w:tcPr>
          <w:p w14:paraId="1DE87E95">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500" w:type="pct"/>
            <w:vMerge w:val="continue"/>
            <w:vAlign w:val="center"/>
          </w:tcPr>
          <w:p w14:paraId="1EFEE42B">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551" w:type="pct"/>
            <w:vMerge w:val="continue"/>
            <w:vAlign w:val="center"/>
          </w:tcPr>
          <w:p w14:paraId="246406AE">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150" w:type="pct"/>
            <w:vMerge w:val="continue"/>
            <w:vAlign w:val="center"/>
          </w:tcPr>
          <w:p w14:paraId="15AF2D5E">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389" w:type="pct"/>
            <w:vAlign w:val="center"/>
          </w:tcPr>
          <w:p w14:paraId="1CDD9250">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声</w:t>
            </w:r>
            <w:r>
              <w:rPr>
                <w:rFonts w:hint="eastAsia"/>
                <w:sz w:val="21"/>
                <w:szCs w:val="21"/>
                <w:highlight w:val="none"/>
                <w:lang w:val="en-US" w:eastAsia="zh-CN"/>
              </w:rPr>
              <w:t>压</w:t>
            </w:r>
            <w:r>
              <w:rPr>
                <w:rFonts w:hint="default"/>
                <w:sz w:val="21"/>
                <w:szCs w:val="21"/>
                <w:highlight w:val="none"/>
              </w:rPr>
              <w:t>级/</w:t>
            </w:r>
            <w:r>
              <w:rPr>
                <w:rFonts w:hint="eastAsia"/>
                <w:sz w:val="21"/>
                <w:szCs w:val="21"/>
                <w:highlight w:val="none"/>
                <w:lang w:eastAsia="zh-CN"/>
              </w:rPr>
              <w:t>（</w:t>
            </w:r>
            <w:r>
              <w:rPr>
                <w:rFonts w:hint="default"/>
                <w:sz w:val="21"/>
                <w:szCs w:val="21"/>
                <w:highlight w:val="none"/>
              </w:rPr>
              <w:t>dB（A）</w:t>
            </w:r>
            <w:r>
              <w:rPr>
                <w:rFonts w:hint="eastAsia"/>
                <w:sz w:val="21"/>
                <w:szCs w:val="21"/>
                <w:highlight w:val="none"/>
                <w:lang w:val="en-US" w:eastAsia="zh-CN"/>
              </w:rPr>
              <w:t>/m</w:t>
            </w:r>
            <w:r>
              <w:rPr>
                <w:rFonts w:hint="eastAsia"/>
                <w:sz w:val="21"/>
                <w:szCs w:val="21"/>
                <w:highlight w:val="none"/>
                <w:lang w:eastAsia="zh-CN"/>
              </w:rPr>
              <w:t>）</w:t>
            </w:r>
          </w:p>
        </w:tc>
        <w:tc>
          <w:tcPr>
            <w:tcW w:w="271" w:type="pct"/>
            <w:vMerge w:val="continue"/>
            <w:vAlign w:val="center"/>
          </w:tcPr>
          <w:p w14:paraId="0D50A855">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356" w:type="pct"/>
            <w:vAlign w:val="center"/>
          </w:tcPr>
          <w:p w14:paraId="4403F793">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X</w:t>
            </w:r>
          </w:p>
        </w:tc>
        <w:tc>
          <w:tcPr>
            <w:tcW w:w="304" w:type="pct"/>
            <w:vAlign w:val="center"/>
          </w:tcPr>
          <w:p w14:paraId="6339F1D3">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Y</w:t>
            </w:r>
          </w:p>
        </w:tc>
        <w:tc>
          <w:tcPr>
            <w:tcW w:w="287" w:type="pct"/>
            <w:vAlign w:val="center"/>
          </w:tcPr>
          <w:p w14:paraId="1E56DF6F">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Z</w:t>
            </w:r>
          </w:p>
        </w:tc>
        <w:tc>
          <w:tcPr>
            <w:tcW w:w="356" w:type="pct"/>
            <w:vMerge w:val="continue"/>
            <w:vAlign w:val="center"/>
          </w:tcPr>
          <w:p w14:paraId="44FC5918">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356" w:type="pct"/>
            <w:vMerge w:val="continue"/>
            <w:vAlign w:val="center"/>
          </w:tcPr>
          <w:p w14:paraId="752A301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251" w:type="pct"/>
            <w:vMerge w:val="continue"/>
            <w:vAlign w:val="center"/>
          </w:tcPr>
          <w:p w14:paraId="68228EA2">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356" w:type="pct"/>
            <w:vMerge w:val="continue"/>
            <w:vAlign w:val="center"/>
          </w:tcPr>
          <w:p w14:paraId="2144E21E">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357" w:type="pct"/>
            <w:vAlign w:val="center"/>
          </w:tcPr>
          <w:p w14:paraId="6FB89A5B">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声压级/dB（A）</w:t>
            </w:r>
          </w:p>
        </w:tc>
        <w:tc>
          <w:tcPr>
            <w:tcW w:w="360" w:type="pct"/>
            <w:vAlign w:val="center"/>
          </w:tcPr>
          <w:p w14:paraId="5D9A58C3">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建筑物外距离</w:t>
            </w:r>
          </w:p>
        </w:tc>
      </w:tr>
      <w:tr w14:paraId="2485D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 w:type="pct"/>
            <w:vAlign w:val="center"/>
          </w:tcPr>
          <w:p w14:paraId="7D8442E9">
            <w:pPr>
              <w:pStyle w:val="147"/>
              <w:keepNext w:val="0"/>
              <w:keepLines w:val="0"/>
              <w:pageBreakBefore w:val="0"/>
              <w:numPr>
                <w:ilvl w:val="0"/>
                <w:numId w:val="11"/>
              </w:numPr>
              <w:suppressLineNumbers w:val="0"/>
              <w:kinsoku/>
              <w:wordWrap w:val="0"/>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sz w:val="21"/>
                <w:szCs w:val="21"/>
                <w:highlight w:val="none"/>
              </w:rPr>
            </w:pPr>
          </w:p>
        </w:tc>
        <w:tc>
          <w:tcPr>
            <w:tcW w:w="500" w:type="pct"/>
            <w:vMerge w:val="restart"/>
            <w:vAlign w:val="center"/>
          </w:tcPr>
          <w:p w14:paraId="11D11796">
            <w:pPr>
              <w:pStyle w:val="74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cente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生产车间</w:t>
            </w:r>
          </w:p>
        </w:tc>
        <w:tc>
          <w:tcPr>
            <w:tcW w:w="551" w:type="pct"/>
            <w:shd w:val="clear" w:color="auto" w:fill="auto"/>
            <w:vAlign w:val="center"/>
          </w:tcPr>
          <w:p w14:paraId="111D739B">
            <w:pPr>
              <w:pStyle w:val="8"/>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金属上料输送机</w:t>
            </w:r>
          </w:p>
        </w:tc>
        <w:tc>
          <w:tcPr>
            <w:tcW w:w="150" w:type="pct"/>
            <w:vAlign w:val="center"/>
          </w:tcPr>
          <w:p w14:paraId="35980A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w:t>
            </w:r>
          </w:p>
        </w:tc>
        <w:tc>
          <w:tcPr>
            <w:tcW w:w="389" w:type="pct"/>
            <w:vAlign w:val="center"/>
          </w:tcPr>
          <w:p w14:paraId="703570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rPr>
                <w:rFonts w:hint="default" w:eastAsiaTheme="minorEastAsia"/>
                <w:snapToGrid w:val="0"/>
                <w:sz w:val="21"/>
                <w:szCs w:val="21"/>
                <w:highlight w:val="none"/>
                <w:lang w:val="en-US" w:eastAsia="zh-CN"/>
              </w:rPr>
            </w:pPr>
            <w:r>
              <w:rPr>
                <w:rFonts w:hint="eastAsia" w:eastAsiaTheme="minorEastAsia"/>
                <w:snapToGrid w:val="0"/>
                <w:sz w:val="21"/>
                <w:szCs w:val="21"/>
                <w:highlight w:val="none"/>
                <w:lang w:val="en-US" w:eastAsia="zh-CN"/>
              </w:rPr>
              <w:t>70/1</w:t>
            </w:r>
          </w:p>
        </w:tc>
        <w:tc>
          <w:tcPr>
            <w:tcW w:w="271" w:type="pct"/>
            <w:vMerge w:val="restart"/>
            <w:vAlign w:val="center"/>
          </w:tcPr>
          <w:p w14:paraId="4392BB6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基础减振、厂房隔声措施</w:t>
            </w:r>
          </w:p>
        </w:tc>
        <w:tc>
          <w:tcPr>
            <w:tcW w:w="356" w:type="pct"/>
            <w:vAlign w:val="center"/>
          </w:tcPr>
          <w:p w14:paraId="20FB7D5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eastAsiaTheme="minorEastAsia"/>
                <w:sz w:val="21"/>
                <w:szCs w:val="21"/>
                <w:highlight w:val="none"/>
                <w:lang w:val="en-US" w:eastAsia="zh-CN"/>
              </w:rPr>
            </w:pPr>
            <w:r>
              <w:rPr>
                <w:rFonts w:hint="eastAsia"/>
                <w:sz w:val="21"/>
                <w:szCs w:val="21"/>
                <w:highlight w:val="none"/>
                <w:lang w:val="en-US" w:eastAsia="zh-CN"/>
              </w:rPr>
              <w:t>46</w:t>
            </w:r>
          </w:p>
        </w:tc>
        <w:tc>
          <w:tcPr>
            <w:tcW w:w="304" w:type="pct"/>
            <w:vAlign w:val="center"/>
          </w:tcPr>
          <w:p w14:paraId="48A186AA">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eastAsiaTheme="minorEastAsia"/>
                <w:sz w:val="21"/>
                <w:szCs w:val="21"/>
                <w:highlight w:val="none"/>
                <w:lang w:val="en-US" w:eastAsia="zh-CN"/>
              </w:rPr>
            </w:pPr>
            <w:r>
              <w:rPr>
                <w:rFonts w:hint="eastAsia"/>
                <w:sz w:val="21"/>
                <w:szCs w:val="21"/>
                <w:highlight w:val="none"/>
                <w:lang w:val="en-US" w:eastAsia="zh-CN"/>
              </w:rPr>
              <w:t>20</w:t>
            </w:r>
          </w:p>
        </w:tc>
        <w:tc>
          <w:tcPr>
            <w:tcW w:w="287" w:type="pct"/>
            <w:vAlign w:val="center"/>
          </w:tcPr>
          <w:p w14:paraId="38EEA9AF">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val="en-US" w:eastAsia="zh-CN"/>
              </w:rPr>
            </w:pPr>
            <w:r>
              <w:rPr>
                <w:rFonts w:hint="eastAsia"/>
                <w:sz w:val="21"/>
                <w:szCs w:val="21"/>
                <w:highlight w:val="none"/>
                <w:lang w:val="en-US" w:eastAsia="zh-CN"/>
              </w:rPr>
              <w:t>1</w:t>
            </w:r>
          </w:p>
        </w:tc>
        <w:tc>
          <w:tcPr>
            <w:tcW w:w="356" w:type="pct"/>
            <w:vAlign w:val="center"/>
          </w:tcPr>
          <w:p w14:paraId="26DC287C">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eastAsia="zh-CN"/>
              </w:rPr>
            </w:pPr>
            <w:r>
              <w:rPr>
                <w:rFonts w:hint="eastAsia"/>
                <w:sz w:val="21"/>
                <w:szCs w:val="21"/>
                <w:highlight w:val="none"/>
                <w:lang w:val="en-US" w:eastAsia="zh-CN"/>
              </w:rPr>
              <w:t>2</w:t>
            </w:r>
          </w:p>
        </w:tc>
        <w:tc>
          <w:tcPr>
            <w:tcW w:w="1010" w:type="dxa"/>
            <w:vAlign w:val="center"/>
          </w:tcPr>
          <w:p w14:paraId="6C62154C">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70</w:t>
            </w:r>
          </w:p>
        </w:tc>
        <w:tc>
          <w:tcPr>
            <w:tcW w:w="251" w:type="pct"/>
            <w:vAlign w:val="center"/>
          </w:tcPr>
          <w:p w14:paraId="4A3DE263">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连续</w:t>
            </w:r>
          </w:p>
        </w:tc>
        <w:tc>
          <w:tcPr>
            <w:tcW w:w="356" w:type="pct"/>
            <w:vAlign w:val="center"/>
          </w:tcPr>
          <w:p w14:paraId="6188EEC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6</w:t>
            </w:r>
          </w:p>
        </w:tc>
        <w:tc>
          <w:tcPr>
            <w:tcW w:w="1013" w:type="dxa"/>
            <w:vAlign w:val="center"/>
          </w:tcPr>
          <w:p w14:paraId="776C0EA0">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44</w:t>
            </w:r>
          </w:p>
        </w:tc>
        <w:tc>
          <w:tcPr>
            <w:tcW w:w="360" w:type="pct"/>
            <w:vAlign w:val="center"/>
          </w:tcPr>
          <w:p w14:paraId="2D3B5BCE">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r>
              <w:rPr>
                <w:rFonts w:hint="default"/>
                <w:sz w:val="21"/>
                <w:szCs w:val="21"/>
                <w:highlight w:val="none"/>
              </w:rPr>
              <w:t>1m</w:t>
            </w:r>
          </w:p>
        </w:tc>
      </w:tr>
      <w:tr w14:paraId="6974D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 w:type="pct"/>
            <w:vAlign w:val="center"/>
          </w:tcPr>
          <w:p w14:paraId="2E6FAA1B">
            <w:pPr>
              <w:pStyle w:val="147"/>
              <w:keepNext w:val="0"/>
              <w:keepLines w:val="0"/>
              <w:pageBreakBefore w:val="0"/>
              <w:numPr>
                <w:ilvl w:val="0"/>
                <w:numId w:val="11"/>
              </w:numPr>
              <w:suppressLineNumbers w:val="0"/>
              <w:kinsoku/>
              <w:wordWrap w:val="0"/>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sz w:val="21"/>
                <w:szCs w:val="21"/>
                <w:highlight w:val="none"/>
              </w:rPr>
            </w:pPr>
          </w:p>
        </w:tc>
        <w:tc>
          <w:tcPr>
            <w:tcW w:w="500" w:type="pct"/>
            <w:vMerge w:val="continue"/>
            <w:vAlign w:val="center"/>
          </w:tcPr>
          <w:p w14:paraId="2E86D374">
            <w:pPr>
              <w:pStyle w:val="74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center"/>
              <w:rPr>
                <w:rFonts w:hint="eastAsia" w:eastAsiaTheme="minorEastAsia"/>
                <w:color w:val="auto"/>
                <w:sz w:val="21"/>
                <w:szCs w:val="21"/>
                <w:highlight w:val="none"/>
                <w:lang w:val="en-US" w:eastAsia="zh-CN"/>
              </w:rPr>
            </w:pPr>
          </w:p>
        </w:tc>
        <w:tc>
          <w:tcPr>
            <w:tcW w:w="551" w:type="pct"/>
            <w:shd w:val="clear" w:color="auto" w:fill="auto"/>
            <w:vAlign w:val="center"/>
          </w:tcPr>
          <w:p w14:paraId="0FD8B980">
            <w:pPr>
              <w:pStyle w:val="8"/>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kern w:val="0"/>
                <w:sz w:val="21"/>
                <w:szCs w:val="24"/>
                <w:highlight w:val="none"/>
                <w:lang w:val="en-US" w:eastAsia="zh-CN" w:bidi="ar-SA"/>
              </w:rPr>
            </w:pPr>
            <w:r>
              <w:rPr>
                <w:rFonts w:hint="default"/>
                <w:highlight w:val="none"/>
                <w:lang w:val="en-US"/>
              </w:rPr>
              <w:t>金属屑粉碎机</w:t>
            </w:r>
          </w:p>
        </w:tc>
        <w:tc>
          <w:tcPr>
            <w:tcW w:w="150" w:type="pct"/>
            <w:vAlign w:val="center"/>
          </w:tcPr>
          <w:p w14:paraId="251D29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w:t>
            </w:r>
          </w:p>
        </w:tc>
        <w:tc>
          <w:tcPr>
            <w:tcW w:w="389" w:type="pct"/>
            <w:vAlign w:val="center"/>
          </w:tcPr>
          <w:p w14:paraId="307840F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80/1</w:t>
            </w:r>
          </w:p>
        </w:tc>
        <w:tc>
          <w:tcPr>
            <w:tcW w:w="271" w:type="pct"/>
            <w:vMerge w:val="continue"/>
            <w:vAlign w:val="center"/>
          </w:tcPr>
          <w:p w14:paraId="6DAF5A8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356" w:type="pct"/>
            <w:vAlign w:val="center"/>
          </w:tcPr>
          <w:p w14:paraId="033E4523">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45</w:t>
            </w:r>
          </w:p>
        </w:tc>
        <w:tc>
          <w:tcPr>
            <w:tcW w:w="304" w:type="pct"/>
            <w:vAlign w:val="center"/>
          </w:tcPr>
          <w:p w14:paraId="4D0BA81A">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18</w:t>
            </w:r>
          </w:p>
        </w:tc>
        <w:tc>
          <w:tcPr>
            <w:tcW w:w="287" w:type="pct"/>
            <w:vAlign w:val="center"/>
          </w:tcPr>
          <w:p w14:paraId="5F643192">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c>
          <w:tcPr>
            <w:tcW w:w="356" w:type="pct"/>
            <w:vAlign w:val="center"/>
          </w:tcPr>
          <w:p w14:paraId="6C56353A">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val="en-US" w:eastAsia="zh-CN"/>
              </w:rPr>
            </w:pPr>
            <w:r>
              <w:rPr>
                <w:rFonts w:hint="eastAsia"/>
                <w:sz w:val="21"/>
                <w:szCs w:val="21"/>
                <w:highlight w:val="none"/>
                <w:lang w:val="en-US" w:eastAsia="zh-CN"/>
              </w:rPr>
              <w:t>3</w:t>
            </w:r>
          </w:p>
        </w:tc>
        <w:tc>
          <w:tcPr>
            <w:tcW w:w="1010" w:type="dxa"/>
            <w:vAlign w:val="center"/>
          </w:tcPr>
          <w:p w14:paraId="0FB75082">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58</w:t>
            </w:r>
          </w:p>
        </w:tc>
        <w:tc>
          <w:tcPr>
            <w:tcW w:w="251" w:type="pct"/>
            <w:vAlign w:val="center"/>
          </w:tcPr>
          <w:p w14:paraId="63A0BC67">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连续</w:t>
            </w:r>
          </w:p>
        </w:tc>
        <w:tc>
          <w:tcPr>
            <w:tcW w:w="356" w:type="pct"/>
            <w:vAlign w:val="center"/>
          </w:tcPr>
          <w:p w14:paraId="2339B5CE">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6</w:t>
            </w:r>
          </w:p>
        </w:tc>
        <w:tc>
          <w:tcPr>
            <w:tcW w:w="1013" w:type="dxa"/>
            <w:vAlign w:val="center"/>
          </w:tcPr>
          <w:p w14:paraId="55C4BA6B">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32</w:t>
            </w:r>
          </w:p>
        </w:tc>
        <w:tc>
          <w:tcPr>
            <w:tcW w:w="360" w:type="pct"/>
            <w:vAlign w:val="center"/>
          </w:tcPr>
          <w:p w14:paraId="7A9C2CF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1m</w:t>
            </w:r>
          </w:p>
        </w:tc>
      </w:tr>
      <w:tr w14:paraId="372A5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 w:type="pct"/>
            <w:vAlign w:val="center"/>
          </w:tcPr>
          <w:p w14:paraId="6D97BFE5">
            <w:pPr>
              <w:pStyle w:val="147"/>
              <w:keepNext w:val="0"/>
              <w:keepLines w:val="0"/>
              <w:pageBreakBefore w:val="0"/>
              <w:numPr>
                <w:ilvl w:val="0"/>
                <w:numId w:val="11"/>
              </w:numPr>
              <w:suppressLineNumbers w:val="0"/>
              <w:kinsoku/>
              <w:wordWrap w:val="0"/>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sz w:val="21"/>
                <w:szCs w:val="21"/>
                <w:highlight w:val="none"/>
              </w:rPr>
            </w:pPr>
          </w:p>
        </w:tc>
        <w:tc>
          <w:tcPr>
            <w:tcW w:w="500" w:type="pct"/>
            <w:vMerge w:val="continue"/>
            <w:vAlign w:val="center"/>
          </w:tcPr>
          <w:p w14:paraId="7FF9469D">
            <w:pPr>
              <w:pStyle w:val="74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center"/>
              <w:rPr>
                <w:rFonts w:hint="eastAsia" w:eastAsiaTheme="minorEastAsia"/>
                <w:color w:val="auto"/>
                <w:sz w:val="21"/>
                <w:szCs w:val="21"/>
                <w:highlight w:val="none"/>
                <w:lang w:val="en-US" w:eastAsia="zh-CN"/>
              </w:rPr>
            </w:pPr>
          </w:p>
        </w:tc>
        <w:tc>
          <w:tcPr>
            <w:tcW w:w="551" w:type="pct"/>
            <w:shd w:val="clear" w:color="auto" w:fill="auto"/>
            <w:vAlign w:val="center"/>
          </w:tcPr>
          <w:p w14:paraId="0D710C0C">
            <w:pPr>
              <w:pStyle w:val="8"/>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default"/>
                <w:highlight w:val="none"/>
                <w:lang w:val="en-US"/>
              </w:rPr>
              <w:t>金属屑输送机</w:t>
            </w:r>
          </w:p>
        </w:tc>
        <w:tc>
          <w:tcPr>
            <w:tcW w:w="150" w:type="pct"/>
            <w:vAlign w:val="center"/>
          </w:tcPr>
          <w:p w14:paraId="4A6A6CE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w:t>
            </w:r>
          </w:p>
        </w:tc>
        <w:tc>
          <w:tcPr>
            <w:tcW w:w="389" w:type="pct"/>
            <w:vAlign w:val="center"/>
          </w:tcPr>
          <w:p w14:paraId="6A21E9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70/1</w:t>
            </w:r>
          </w:p>
        </w:tc>
        <w:tc>
          <w:tcPr>
            <w:tcW w:w="271" w:type="pct"/>
            <w:vMerge w:val="continue"/>
            <w:vAlign w:val="center"/>
          </w:tcPr>
          <w:p w14:paraId="1847CF45">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356" w:type="pct"/>
            <w:vAlign w:val="center"/>
          </w:tcPr>
          <w:p w14:paraId="33F4C067">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39</w:t>
            </w:r>
          </w:p>
        </w:tc>
        <w:tc>
          <w:tcPr>
            <w:tcW w:w="304" w:type="pct"/>
            <w:vAlign w:val="center"/>
          </w:tcPr>
          <w:p w14:paraId="18F049AD">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18</w:t>
            </w:r>
          </w:p>
        </w:tc>
        <w:tc>
          <w:tcPr>
            <w:tcW w:w="287" w:type="pct"/>
            <w:vAlign w:val="center"/>
          </w:tcPr>
          <w:p w14:paraId="499E086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c>
          <w:tcPr>
            <w:tcW w:w="356" w:type="pct"/>
            <w:vAlign w:val="center"/>
          </w:tcPr>
          <w:p w14:paraId="6827C65E">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val="en-US" w:eastAsia="zh-CN"/>
              </w:rPr>
            </w:pPr>
            <w:r>
              <w:rPr>
                <w:rFonts w:hint="eastAsia"/>
                <w:sz w:val="21"/>
                <w:szCs w:val="21"/>
                <w:highlight w:val="none"/>
                <w:lang w:val="en-US" w:eastAsia="zh-CN"/>
              </w:rPr>
              <w:t>3</w:t>
            </w:r>
          </w:p>
        </w:tc>
        <w:tc>
          <w:tcPr>
            <w:tcW w:w="1010" w:type="dxa"/>
            <w:vAlign w:val="center"/>
          </w:tcPr>
          <w:p w14:paraId="5CAB336C">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46</w:t>
            </w:r>
          </w:p>
        </w:tc>
        <w:tc>
          <w:tcPr>
            <w:tcW w:w="251" w:type="pct"/>
            <w:vAlign w:val="center"/>
          </w:tcPr>
          <w:p w14:paraId="03CF30CF">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连续</w:t>
            </w:r>
          </w:p>
        </w:tc>
        <w:tc>
          <w:tcPr>
            <w:tcW w:w="356" w:type="pct"/>
            <w:vAlign w:val="center"/>
          </w:tcPr>
          <w:p w14:paraId="7DD8628D">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6</w:t>
            </w:r>
          </w:p>
        </w:tc>
        <w:tc>
          <w:tcPr>
            <w:tcW w:w="1013" w:type="dxa"/>
            <w:vAlign w:val="center"/>
          </w:tcPr>
          <w:p w14:paraId="177042F6">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w:t>
            </w:r>
          </w:p>
        </w:tc>
        <w:tc>
          <w:tcPr>
            <w:tcW w:w="360" w:type="pct"/>
            <w:vAlign w:val="center"/>
          </w:tcPr>
          <w:p w14:paraId="404B565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1m</w:t>
            </w:r>
          </w:p>
        </w:tc>
      </w:tr>
      <w:tr w14:paraId="25751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D73A93">
            <w:pPr>
              <w:pStyle w:val="147"/>
              <w:keepNext w:val="0"/>
              <w:keepLines w:val="0"/>
              <w:pageBreakBefore w:val="0"/>
              <w:numPr>
                <w:ilvl w:val="0"/>
                <w:numId w:val="11"/>
              </w:numPr>
              <w:suppressLineNumbers w:val="0"/>
              <w:kinsoku/>
              <w:wordWrap w:val="0"/>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sz w:val="21"/>
                <w:szCs w:val="21"/>
                <w:highlight w:val="none"/>
              </w:rPr>
            </w:pPr>
          </w:p>
        </w:tc>
        <w:tc>
          <w:tcPr>
            <w:tcW w:w="500" w:type="pct"/>
            <w:vMerge w:val="continue"/>
            <w:vAlign w:val="center"/>
          </w:tcPr>
          <w:p w14:paraId="7FB37393">
            <w:pPr>
              <w:pStyle w:val="74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center"/>
              <w:rPr>
                <w:rFonts w:hint="eastAsia" w:eastAsiaTheme="minorEastAsia"/>
                <w:color w:val="auto"/>
                <w:sz w:val="21"/>
                <w:szCs w:val="21"/>
                <w:highlight w:val="none"/>
                <w:lang w:val="en-US" w:eastAsia="zh-CN"/>
              </w:rPr>
            </w:pPr>
          </w:p>
        </w:tc>
        <w:tc>
          <w:tcPr>
            <w:tcW w:w="551" w:type="pct"/>
            <w:shd w:val="clear" w:color="auto" w:fill="auto"/>
            <w:vAlign w:val="center"/>
          </w:tcPr>
          <w:p w14:paraId="513C88A3">
            <w:pPr>
              <w:pStyle w:val="8"/>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金属屑脱油机</w:t>
            </w:r>
          </w:p>
        </w:tc>
        <w:tc>
          <w:tcPr>
            <w:tcW w:w="150" w:type="pct"/>
            <w:vAlign w:val="center"/>
          </w:tcPr>
          <w:p w14:paraId="2EC3947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w:t>
            </w:r>
          </w:p>
        </w:tc>
        <w:tc>
          <w:tcPr>
            <w:tcW w:w="0" w:type="auto"/>
            <w:vAlign w:val="center"/>
          </w:tcPr>
          <w:p w14:paraId="1E29E1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78/1</w:t>
            </w:r>
          </w:p>
        </w:tc>
        <w:tc>
          <w:tcPr>
            <w:tcW w:w="271" w:type="pct"/>
            <w:vMerge w:val="continue"/>
            <w:vAlign w:val="center"/>
          </w:tcPr>
          <w:p w14:paraId="0E0CD73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0" w:type="auto"/>
            <w:vAlign w:val="center"/>
          </w:tcPr>
          <w:p w14:paraId="4D34ED56">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32</w:t>
            </w:r>
          </w:p>
        </w:tc>
        <w:tc>
          <w:tcPr>
            <w:tcW w:w="0" w:type="auto"/>
            <w:vAlign w:val="center"/>
          </w:tcPr>
          <w:p w14:paraId="20D4515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22</w:t>
            </w:r>
          </w:p>
        </w:tc>
        <w:tc>
          <w:tcPr>
            <w:tcW w:w="0" w:type="auto"/>
            <w:vAlign w:val="center"/>
          </w:tcPr>
          <w:p w14:paraId="6DADF266">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c>
          <w:tcPr>
            <w:tcW w:w="0" w:type="auto"/>
            <w:vAlign w:val="center"/>
          </w:tcPr>
          <w:p w14:paraId="1D3381AB">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val="en-US" w:eastAsia="zh-CN"/>
              </w:rPr>
            </w:pPr>
            <w:r>
              <w:rPr>
                <w:rFonts w:hint="eastAsia"/>
                <w:sz w:val="21"/>
                <w:szCs w:val="21"/>
                <w:highlight w:val="none"/>
                <w:lang w:val="en-US" w:eastAsia="zh-CN"/>
              </w:rPr>
              <w:t>3</w:t>
            </w:r>
          </w:p>
        </w:tc>
        <w:tc>
          <w:tcPr>
            <w:tcW w:w="1010" w:type="dxa"/>
            <w:vAlign w:val="center"/>
          </w:tcPr>
          <w:p w14:paraId="2DAB941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44</w:t>
            </w:r>
          </w:p>
        </w:tc>
        <w:tc>
          <w:tcPr>
            <w:tcW w:w="0" w:type="auto"/>
            <w:vAlign w:val="center"/>
          </w:tcPr>
          <w:p w14:paraId="2655AF87">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连续</w:t>
            </w:r>
          </w:p>
        </w:tc>
        <w:tc>
          <w:tcPr>
            <w:tcW w:w="0" w:type="auto"/>
            <w:vAlign w:val="center"/>
          </w:tcPr>
          <w:p w14:paraId="534E1895">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6</w:t>
            </w:r>
          </w:p>
        </w:tc>
        <w:tc>
          <w:tcPr>
            <w:tcW w:w="1013" w:type="dxa"/>
            <w:vAlign w:val="center"/>
          </w:tcPr>
          <w:p w14:paraId="1C7A939B">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18</w:t>
            </w:r>
          </w:p>
        </w:tc>
        <w:tc>
          <w:tcPr>
            <w:tcW w:w="0" w:type="auto"/>
            <w:vAlign w:val="center"/>
          </w:tcPr>
          <w:p w14:paraId="70B518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1m</w:t>
            </w:r>
          </w:p>
        </w:tc>
      </w:tr>
      <w:tr w14:paraId="7226E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DE6226">
            <w:pPr>
              <w:pStyle w:val="147"/>
              <w:keepNext w:val="0"/>
              <w:keepLines w:val="0"/>
              <w:pageBreakBefore w:val="0"/>
              <w:numPr>
                <w:ilvl w:val="0"/>
                <w:numId w:val="11"/>
              </w:numPr>
              <w:suppressLineNumbers w:val="0"/>
              <w:kinsoku/>
              <w:wordWrap w:val="0"/>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sz w:val="21"/>
                <w:szCs w:val="21"/>
                <w:highlight w:val="none"/>
              </w:rPr>
            </w:pPr>
          </w:p>
        </w:tc>
        <w:tc>
          <w:tcPr>
            <w:tcW w:w="500" w:type="pct"/>
            <w:vMerge w:val="continue"/>
            <w:vAlign w:val="center"/>
          </w:tcPr>
          <w:p w14:paraId="4887AA8D">
            <w:pPr>
              <w:pStyle w:val="74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center"/>
              <w:rPr>
                <w:rFonts w:hint="eastAsia" w:eastAsiaTheme="minorEastAsia"/>
                <w:color w:val="auto"/>
                <w:sz w:val="21"/>
                <w:szCs w:val="21"/>
                <w:highlight w:val="none"/>
                <w:lang w:val="en-US" w:eastAsia="zh-CN"/>
              </w:rPr>
            </w:pPr>
          </w:p>
        </w:tc>
        <w:tc>
          <w:tcPr>
            <w:tcW w:w="551" w:type="pct"/>
            <w:shd w:val="clear" w:color="auto" w:fill="auto"/>
            <w:vAlign w:val="center"/>
          </w:tcPr>
          <w:p w14:paraId="3A0CBD8B">
            <w:pPr>
              <w:pStyle w:val="8"/>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金属屑排屑机</w:t>
            </w:r>
          </w:p>
        </w:tc>
        <w:tc>
          <w:tcPr>
            <w:tcW w:w="150" w:type="pct"/>
            <w:vAlign w:val="center"/>
          </w:tcPr>
          <w:p w14:paraId="103EA8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w:t>
            </w:r>
          </w:p>
        </w:tc>
        <w:tc>
          <w:tcPr>
            <w:tcW w:w="0" w:type="auto"/>
            <w:vAlign w:val="center"/>
          </w:tcPr>
          <w:p w14:paraId="47C728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70/1</w:t>
            </w:r>
          </w:p>
        </w:tc>
        <w:tc>
          <w:tcPr>
            <w:tcW w:w="271" w:type="pct"/>
            <w:vMerge w:val="continue"/>
            <w:vAlign w:val="center"/>
          </w:tcPr>
          <w:p w14:paraId="04386B11">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0" w:type="auto"/>
            <w:vAlign w:val="center"/>
          </w:tcPr>
          <w:p w14:paraId="6E770C00">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26</w:t>
            </w:r>
          </w:p>
        </w:tc>
        <w:tc>
          <w:tcPr>
            <w:tcW w:w="0" w:type="auto"/>
            <w:vAlign w:val="center"/>
          </w:tcPr>
          <w:p w14:paraId="445A9E0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23</w:t>
            </w:r>
          </w:p>
        </w:tc>
        <w:tc>
          <w:tcPr>
            <w:tcW w:w="0" w:type="auto"/>
            <w:vAlign w:val="center"/>
          </w:tcPr>
          <w:p w14:paraId="5BC56BFB">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c>
          <w:tcPr>
            <w:tcW w:w="0" w:type="auto"/>
            <w:vAlign w:val="center"/>
          </w:tcPr>
          <w:p w14:paraId="34F87153">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val="en-US" w:eastAsia="zh-CN"/>
              </w:rPr>
            </w:pPr>
            <w:r>
              <w:rPr>
                <w:rFonts w:hint="eastAsia"/>
                <w:sz w:val="21"/>
                <w:szCs w:val="21"/>
                <w:highlight w:val="none"/>
                <w:lang w:val="en-US" w:eastAsia="zh-CN"/>
              </w:rPr>
              <w:t>6</w:t>
            </w:r>
          </w:p>
        </w:tc>
        <w:tc>
          <w:tcPr>
            <w:tcW w:w="1010" w:type="dxa"/>
            <w:vAlign w:val="center"/>
          </w:tcPr>
          <w:p w14:paraId="434A0697">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42</w:t>
            </w:r>
          </w:p>
        </w:tc>
        <w:tc>
          <w:tcPr>
            <w:tcW w:w="0" w:type="auto"/>
            <w:vAlign w:val="center"/>
          </w:tcPr>
          <w:p w14:paraId="1BE37102">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连续</w:t>
            </w:r>
          </w:p>
        </w:tc>
        <w:tc>
          <w:tcPr>
            <w:tcW w:w="0" w:type="auto"/>
            <w:vAlign w:val="center"/>
          </w:tcPr>
          <w:p w14:paraId="3E9776E8">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6</w:t>
            </w:r>
          </w:p>
        </w:tc>
        <w:tc>
          <w:tcPr>
            <w:tcW w:w="1013" w:type="dxa"/>
            <w:vAlign w:val="center"/>
          </w:tcPr>
          <w:p w14:paraId="3E5FFC9F">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16</w:t>
            </w:r>
          </w:p>
        </w:tc>
        <w:tc>
          <w:tcPr>
            <w:tcW w:w="0" w:type="auto"/>
            <w:vAlign w:val="center"/>
          </w:tcPr>
          <w:p w14:paraId="24B647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1m</w:t>
            </w:r>
          </w:p>
        </w:tc>
      </w:tr>
      <w:tr w14:paraId="74A0A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3AAECE">
            <w:pPr>
              <w:pStyle w:val="147"/>
              <w:keepNext w:val="0"/>
              <w:keepLines w:val="0"/>
              <w:pageBreakBefore w:val="0"/>
              <w:numPr>
                <w:ilvl w:val="0"/>
                <w:numId w:val="11"/>
              </w:numPr>
              <w:suppressLineNumbers w:val="0"/>
              <w:kinsoku/>
              <w:wordWrap w:val="0"/>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sz w:val="21"/>
                <w:szCs w:val="21"/>
                <w:highlight w:val="none"/>
              </w:rPr>
            </w:pPr>
          </w:p>
        </w:tc>
        <w:tc>
          <w:tcPr>
            <w:tcW w:w="500" w:type="pct"/>
            <w:vMerge w:val="continue"/>
            <w:vAlign w:val="center"/>
          </w:tcPr>
          <w:p w14:paraId="7938CFCC">
            <w:pPr>
              <w:pStyle w:val="74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center"/>
              <w:rPr>
                <w:rFonts w:hint="eastAsia" w:eastAsiaTheme="minorEastAsia"/>
                <w:color w:val="auto"/>
                <w:sz w:val="21"/>
                <w:szCs w:val="21"/>
                <w:highlight w:val="none"/>
                <w:lang w:val="en-US" w:eastAsia="zh-CN"/>
              </w:rPr>
            </w:pPr>
          </w:p>
        </w:tc>
        <w:tc>
          <w:tcPr>
            <w:tcW w:w="551" w:type="pct"/>
            <w:shd w:val="clear" w:color="auto" w:fill="auto"/>
            <w:vAlign w:val="center"/>
          </w:tcPr>
          <w:p w14:paraId="04A8A5A9">
            <w:pPr>
              <w:pStyle w:val="8"/>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废液回收装置</w:t>
            </w:r>
          </w:p>
        </w:tc>
        <w:tc>
          <w:tcPr>
            <w:tcW w:w="150" w:type="pct"/>
            <w:vAlign w:val="center"/>
          </w:tcPr>
          <w:p w14:paraId="7561D7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w:t>
            </w:r>
          </w:p>
        </w:tc>
        <w:tc>
          <w:tcPr>
            <w:tcW w:w="0" w:type="auto"/>
            <w:vAlign w:val="center"/>
          </w:tcPr>
          <w:p w14:paraId="6F0921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70/1</w:t>
            </w:r>
          </w:p>
        </w:tc>
        <w:tc>
          <w:tcPr>
            <w:tcW w:w="271" w:type="pct"/>
            <w:vMerge w:val="continue"/>
            <w:vAlign w:val="center"/>
          </w:tcPr>
          <w:p w14:paraId="78210C3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0" w:type="auto"/>
            <w:vAlign w:val="center"/>
          </w:tcPr>
          <w:p w14:paraId="4757FE5C">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26</w:t>
            </w:r>
          </w:p>
        </w:tc>
        <w:tc>
          <w:tcPr>
            <w:tcW w:w="0" w:type="auto"/>
            <w:vAlign w:val="center"/>
          </w:tcPr>
          <w:p w14:paraId="08F7AD7F">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20</w:t>
            </w:r>
          </w:p>
        </w:tc>
        <w:tc>
          <w:tcPr>
            <w:tcW w:w="0" w:type="auto"/>
            <w:vAlign w:val="center"/>
          </w:tcPr>
          <w:p w14:paraId="44B3C02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c>
          <w:tcPr>
            <w:tcW w:w="0" w:type="auto"/>
            <w:vAlign w:val="center"/>
          </w:tcPr>
          <w:p w14:paraId="64206321">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val="en-US" w:eastAsia="zh-CN"/>
              </w:rPr>
            </w:pPr>
            <w:r>
              <w:rPr>
                <w:rFonts w:hint="eastAsia"/>
                <w:sz w:val="21"/>
                <w:szCs w:val="21"/>
                <w:highlight w:val="none"/>
                <w:lang w:val="en-US" w:eastAsia="zh-CN"/>
              </w:rPr>
              <w:t>4</w:t>
            </w:r>
          </w:p>
        </w:tc>
        <w:tc>
          <w:tcPr>
            <w:tcW w:w="1010" w:type="dxa"/>
            <w:vAlign w:val="center"/>
          </w:tcPr>
          <w:p w14:paraId="27637E02">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40</w:t>
            </w:r>
          </w:p>
        </w:tc>
        <w:tc>
          <w:tcPr>
            <w:tcW w:w="0" w:type="auto"/>
            <w:vAlign w:val="center"/>
          </w:tcPr>
          <w:p w14:paraId="0BB165A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连续</w:t>
            </w:r>
          </w:p>
        </w:tc>
        <w:tc>
          <w:tcPr>
            <w:tcW w:w="0" w:type="auto"/>
            <w:vAlign w:val="center"/>
          </w:tcPr>
          <w:p w14:paraId="1ABB2D6E">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6</w:t>
            </w:r>
          </w:p>
        </w:tc>
        <w:tc>
          <w:tcPr>
            <w:tcW w:w="1013" w:type="dxa"/>
            <w:vAlign w:val="center"/>
          </w:tcPr>
          <w:p w14:paraId="14C6C86D">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w:t>
            </w:r>
          </w:p>
        </w:tc>
        <w:tc>
          <w:tcPr>
            <w:tcW w:w="0" w:type="auto"/>
            <w:vAlign w:val="center"/>
          </w:tcPr>
          <w:p w14:paraId="599840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1m</w:t>
            </w:r>
          </w:p>
        </w:tc>
      </w:tr>
      <w:tr w14:paraId="0D675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E3C979">
            <w:pPr>
              <w:pStyle w:val="147"/>
              <w:keepNext w:val="0"/>
              <w:keepLines w:val="0"/>
              <w:pageBreakBefore w:val="0"/>
              <w:numPr>
                <w:ilvl w:val="0"/>
                <w:numId w:val="11"/>
              </w:numPr>
              <w:suppressLineNumbers w:val="0"/>
              <w:kinsoku/>
              <w:wordWrap w:val="0"/>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sz w:val="21"/>
                <w:szCs w:val="21"/>
                <w:highlight w:val="none"/>
              </w:rPr>
            </w:pPr>
          </w:p>
        </w:tc>
        <w:tc>
          <w:tcPr>
            <w:tcW w:w="500" w:type="pct"/>
            <w:vMerge w:val="continue"/>
            <w:vAlign w:val="center"/>
          </w:tcPr>
          <w:p w14:paraId="349078E7">
            <w:pPr>
              <w:pStyle w:val="74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center"/>
              <w:rPr>
                <w:rFonts w:hint="eastAsia" w:eastAsiaTheme="minorEastAsia"/>
                <w:color w:val="auto"/>
                <w:sz w:val="21"/>
                <w:szCs w:val="21"/>
                <w:highlight w:val="none"/>
                <w:lang w:val="en-US" w:eastAsia="zh-CN"/>
              </w:rPr>
            </w:pPr>
          </w:p>
        </w:tc>
        <w:tc>
          <w:tcPr>
            <w:tcW w:w="551" w:type="pct"/>
            <w:shd w:val="clear" w:color="auto" w:fill="auto"/>
            <w:vAlign w:val="center"/>
          </w:tcPr>
          <w:p w14:paraId="5869BF90">
            <w:pPr>
              <w:pStyle w:val="8"/>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风机</w:t>
            </w:r>
          </w:p>
        </w:tc>
        <w:tc>
          <w:tcPr>
            <w:tcW w:w="150" w:type="pct"/>
            <w:vAlign w:val="center"/>
          </w:tcPr>
          <w:p w14:paraId="5CDB1E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w:t>
            </w:r>
          </w:p>
        </w:tc>
        <w:tc>
          <w:tcPr>
            <w:tcW w:w="0" w:type="auto"/>
            <w:vAlign w:val="center"/>
          </w:tcPr>
          <w:p w14:paraId="1092515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80/1</w:t>
            </w:r>
          </w:p>
        </w:tc>
        <w:tc>
          <w:tcPr>
            <w:tcW w:w="271" w:type="pct"/>
            <w:vMerge w:val="continue"/>
            <w:vAlign w:val="center"/>
          </w:tcPr>
          <w:p w14:paraId="20A20CD6">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0" w:type="auto"/>
            <w:vAlign w:val="center"/>
          </w:tcPr>
          <w:p w14:paraId="551E6C7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27</w:t>
            </w:r>
          </w:p>
        </w:tc>
        <w:tc>
          <w:tcPr>
            <w:tcW w:w="0" w:type="auto"/>
            <w:vAlign w:val="center"/>
          </w:tcPr>
          <w:p w14:paraId="39088B36">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22</w:t>
            </w:r>
          </w:p>
        </w:tc>
        <w:tc>
          <w:tcPr>
            <w:tcW w:w="0" w:type="auto"/>
            <w:vAlign w:val="center"/>
          </w:tcPr>
          <w:p w14:paraId="7303ADFA">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c>
          <w:tcPr>
            <w:tcW w:w="0" w:type="auto"/>
            <w:vAlign w:val="center"/>
          </w:tcPr>
          <w:p w14:paraId="686A0BD2">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val="en-US" w:eastAsia="zh-CN"/>
              </w:rPr>
            </w:pPr>
            <w:r>
              <w:rPr>
                <w:rFonts w:hint="eastAsia"/>
                <w:sz w:val="21"/>
                <w:szCs w:val="21"/>
                <w:highlight w:val="none"/>
                <w:lang w:val="en-US" w:eastAsia="zh-CN"/>
              </w:rPr>
              <w:t>1</w:t>
            </w:r>
          </w:p>
        </w:tc>
        <w:tc>
          <w:tcPr>
            <w:tcW w:w="1010" w:type="dxa"/>
            <w:vAlign w:val="center"/>
          </w:tcPr>
          <w:p w14:paraId="08A2724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48</w:t>
            </w:r>
          </w:p>
        </w:tc>
        <w:tc>
          <w:tcPr>
            <w:tcW w:w="0" w:type="auto"/>
            <w:vAlign w:val="center"/>
          </w:tcPr>
          <w:p w14:paraId="75AC2B15">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连续</w:t>
            </w:r>
          </w:p>
        </w:tc>
        <w:tc>
          <w:tcPr>
            <w:tcW w:w="0" w:type="auto"/>
            <w:vAlign w:val="center"/>
          </w:tcPr>
          <w:p w14:paraId="290D4059">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6</w:t>
            </w:r>
          </w:p>
        </w:tc>
        <w:tc>
          <w:tcPr>
            <w:tcW w:w="1013" w:type="dxa"/>
            <w:vAlign w:val="center"/>
          </w:tcPr>
          <w:p w14:paraId="22B20413">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22</w:t>
            </w:r>
          </w:p>
        </w:tc>
        <w:tc>
          <w:tcPr>
            <w:tcW w:w="0" w:type="auto"/>
            <w:vAlign w:val="center"/>
          </w:tcPr>
          <w:p w14:paraId="3A83A3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1m</w:t>
            </w:r>
          </w:p>
        </w:tc>
      </w:tr>
      <w:tr w14:paraId="7867B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038232">
            <w:pPr>
              <w:pStyle w:val="147"/>
              <w:keepNext w:val="0"/>
              <w:keepLines w:val="0"/>
              <w:pageBreakBefore w:val="0"/>
              <w:numPr>
                <w:ilvl w:val="0"/>
                <w:numId w:val="11"/>
              </w:numPr>
              <w:suppressLineNumbers w:val="0"/>
              <w:kinsoku/>
              <w:wordWrap w:val="0"/>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sz w:val="21"/>
                <w:szCs w:val="21"/>
                <w:highlight w:val="none"/>
              </w:rPr>
            </w:pPr>
          </w:p>
        </w:tc>
        <w:tc>
          <w:tcPr>
            <w:tcW w:w="500" w:type="pct"/>
            <w:vMerge w:val="continue"/>
            <w:vAlign w:val="center"/>
          </w:tcPr>
          <w:p w14:paraId="2BF3317D">
            <w:pPr>
              <w:pStyle w:val="74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center"/>
              <w:rPr>
                <w:rFonts w:hint="eastAsia" w:eastAsiaTheme="minorEastAsia"/>
                <w:color w:val="auto"/>
                <w:sz w:val="21"/>
                <w:szCs w:val="21"/>
                <w:highlight w:val="none"/>
                <w:lang w:val="en-US" w:eastAsia="zh-CN"/>
              </w:rPr>
            </w:pPr>
          </w:p>
        </w:tc>
        <w:tc>
          <w:tcPr>
            <w:tcW w:w="551" w:type="pct"/>
            <w:shd w:val="clear" w:color="auto" w:fill="auto"/>
            <w:vAlign w:val="center"/>
          </w:tcPr>
          <w:p w14:paraId="43877B1D">
            <w:pPr>
              <w:pStyle w:val="8"/>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油雾净化器</w:t>
            </w:r>
          </w:p>
        </w:tc>
        <w:tc>
          <w:tcPr>
            <w:tcW w:w="150" w:type="pct"/>
            <w:vAlign w:val="center"/>
          </w:tcPr>
          <w:p w14:paraId="252A85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w:t>
            </w:r>
          </w:p>
        </w:tc>
        <w:tc>
          <w:tcPr>
            <w:tcW w:w="0" w:type="auto"/>
            <w:vAlign w:val="center"/>
          </w:tcPr>
          <w:p w14:paraId="3A3C75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70/1</w:t>
            </w:r>
          </w:p>
        </w:tc>
        <w:tc>
          <w:tcPr>
            <w:tcW w:w="271" w:type="pct"/>
            <w:vMerge w:val="continue"/>
            <w:vAlign w:val="center"/>
          </w:tcPr>
          <w:p w14:paraId="03EB8086">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0" w:type="auto"/>
            <w:vAlign w:val="center"/>
          </w:tcPr>
          <w:p w14:paraId="2653FCF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27</w:t>
            </w:r>
          </w:p>
        </w:tc>
        <w:tc>
          <w:tcPr>
            <w:tcW w:w="0" w:type="auto"/>
            <w:vAlign w:val="center"/>
          </w:tcPr>
          <w:p w14:paraId="7BC691C6">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19</w:t>
            </w:r>
          </w:p>
        </w:tc>
        <w:tc>
          <w:tcPr>
            <w:tcW w:w="0" w:type="auto"/>
            <w:vAlign w:val="center"/>
          </w:tcPr>
          <w:p w14:paraId="72B831D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3</w:t>
            </w:r>
          </w:p>
        </w:tc>
        <w:tc>
          <w:tcPr>
            <w:tcW w:w="0" w:type="auto"/>
            <w:vAlign w:val="center"/>
          </w:tcPr>
          <w:p w14:paraId="5E20C536">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val="en-US" w:eastAsia="zh-CN"/>
              </w:rPr>
            </w:pPr>
            <w:r>
              <w:rPr>
                <w:rFonts w:hint="eastAsia"/>
                <w:sz w:val="21"/>
                <w:szCs w:val="21"/>
                <w:highlight w:val="none"/>
                <w:lang w:val="en-US" w:eastAsia="zh-CN"/>
              </w:rPr>
              <w:t>1</w:t>
            </w:r>
          </w:p>
        </w:tc>
        <w:tc>
          <w:tcPr>
            <w:tcW w:w="1010" w:type="dxa"/>
            <w:vAlign w:val="center"/>
          </w:tcPr>
          <w:p w14:paraId="0291F3DD">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40</w:t>
            </w:r>
          </w:p>
        </w:tc>
        <w:tc>
          <w:tcPr>
            <w:tcW w:w="0" w:type="auto"/>
            <w:vAlign w:val="center"/>
          </w:tcPr>
          <w:p w14:paraId="3F28FEBB">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连续</w:t>
            </w:r>
          </w:p>
        </w:tc>
        <w:tc>
          <w:tcPr>
            <w:tcW w:w="0" w:type="auto"/>
            <w:vAlign w:val="center"/>
          </w:tcPr>
          <w:p w14:paraId="254E01A4">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6</w:t>
            </w:r>
          </w:p>
        </w:tc>
        <w:tc>
          <w:tcPr>
            <w:tcW w:w="1013" w:type="dxa"/>
            <w:vAlign w:val="center"/>
          </w:tcPr>
          <w:p w14:paraId="37811B67">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w:t>
            </w:r>
          </w:p>
        </w:tc>
        <w:tc>
          <w:tcPr>
            <w:tcW w:w="0" w:type="auto"/>
            <w:vAlign w:val="center"/>
          </w:tcPr>
          <w:p w14:paraId="6C2EA6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1m</w:t>
            </w:r>
          </w:p>
        </w:tc>
      </w:tr>
      <w:tr w14:paraId="424ED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D5B7FE">
            <w:pPr>
              <w:pStyle w:val="147"/>
              <w:keepNext w:val="0"/>
              <w:keepLines w:val="0"/>
              <w:pageBreakBefore w:val="0"/>
              <w:numPr>
                <w:ilvl w:val="0"/>
                <w:numId w:val="11"/>
              </w:numPr>
              <w:suppressLineNumbers w:val="0"/>
              <w:kinsoku/>
              <w:wordWrap w:val="0"/>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sz w:val="21"/>
                <w:szCs w:val="21"/>
                <w:highlight w:val="none"/>
              </w:rPr>
            </w:pPr>
          </w:p>
        </w:tc>
        <w:tc>
          <w:tcPr>
            <w:tcW w:w="500" w:type="pct"/>
            <w:vAlign w:val="center"/>
          </w:tcPr>
          <w:p w14:paraId="6451AF83">
            <w:pPr>
              <w:pStyle w:val="74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center"/>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危险废物贮存库</w:t>
            </w:r>
          </w:p>
        </w:tc>
        <w:tc>
          <w:tcPr>
            <w:tcW w:w="551" w:type="pct"/>
            <w:shd w:val="clear" w:color="auto" w:fill="auto"/>
            <w:vAlign w:val="center"/>
          </w:tcPr>
          <w:p w14:paraId="53B86319">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风机</w:t>
            </w:r>
          </w:p>
        </w:tc>
        <w:tc>
          <w:tcPr>
            <w:tcW w:w="150" w:type="pct"/>
            <w:vAlign w:val="center"/>
          </w:tcPr>
          <w:p w14:paraId="4C98060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w:t>
            </w:r>
          </w:p>
        </w:tc>
        <w:tc>
          <w:tcPr>
            <w:tcW w:w="0" w:type="auto"/>
            <w:vAlign w:val="center"/>
          </w:tcPr>
          <w:p w14:paraId="024803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000000"/>
                <w:kern w:val="0"/>
                <w:sz w:val="21"/>
                <w:szCs w:val="24"/>
                <w:highlight w:val="none"/>
                <w:lang w:val="en-US" w:eastAsia="zh-CN" w:bidi="ar-SA"/>
              </w:rPr>
            </w:pPr>
            <w:r>
              <w:rPr>
                <w:rFonts w:hint="eastAsia" w:ascii="Times New Roman" w:hAnsi="Times New Roman" w:cs="Times New Roman"/>
                <w:color w:val="000000"/>
                <w:kern w:val="0"/>
                <w:sz w:val="21"/>
                <w:szCs w:val="24"/>
                <w:highlight w:val="none"/>
                <w:lang w:val="en-US" w:eastAsia="zh-CN" w:bidi="ar-SA"/>
              </w:rPr>
              <w:t>80/1</w:t>
            </w:r>
          </w:p>
        </w:tc>
        <w:tc>
          <w:tcPr>
            <w:tcW w:w="271" w:type="pct"/>
            <w:vMerge w:val="continue"/>
            <w:vAlign w:val="center"/>
          </w:tcPr>
          <w:p w14:paraId="23F22B50">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rPr>
            </w:pPr>
          </w:p>
        </w:tc>
        <w:tc>
          <w:tcPr>
            <w:tcW w:w="0" w:type="auto"/>
            <w:vAlign w:val="center"/>
          </w:tcPr>
          <w:p w14:paraId="6B3B0493">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22</w:t>
            </w:r>
          </w:p>
        </w:tc>
        <w:tc>
          <w:tcPr>
            <w:tcW w:w="0" w:type="auto"/>
            <w:vAlign w:val="center"/>
          </w:tcPr>
          <w:p w14:paraId="4E9C90D0">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c>
          <w:tcPr>
            <w:tcW w:w="0" w:type="auto"/>
            <w:vAlign w:val="center"/>
          </w:tcPr>
          <w:p w14:paraId="350A287C">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1</w:t>
            </w:r>
          </w:p>
        </w:tc>
        <w:tc>
          <w:tcPr>
            <w:tcW w:w="0" w:type="auto"/>
            <w:vAlign w:val="center"/>
          </w:tcPr>
          <w:p w14:paraId="3514E713">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eastAsiaTheme="minorEastAsia"/>
                <w:sz w:val="21"/>
                <w:szCs w:val="21"/>
                <w:highlight w:val="none"/>
                <w:lang w:val="en-US" w:eastAsia="zh-CN"/>
              </w:rPr>
            </w:pPr>
            <w:r>
              <w:rPr>
                <w:rFonts w:hint="eastAsia"/>
                <w:sz w:val="21"/>
                <w:szCs w:val="21"/>
                <w:highlight w:val="none"/>
                <w:lang w:val="en-US" w:eastAsia="zh-CN"/>
              </w:rPr>
              <w:t>1</w:t>
            </w:r>
          </w:p>
        </w:tc>
        <w:tc>
          <w:tcPr>
            <w:tcW w:w="1010" w:type="dxa"/>
            <w:vAlign w:val="center"/>
          </w:tcPr>
          <w:p w14:paraId="2DF7B48D">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52</w:t>
            </w:r>
          </w:p>
        </w:tc>
        <w:tc>
          <w:tcPr>
            <w:tcW w:w="0" w:type="auto"/>
            <w:vAlign w:val="center"/>
          </w:tcPr>
          <w:p w14:paraId="7031EDBA">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连续</w:t>
            </w:r>
          </w:p>
        </w:tc>
        <w:tc>
          <w:tcPr>
            <w:tcW w:w="0" w:type="auto"/>
            <w:vAlign w:val="center"/>
          </w:tcPr>
          <w:p w14:paraId="62C71B6B">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6</w:t>
            </w:r>
          </w:p>
        </w:tc>
        <w:tc>
          <w:tcPr>
            <w:tcW w:w="1013" w:type="dxa"/>
            <w:vAlign w:val="center"/>
          </w:tcPr>
          <w:p w14:paraId="316147EE">
            <w:pPr>
              <w:pStyle w:val="147"/>
              <w:keepNext w:val="0"/>
              <w:keepLines w:val="0"/>
              <w:pageBreakBefore w:val="0"/>
              <w:suppressLineNumbers w:val="0"/>
              <w:kinsoku/>
              <w:wordWrap w:val="0"/>
              <w:overflowPunct/>
              <w:topLinePunct w:val="0"/>
              <w:autoSpaceDE/>
              <w:autoSpaceDN/>
              <w:bidi w:val="0"/>
              <w:adjustRightInd w:val="0"/>
              <w:snapToGrid w:val="0"/>
              <w:spacing w:beforeAutospacing="0" w:afterAutospacing="0" w:line="240" w:lineRule="auto"/>
              <w:ind w:left="0" w:right="0" w:firstLine="0" w:firstLineChars="0"/>
              <w:jc w:val="center"/>
              <w:rPr>
                <w:rFonts w:hint="eastAsia"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26</w:t>
            </w:r>
          </w:p>
        </w:tc>
        <w:tc>
          <w:tcPr>
            <w:tcW w:w="0" w:type="auto"/>
            <w:vAlign w:val="center"/>
          </w:tcPr>
          <w:p w14:paraId="5BF57A4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1m</w:t>
            </w:r>
          </w:p>
        </w:tc>
      </w:tr>
    </w:tbl>
    <w:p w14:paraId="24F677B9">
      <w:pPr>
        <w:pStyle w:val="8"/>
        <w:bidi w:val="0"/>
        <w:rPr>
          <w:rFonts w:hint="eastAsia"/>
          <w:highlight w:val="none"/>
          <w:lang w:val="en-US" w:eastAsia="zh-CN"/>
        </w:rPr>
      </w:pPr>
    </w:p>
    <w:p w14:paraId="1D0CBEE0">
      <w:pPr>
        <w:pStyle w:val="8"/>
        <w:bidi w:val="0"/>
        <w:rPr>
          <w:rFonts w:hint="eastAsia"/>
          <w:highlight w:val="none"/>
          <w:lang w:val="en-US" w:eastAsia="zh-CN"/>
        </w:rPr>
      </w:pPr>
    </w:p>
    <w:p w14:paraId="2C672198">
      <w:pPr>
        <w:pStyle w:val="8"/>
        <w:bidi w:val="0"/>
        <w:rPr>
          <w:rFonts w:hint="eastAsia"/>
          <w:highlight w:val="none"/>
          <w:lang w:val="en-US" w:eastAsia="zh-CN"/>
        </w:rPr>
      </w:pPr>
    </w:p>
    <w:p w14:paraId="38AAB4A2">
      <w:pPr>
        <w:pStyle w:val="7"/>
        <w:bidi w:val="0"/>
        <w:rPr>
          <w:highlight w:val="none"/>
        </w:rPr>
      </w:pPr>
      <w:r>
        <w:rPr>
          <w:highlight w:val="none"/>
        </w:rPr>
        <w:t>表3-</w:t>
      </w:r>
      <w:r>
        <w:rPr>
          <w:rFonts w:hint="eastAsia"/>
          <w:highlight w:val="none"/>
          <w:lang w:val="en-US" w:eastAsia="zh-CN"/>
        </w:rPr>
        <w:t>3</w:t>
      </w:r>
      <w:r>
        <w:rPr>
          <w:highlight w:val="none"/>
        </w:rPr>
        <w:t>-</w:t>
      </w:r>
      <w:r>
        <w:rPr>
          <w:rFonts w:hint="eastAsia"/>
          <w:highlight w:val="none"/>
          <w:lang w:val="en-US" w:eastAsia="zh-CN"/>
        </w:rPr>
        <w:t>7</w:t>
      </w:r>
      <w:r>
        <w:rPr>
          <w:highlight w:val="none"/>
        </w:rPr>
        <w:t>固体废物污染源强核算结果</w:t>
      </w:r>
      <w:r>
        <w:rPr>
          <w:rFonts w:hint="eastAsia"/>
          <w:highlight w:val="none"/>
          <w:lang w:eastAsia="zh-CN"/>
        </w:rPr>
        <w:t>及</w:t>
      </w:r>
      <w:r>
        <w:rPr>
          <w:highlight w:val="none"/>
        </w:rPr>
        <w:t>相关参数一览表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414"/>
        <w:gridCol w:w="2420"/>
        <w:gridCol w:w="1362"/>
        <w:gridCol w:w="1515"/>
        <w:gridCol w:w="1366"/>
        <w:gridCol w:w="901"/>
        <w:gridCol w:w="1154"/>
        <w:gridCol w:w="2646"/>
      </w:tblGrid>
      <w:tr w14:paraId="01B3E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92" w:type="pct"/>
            <w:vMerge w:val="restart"/>
            <w:tcBorders>
              <w:tl2br w:val="nil"/>
              <w:tr2bl w:val="nil"/>
            </w:tcBorders>
            <w:vAlign w:val="center"/>
          </w:tcPr>
          <w:p w14:paraId="4E98BB3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工序</w:t>
            </w:r>
          </w:p>
        </w:tc>
        <w:tc>
          <w:tcPr>
            <w:tcW w:w="498" w:type="pct"/>
            <w:vMerge w:val="restart"/>
            <w:tcBorders>
              <w:tl2br w:val="nil"/>
              <w:tr2bl w:val="nil"/>
            </w:tcBorders>
            <w:vAlign w:val="center"/>
          </w:tcPr>
          <w:p w14:paraId="2B16C6E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产生源</w:t>
            </w:r>
          </w:p>
        </w:tc>
        <w:tc>
          <w:tcPr>
            <w:tcW w:w="853" w:type="pct"/>
            <w:vMerge w:val="restart"/>
            <w:tcBorders>
              <w:tl2br w:val="nil"/>
              <w:tr2bl w:val="nil"/>
            </w:tcBorders>
            <w:vAlign w:val="center"/>
          </w:tcPr>
          <w:p w14:paraId="44A4FE0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固体废物名称</w:t>
            </w:r>
          </w:p>
        </w:tc>
        <w:tc>
          <w:tcPr>
            <w:tcW w:w="480" w:type="pct"/>
            <w:vMerge w:val="restart"/>
            <w:tcBorders>
              <w:tl2br w:val="nil"/>
              <w:tr2bl w:val="nil"/>
            </w:tcBorders>
            <w:vAlign w:val="center"/>
          </w:tcPr>
          <w:p w14:paraId="1E25673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固体废物属性</w:t>
            </w:r>
          </w:p>
        </w:tc>
        <w:tc>
          <w:tcPr>
            <w:tcW w:w="1015" w:type="pct"/>
            <w:gridSpan w:val="2"/>
            <w:tcBorders>
              <w:tl2br w:val="nil"/>
              <w:tr2bl w:val="nil"/>
            </w:tcBorders>
            <w:vAlign w:val="center"/>
          </w:tcPr>
          <w:p w14:paraId="5EB4F64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产生情况</w:t>
            </w:r>
          </w:p>
        </w:tc>
        <w:tc>
          <w:tcPr>
            <w:tcW w:w="725" w:type="pct"/>
            <w:gridSpan w:val="2"/>
            <w:tcBorders>
              <w:tl2br w:val="nil"/>
              <w:tr2bl w:val="nil"/>
            </w:tcBorders>
            <w:vAlign w:val="center"/>
          </w:tcPr>
          <w:p w14:paraId="55C7BAD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处置措施</w:t>
            </w:r>
          </w:p>
        </w:tc>
        <w:tc>
          <w:tcPr>
            <w:tcW w:w="933" w:type="pct"/>
            <w:vMerge w:val="restart"/>
            <w:tcBorders>
              <w:tl2br w:val="nil"/>
              <w:tr2bl w:val="nil"/>
            </w:tcBorders>
            <w:vAlign w:val="center"/>
          </w:tcPr>
          <w:p w14:paraId="3FE7E01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最终去向</w:t>
            </w:r>
          </w:p>
        </w:tc>
      </w:tr>
      <w:tr w14:paraId="03A51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92" w:type="pct"/>
            <w:vMerge w:val="continue"/>
            <w:tcBorders>
              <w:tl2br w:val="nil"/>
              <w:tr2bl w:val="nil"/>
            </w:tcBorders>
            <w:vAlign w:val="center"/>
          </w:tcPr>
          <w:p w14:paraId="7291466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p>
        </w:tc>
        <w:tc>
          <w:tcPr>
            <w:tcW w:w="498" w:type="pct"/>
            <w:vMerge w:val="continue"/>
            <w:tcBorders>
              <w:tl2br w:val="nil"/>
              <w:tr2bl w:val="nil"/>
            </w:tcBorders>
            <w:vAlign w:val="center"/>
          </w:tcPr>
          <w:p w14:paraId="072C286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p>
        </w:tc>
        <w:tc>
          <w:tcPr>
            <w:tcW w:w="853" w:type="pct"/>
            <w:vMerge w:val="continue"/>
            <w:tcBorders>
              <w:tl2br w:val="nil"/>
              <w:tr2bl w:val="nil"/>
            </w:tcBorders>
            <w:vAlign w:val="center"/>
          </w:tcPr>
          <w:p w14:paraId="164CAFD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p>
        </w:tc>
        <w:tc>
          <w:tcPr>
            <w:tcW w:w="480" w:type="pct"/>
            <w:vMerge w:val="continue"/>
            <w:tcBorders>
              <w:tl2br w:val="nil"/>
              <w:tr2bl w:val="nil"/>
            </w:tcBorders>
            <w:vAlign w:val="center"/>
          </w:tcPr>
          <w:p w14:paraId="406582E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p>
        </w:tc>
        <w:tc>
          <w:tcPr>
            <w:tcW w:w="534" w:type="pct"/>
            <w:tcBorders>
              <w:tl2br w:val="nil"/>
              <w:tr2bl w:val="nil"/>
            </w:tcBorders>
            <w:vAlign w:val="center"/>
          </w:tcPr>
          <w:p w14:paraId="473ED444">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核算方法</w:t>
            </w:r>
          </w:p>
        </w:tc>
        <w:tc>
          <w:tcPr>
            <w:tcW w:w="481" w:type="pct"/>
            <w:tcBorders>
              <w:tl2br w:val="nil"/>
              <w:tr2bl w:val="nil"/>
            </w:tcBorders>
            <w:vAlign w:val="center"/>
          </w:tcPr>
          <w:p w14:paraId="4ABDC875">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产生量</w:t>
            </w:r>
            <w:r>
              <w:rPr>
                <w:rFonts w:hint="default" w:eastAsiaTheme="minorEastAsia"/>
                <w:kern w:val="0"/>
                <w:sz w:val="21"/>
                <w:szCs w:val="21"/>
                <w:highlight w:val="none"/>
              </w:rPr>
              <w:t>t/a</w:t>
            </w:r>
          </w:p>
        </w:tc>
        <w:tc>
          <w:tcPr>
            <w:tcW w:w="318" w:type="pct"/>
            <w:tcBorders>
              <w:tl2br w:val="nil"/>
              <w:tr2bl w:val="nil"/>
            </w:tcBorders>
            <w:vAlign w:val="center"/>
          </w:tcPr>
          <w:p w14:paraId="5E8F380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工艺</w:t>
            </w:r>
          </w:p>
        </w:tc>
        <w:tc>
          <w:tcPr>
            <w:tcW w:w="407" w:type="pct"/>
            <w:tcBorders>
              <w:tl2br w:val="nil"/>
              <w:tr2bl w:val="nil"/>
            </w:tcBorders>
            <w:vAlign w:val="center"/>
          </w:tcPr>
          <w:p w14:paraId="07CA638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处置量</w:t>
            </w:r>
            <w:r>
              <w:rPr>
                <w:rFonts w:hint="default" w:eastAsiaTheme="minorEastAsia"/>
                <w:kern w:val="0"/>
                <w:sz w:val="21"/>
                <w:szCs w:val="21"/>
                <w:highlight w:val="none"/>
              </w:rPr>
              <w:t>t/a</w:t>
            </w:r>
          </w:p>
        </w:tc>
        <w:tc>
          <w:tcPr>
            <w:tcW w:w="933" w:type="pct"/>
            <w:vMerge w:val="continue"/>
            <w:tcBorders>
              <w:tl2br w:val="nil"/>
              <w:tr2bl w:val="nil"/>
            </w:tcBorders>
            <w:vAlign w:val="center"/>
          </w:tcPr>
          <w:p w14:paraId="7A14311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p>
        </w:tc>
      </w:tr>
      <w:tr w14:paraId="7191D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92" w:type="pct"/>
            <w:tcBorders>
              <w:tl2br w:val="nil"/>
              <w:tr2bl w:val="nil"/>
            </w:tcBorders>
            <w:shd w:val="clear" w:color="auto" w:fill="auto"/>
            <w:vAlign w:val="center"/>
          </w:tcPr>
          <w:p w14:paraId="31545564">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员工</w:t>
            </w:r>
          </w:p>
        </w:tc>
        <w:tc>
          <w:tcPr>
            <w:tcW w:w="498" w:type="pct"/>
            <w:tcBorders>
              <w:tl2br w:val="nil"/>
              <w:tr2bl w:val="nil"/>
            </w:tcBorders>
            <w:shd w:val="clear" w:color="auto" w:fill="auto"/>
            <w:vAlign w:val="center"/>
          </w:tcPr>
          <w:p w14:paraId="2EC8D380">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生活、办公</w:t>
            </w:r>
          </w:p>
        </w:tc>
        <w:tc>
          <w:tcPr>
            <w:tcW w:w="853" w:type="pct"/>
            <w:tcBorders>
              <w:tl2br w:val="nil"/>
              <w:tr2bl w:val="nil"/>
            </w:tcBorders>
            <w:shd w:val="clear" w:color="auto" w:fill="auto"/>
            <w:vAlign w:val="center"/>
          </w:tcPr>
          <w:p w14:paraId="0A91205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rPr>
              <w:t>生活垃圾</w:t>
            </w:r>
            <w:r>
              <w:rPr>
                <w:rFonts w:hint="eastAsia"/>
                <w:highlight w:val="none"/>
                <w:lang w:eastAsia="zh-CN"/>
              </w:rPr>
              <w:t>（</w:t>
            </w:r>
            <w:r>
              <w:rPr>
                <w:rFonts w:hint="eastAsia"/>
                <w:highlight w:val="none"/>
                <w:lang w:val="en-US" w:eastAsia="zh-CN"/>
              </w:rPr>
              <w:t>类别：SW64，代码：900-099-S64</w:t>
            </w:r>
            <w:r>
              <w:rPr>
                <w:rFonts w:hint="eastAsia"/>
                <w:highlight w:val="none"/>
                <w:lang w:eastAsia="zh-CN"/>
              </w:rPr>
              <w:t>）</w:t>
            </w:r>
          </w:p>
        </w:tc>
        <w:tc>
          <w:tcPr>
            <w:tcW w:w="480" w:type="pct"/>
            <w:tcBorders>
              <w:tl2br w:val="nil"/>
              <w:tr2bl w:val="nil"/>
            </w:tcBorders>
            <w:vAlign w:val="center"/>
          </w:tcPr>
          <w:p w14:paraId="137F0A6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一般工业固体废物</w:t>
            </w:r>
          </w:p>
        </w:tc>
        <w:tc>
          <w:tcPr>
            <w:tcW w:w="534" w:type="pct"/>
            <w:tcBorders>
              <w:tl2br w:val="nil"/>
              <w:tr2bl w:val="nil"/>
            </w:tcBorders>
            <w:vAlign w:val="center"/>
          </w:tcPr>
          <w:p w14:paraId="7009553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物料衡算法</w:t>
            </w:r>
          </w:p>
        </w:tc>
        <w:tc>
          <w:tcPr>
            <w:tcW w:w="481" w:type="pct"/>
            <w:tcBorders>
              <w:tl2br w:val="nil"/>
              <w:tr2bl w:val="nil"/>
            </w:tcBorders>
            <w:vAlign w:val="center"/>
          </w:tcPr>
          <w:p w14:paraId="31A4F11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lang w:val="en-US" w:eastAsia="zh-CN"/>
              </w:rPr>
            </w:pPr>
            <w:r>
              <w:rPr>
                <w:rFonts w:hint="eastAsia" w:eastAsiaTheme="minorEastAsia"/>
                <w:bCs/>
                <w:kern w:val="0"/>
                <w:sz w:val="21"/>
                <w:szCs w:val="21"/>
                <w:highlight w:val="none"/>
                <w:lang w:val="en-US" w:eastAsia="zh-CN"/>
              </w:rPr>
              <w:t>0.48</w:t>
            </w:r>
          </w:p>
        </w:tc>
        <w:tc>
          <w:tcPr>
            <w:tcW w:w="318" w:type="pct"/>
            <w:tcBorders>
              <w:tl2br w:val="nil"/>
              <w:tr2bl w:val="nil"/>
            </w:tcBorders>
            <w:vAlign w:val="center"/>
          </w:tcPr>
          <w:p w14:paraId="58DC429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eastAsiaTheme="minorEastAsia"/>
                <w:kern w:val="0"/>
                <w:sz w:val="21"/>
                <w:szCs w:val="21"/>
                <w:highlight w:val="none"/>
              </w:rPr>
              <w:t>/</w:t>
            </w:r>
          </w:p>
        </w:tc>
        <w:tc>
          <w:tcPr>
            <w:tcW w:w="407" w:type="pct"/>
            <w:tcBorders>
              <w:tl2br w:val="nil"/>
              <w:tr2bl w:val="nil"/>
            </w:tcBorders>
            <w:vAlign w:val="center"/>
          </w:tcPr>
          <w:p w14:paraId="1ED082F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eastAsiaTheme="minorEastAsia"/>
                <w:kern w:val="0"/>
                <w:sz w:val="21"/>
                <w:szCs w:val="21"/>
                <w:highlight w:val="none"/>
              </w:rPr>
            </w:pPr>
            <w:r>
              <w:rPr>
                <w:rFonts w:hint="eastAsia" w:eastAsiaTheme="minorEastAsia"/>
                <w:bCs/>
                <w:kern w:val="0"/>
                <w:sz w:val="21"/>
                <w:szCs w:val="21"/>
                <w:highlight w:val="none"/>
                <w:lang w:val="en-US" w:eastAsia="zh-CN"/>
              </w:rPr>
              <w:t>0.48</w:t>
            </w:r>
          </w:p>
        </w:tc>
        <w:tc>
          <w:tcPr>
            <w:tcW w:w="933" w:type="pct"/>
            <w:tcBorders>
              <w:tl2br w:val="nil"/>
              <w:tr2bl w:val="nil"/>
            </w:tcBorders>
            <w:vAlign w:val="center"/>
          </w:tcPr>
          <w:p w14:paraId="1A15F26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eastAsia" w:eastAsiaTheme="minorEastAsia"/>
                <w:kern w:val="0"/>
                <w:sz w:val="21"/>
                <w:szCs w:val="21"/>
                <w:highlight w:val="none"/>
                <w:lang w:eastAsia="zh-CN"/>
              </w:rPr>
            </w:pPr>
            <w:r>
              <w:rPr>
                <w:rFonts w:hint="eastAsia" w:hAnsiTheme="minorEastAsia" w:eastAsiaTheme="minorEastAsia"/>
                <w:bCs/>
                <w:spacing w:val="4"/>
                <w:kern w:val="0"/>
                <w:sz w:val="21"/>
                <w:szCs w:val="21"/>
                <w:highlight w:val="none"/>
                <w:lang w:eastAsia="zh-CN"/>
              </w:rPr>
              <w:t>交由市政部门统一处理</w:t>
            </w:r>
          </w:p>
        </w:tc>
      </w:tr>
      <w:tr w14:paraId="63F7B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92" w:type="pct"/>
            <w:vMerge w:val="restart"/>
            <w:tcBorders>
              <w:tl2br w:val="nil"/>
              <w:tr2bl w:val="nil"/>
            </w:tcBorders>
            <w:shd w:val="clear" w:color="auto" w:fill="auto"/>
            <w:vAlign w:val="center"/>
          </w:tcPr>
          <w:p w14:paraId="2876499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生产车间</w:t>
            </w:r>
          </w:p>
        </w:tc>
        <w:tc>
          <w:tcPr>
            <w:tcW w:w="498" w:type="pct"/>
            <w:vMerge w:val="restart"/>
            <w:tcBorders>
              <w:tl2br w:val="nil"/>
              <w:tr2bl w:val="nil"/>
            </w:tcBorders>
            <w:shd w:val="clear" w:color="auto" w:fill="auto"/>
            <w:vAlign w:val="center"/>
          </w:tcPr>
          <w:p w14:paraId="328903E2">
            <w:pPr>
              <w:pStyle w:val="8"/>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甩干</w:t>
            </w:r>
          </w:p>
        </w:tc>
        <w:tc>
          <w:tcPr>
            <w:tcW w:w="853" w:type="pct"/>
            <w:tcBorders>
              <w:tl2br w:val="nil"/>
              <w:tr2bl w:val="nil"/>
            </w:tcBorders>
            <w:shd w:val="clear" w:color="auto" w:fill="auto"/>
            <w:vAlign w:val="center"/>
          </w:tcPr>
          <w:p w14:paraId="2398FCF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bCs/>
                <w:color w:val="000000"/>
                <w:kern w:val="0"/>
                <w:sz w:val="21"/>
                <w:szCs w:val="24"/>
                <w:highlight w:val="none"/>
                <w:lang w:val="en-US" w:eastAsia="zh-CN" w:bidi="ar-SA"/>
              </w:rPr>
            </w:pPr>
            <w:r>
              <w:rPr>
                <w:rFonts w:hint="eastAsia"/>
                <w:highlight w:val="none"/>
                <w:lang w:val="en-US" w:eastAsia="zh-CN"/>
              </w:rPr>
              <w:t>废液</w:t>
            </w:r>
            <w:r>
              <w:rPr>
                <w:rFonts w:hint="default"/>
                <w:highlight w:val="none"/>
              </w:rPr>
              <w:t>（类别：HW08，代码：900-249-08、类别：HW09，代码900-007-09）</w:t>
            </w:r>
          </w:p>
        </w:tc>
        <w:tc>
          <w:tcPr>
            <w:tcW w:w="480" w:type="pct"/>
            <w:vMerge w:val="restart"/>
            <w:tcBorders>
              <w:tl2br w:val="nil"/>
              <w:tr2bl w:val="nil"/>
            </w:tcBorders>
            <w:vAlign w:val="center"/>
          </w:tcPr>
          <w:p w14:paraId="575D75C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危险废物</w:t>
            </w:r>
          </w:p>
        </w:tc>
        <w:tc>
          <w:tcPr>
            <w:tcW w:w="534" w:type="pct"/>
            <w:tcBorders>
              <w:tl2br w:val="nil"/>
              <w:tr2bl w:val="nil"/>
            </w:tcBorders>
            <w:vAlign w:val="center"/>
          </w:tcPr>
          <w:p w14:paraId="0392C9F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hAnsiTheme="minorEastAsia" w:eastAsiaTheme="minorEastAsia"/>
                <w:kern w:val="0"/>
                <w:sz w:val="21"/>
                <w:szCs w:val="21"/>
                <w:highlight w:val="none"/>
              </w:rPr>
              <w:t>物料衡算法</w:t>
            </w:r>
          </w:p>
        </w:tc>
        <w:tc>
          <w:tcPr>
            <w:tcW w:w="481" w:type="pct"/>
            <w:tcBorders>
              <w:tl2br w:val="nil"/>
              <w:tr2bl w:val="nil"/>
            </w:tcBorders>
            <w:vAlign w:val="center"/>
          </w:tcPr>
          <w:p w14:paraId="34A25F0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503.2</w:t>
            </w:r>
          </w:p>
        </w:tc>
        <w:tc>
          <w:tcPr>
            <w:tcW w:w="318" w:type="pct"/>
            <w:tcBorders>
              <w:tl2br w:val="nil"/>
              <w:tr2bl w:val="nil"/>
            </w:tcBorders>
            <w:vAlign w:val="center"/>
          </w:tcPr>
          <w:p w14:paraId="224549B6">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eastAsiaTheme="minorEastAsia"/>
                <w:kern w:val="0"/>
                <w:sz w:val="21"/>
                <w:szCs w:val="21"/>
                <w:highlight w:val="none"/>
              </w:rPr>
              <w:t>/</w:t>
            </w:r>
          </w:p>
        </w:tc>
        <w:tc>
          <w:tcPr>
            <w:tcW w:w="407" w:type="pct"/>
            <w:tcBorders>
              <w:tl2br w:val="nil"/>
              <w:tr2bl w:val="nil"/>
            </w:tcBorders>
            <w:vAlign w:val="center"/>
          </w:tcPr>
          <w:p w14:paraId="709AA2D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eastAsiaTheme="minorEastAsia"/>
                <w:kern w:val="0"/>
                <w:sz w:val="21"/>
                <w:szCs w:val="21"/>
                <w:highlight w:val="none"/>
              </w:rPr>
            </w:pPr>
            <w:r>
              <w:rPr>
                <w:rFonts w:hint="eastAsia" w:eastAsiaTheme="minorEastAsia"/>
                <w:kern w:val="0"/>
                <w:sz w:val="21"/>
                <w:szCs w:val="21"/>
                <w:highlight w:val="none"/>
                <w:lang w:val="en-US" w:eastAsia="zh-CN"/>
              </w:rPr>
              <w:t>503.2</w:t>
            </w:r>
          </w:p>
        </w:tc>
        <w:tc>
          <w:tcPr>
            <w:tcW w:w="933" w:type="pct"/>
            <w:tcBorders>
              <w:tl2br w:val="nil"/>
              <w:tr2bl w:val="nil"/>
            </w:tcBorders>
            <w:vAlign w:val="center"/>
          </w:tcPr>
          <w:p w14:paraId="2857084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eastAsia" w:eastAsiaTheme="minorEastAsia"/>
                <w:kern w:val="0"/>
                <w:sz w:val="21"/>
                <w:szCs w:val="21"/>
                <w:highlight w:val="none"/>
                <w:lang w:eastAsia="zh-CN"/>
              </w:rPr>
            </w:pPr>
            <w:r>
              <w:rPr>
                <w:rFonts w:hint="default" w:hAnsiTheme="minorEastAsia" w:eastAsiaTheme="minorEastAsia"/>
                <w:bCs/>
                <w:kern w:val="0"/>
                <w:sz w:val="21"/>
                <w:szCs w:val="21"/>
                <w:highlight w:val="none"/>
              </w:rPr>
              <w:t>定期委托</w:t>
            </w:r>
            <w:r>
              <w:rPr>
                <w:rFonts w:hint="eastAsia" w:hAnsiTheme="minorEastAsia" w:eastAsiaTheme="minorEastAsia"/>
                <w:bCs/>
                <w:kern w:val="0"/>
                <w:sz w:val="21"/>
                <w:szCs w:val="21"/>
                <w:highlight w:val="none"/>
                <w:lang w:val="en-US" w:eastAsia="zh-CN"/>
              </w:rPr>
              <w:t>有资质单位</w:t>
            </w:r>
            <w:r>
              <w:rPr>
                <w:rFonts w:hint="eastAsia" w:hAnsiTheme="minorEastAsia" w:eastAsiaTheme="minorEastAsia"/>
                <w:bCs/>
                <w:kern w:val="0"/>
                <w:sz w:val="21"/>
                <w:szCs w:val="21"/>
                <w:highlight w:val="none"/>
                <w:lang w:eastAsia="zh-CN"/>
              </w:rPr>
              <w:t>处置</w:t>
            </w:r>
          </w:p>
        </w:tc>
      </w:tr>
      <w:tr w14:paraId="0DD08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92" w:type="pct"/>
            <w:vMerge w:val="continue"/>
            <w:tcBorders>
              <w:tl2br w:val="nil"/>
              <w:tr2bl w:val="nil"/>
            </w:tcBorders>
            <w:shd w:val="clear" w:color="auto" w:fill="auto"/>
            <w:vAlign w:val="center"/>
          </w:tcPr>
          <w:p w14:paraId="667AF98D">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p>
        </w:tc>
        <w:tc>
          <w:tcPr>
            <w:tcW w:w="498" w:type="pct"/>
            <w:vMerge w:val="continue"/>
            <w:tcBorders>
              <w:tl2br w:val="nil"/>
              <w:tr2bl w:val="nil"/>
            </w:tcBorders>
            <w:shd w:val="clear" w:color="auto" w:fill="auto"/>
            <w:vAlign w:val="center"/>
          </w:tcPr>
          <w:p w14:paraId="1721385A">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p>
        </w:tc>
        <w:tc>
          <w:tcPr>
            <w:tcW w:w="853" w:type="pct"/>
            <w:tcBorders>
              <w:tl2br w:val="nil"/>
              <w:tr2bl w:val="nil"/>
            </w:tcBorders>
            <w:shd w:val="clear" w:color="auto" w:fill="auto"/>
            <w:vAlign w:val="center"/>
          </w:tcPr>
          <w:p w14:paraId="71C2B74B">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脱油铁屑</w:t>
            </w:r>
            <w:r>
              <w:rPr>
                <w:rFonts w:hint="default"/>
                <w:highlight w:val="none"/>
              </w:rPr>
              <w:t>（类别：HW08，代码：900-249-08、类别：HW09，代码900-007-09）</w:t>
            </w:r>
          </w:p>
        </w:tc>
        <w:tc>
          <w:tcPr>
            <w:tcW w:w="480" w:type="pct"/>
            <w:vMerge w:val="continue"/>
            <w:tcBorders>
              <w:tl2br w:val="nil"/>
              <w:tr2bl w:val="nil"/>
            </w:tcBorders>
            <w:vAlign w:val="center"/>
          </w:tcPr>
          <w:p w14:paraId="410C01B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hAnsiTheme="minorEastAsia" w:eastAsiaTheme="minorEastAsia"/>
                <w:kern w:val="0"/>
                <w:sz w:val="21"/>
                <w:szCs w:val="21"/>
                <w:highlight w:val="none"/>
              </w:rPr>
            </w:pPr>
          </w:p>
        </w:tc>
        <w:tc>
          <w:tcPr>
            <w:tcW w:w="534" w:type="pct"/>
            <w:tcBorders>
              <w:tl2br w:val="nil"/>
              <w:tr2bl w:val="nil"/>
            </w:tcBorders>
            <w:vAlign w:val="center"/>
          </w:tcPr>
          <w:p w14:paraId="1316610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rPr>
            </w:pPr>
            <w:r>
              <w:rPr>
                <w:rFonts w:hint="default" w:ascii="Times New Roman" w:cs="Times New Roman" w:hAnsiTheme="minorEastAsia" w:eastAsiaTheme="minorEastAsia"/>
                <w:kern w:val="0"/>
                <w:sz w:val="21"/>
                <w:szCs w:val="21"/>
                <w:highlight w:val="none"/>
              </w:rPr>
              <w:t>物料衡算法</w:t>
            </w:r>
          </w:p>
        </w:tc>
        <w:tc>
          <w:tcPr>
            <w:tcW w:w="481" w:type="pct"/>
            <w:tcBorders>
              <w:tl2br w:val="nil"/>
              <w:tr2bl w:val="nil"/>
            </w:tcBorders>
            <w:vAlign w:val="center"/>
          </w:tcPr>
          <w:p w14:paraId="3B9B487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lang w:val="en-US" w:eastAsia="zh-CN"/>
              </w:rPr>
            </w:pPr>
            <w:r>
              <w:rPr>
                <w:rFonts w:hint="eastAsia" w:ascii="Times New Roman" w:cs="Times New Roman" w:hAnsiTheme="minorEastAsia" w:eastAsiaTheme="minorEastAsia"/>
                <w:kern w:val="0"/>
                <w:sz w:val="21"/>
                <w:szCs w:val="21"/>
                <w:highlight w:val="none"/>
                <w:lang w:val="en-US" w:eastAsia="zh-CN"/>
              </w:rPr>
              <w:t>5400</w:t>
            </w:r>
          </w:p>
        </w:tc>
        <w:tc>
          <w:tcPr>
            <w:tcW w:w="318" w:type="pct"/>
            <w:tcBorders>
              <w:tl2br w:val="nil"/>
              <w:tr2bl w:val="nil"/>
            </w:tcBorders>
            <w:vAlign w:val="center"/>
          </w:tcPr>
          <w:p w14:paraId="75C02F2F">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contextualSpacing/>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w:t>
            </w:r>
          </w:p>
        </w:tc>
        <w:tc>
          <w:tcPr>
            <w:tcW w:w="407" w:type="pct"/>
            <w:tcBorders>
              <w:tl2br w:val="nil"/>
              <w:tr2bl w:val="nil"/>
            </w:tcBorders>
            <w:vAlign w:val="center"/>
          </w:tcPr>
          <w:p w14:paraId="7AE0588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eastAsia" w:eastAsiaTheme="minorEastAsia"/>
                <w:kern w:val="0"/>
                <w:sz w:val="21"/>
                <w:szCs w:val="21"/>
                <w:highlight w:val="none"/>
                <w:lang w:val="en-US" w:eastAsia="zh-CN"/>
              </w:rPr>
            </w:pPr>
            <w:r>
              <w:rPr>
                <w:rFonts w:hint="eastAsia" w:ascii="Times New Roman" w:cs="Times New Roman" w:hAnsiTheme="minorEastAsia" w:eastAsiaTheme="minorEastAsia"/>
                <w:kern w:val="0"/>
                <w:sz w:val="21"/>
                <w:szCs w:val="21"/>
                <w:highlight w:val="none"/>
                <w:lang w:val="en-US" w:eastAsia="zh-CN"/>
              </w:rPr>
              <w:t>5400</w:t>
            </w:r>
          </w:p>
        </w:tc>
        <w:tc>
          <w:tcPr>
            <w:tcW w:w="933" w:type="pct"/>
            <w:tcBorders>
              <w:tl2br w:val="nil"/>
              <w:tr2bl w:val="nil"/>
            </w:tcBorders>
            <w:vAlign w:val="center"/>
          </w:tcPr>
          <w:p w14:paraId="1F7153B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bCs/>
                <w:kern w:val="0"/>
                <w:sz w:val="21"/>
                <w:szCs w:val="21"/>
                <w:highlight w:val="none"/>
              </w:rPr>
            </w:pPr>
            <w:r>
              <w:rPr>
                <w:rFonts w:hint="default" w:ascii="Times New Roman" w:cs="Times New Roman" w:hAnsiTheme="minorEastAsia" w:eastAsiaTheme="minorEastAsia"/>
                <w:bCs/>
                <w:kern w:val="0"/>
                <w:sz w:val="21"/>
                <w:szCs w:val="21"/>
                <w:highlight w:val="none"/>
              </w:rPr>
              <w:t>定期委托</w:t>
            </w:r>
            <w:r>
              <w:rPr>
                <w:rFonts w:hint="eastAsia" w:ascii="Times New Roman" w:cs="Times New Roman" w:hAnsiTheme="minorEastAsia" w:eastAsiaTheme="minorEastAsia"/>
                <w:bCs/>
                <w:kern w:val="0"/>
                <w:sz w:val="21"/>
                <w:szCs w:val="21"/>
                <w:highlight w:val="none"/>
                <w:lang w:val="en-US" w:eastAsia="zh-CN"/>
              </w:rPr>
              <w:t>有资质单位</w:t>
            </w:r>
            <w:r>
              <w:rPr>
                <w:rFonts w:hint="eastAsia" w:ascii="Times New Roman" w:cs="Times New Roman" w:hAnsiTheme="minorEastAsia" w:eastAsiaTheme="minorEastAsia"/>
                <w:bCs/>
                <w:kern w:val="0"/>
                <w:sz w:val="21"/>
                <w:szCs w:val="21"/>
                <w:highlight w:val="none"/>
                <w:lang w:eastAsia="zh-CN"/>
              </w:rPr>
              <w:t>处置</w:t>
            </w:r>
          </w:p>
        </w:tc>
      </w:tr>
      <w:tr w14:paraId="03774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92" w:type="pct"/>
            <w:vMerge w:val="continue"/>
            <w:tcBorders>
              <w:tl2br w:val="nil"/>
              <w:tr2bl w:val="nil"/>
            </w:tcBorders>
            <w:shd w:val="clear" w:color="auto" w:fill="auto"/>
            <w:vAlign w:val="center"/>
          </w:tcPr>
          <w:p w14:paraId="1C561A3B">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p>
        </w:tc>
        <w:tc>
          <w:tcPr>
            <w:tcW w:w="498" w:type="pct"/>
            <w:vMerge w:val="continue"/>
            <w:tcBorders>
              <w:tl2br w:val="nil"/>
              <w:tr2bl w:val="nil"/>
            </w:tcBorders>
            <w:shd w:val="clear" w:color="auto" w:fill="auto"/>
            <w:vAlign w:val="center"/>
          </w:tcPr>
          <w:p w14:paraId="7489B2BC">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p>
        </w:tc>
        <w:tc>
          <w:tcPr>
            <w:tcW w:w="853" w:type="pct"/>
            <w:tcBorders>
              <w:tl2br w:val="nil"/>
              <w:tr2bl w:val="nil"/>
            </w:tcBorders>
            <w:shd w:val="clear" w:color="auto" w:fill="auto"/>
            <w:vAlign w:val="center"/>
          </w:tcPr>
          <w:p w14:paraId="0501575D">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eastAsia="zh-CN"/>
              </w:rPr>
              <w:t>脱油铝屑</w:t>
            </w:r>
            <w:r>
              <w:rPr>
                <w:rFonts w:hint="default"/>
                <w:highlight w:val="none"/>
              </w:rPr>
              <w:t>（类别：HW08，代码：900-249-08）</w:t>
            </w:r>
          </w:p>
        </w:tc>
        <w:tc>
          <w:tcPr>
            <w:tcW w:w="480" w:type="pct"/>
            <w:vMerge w:val="continue"/>
            <w:tcBorders>
              <w:tl2br w:val="nil"/>
              <w:tr2bl w:val="nil"/>
            </w:tcBorders>
            <w:vAlign w:val="center"/>
          </w:tcPr>
          <w:p w14:paraId="2069B02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hAnsiTheme="minorEastAsia" w:eastAsiaTheme="minorEastAsia"/>
                <w:kern w:val="0"/>
                <w:sz w:val="21"/>
                <w:szCs w:val="21"/>
                <w:highlight w:val="none"/>
              </w:rPr>
            </w:pPr>
          </w:p>
        </w:tc>
        <w:tc>
          <w:tcPr>
            <w:tcW w:w="534" w:type="pct"/>
            <w:tcBorders>
              <w:tl2br w:val="nil"/>
              <w:tr2bl w:val="nil"/>
            </w:tcBorders>
            <w:vAlign w:val="center"/>
          </w:tcPr>
          <w:p w14:paraId="25CA1D6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rPr>
            </w:pPr>
            <w:r>
              <w:rPr>
                <w:rFonts w:hint="default" w:ascii="Times New Roman" w:cs="Times New Roman" w:hAnsiTheme="minorEastAsia" w:eastAsiaTheme="minorEastAsia"/>
                <w:kern w:val="0"/>
                <w:sz w:val="21"/>
                <w:szCs w:val="21"/>
                <w:highlight w:val="none"/>
              </w:rPr>
              <w:t>物料衡算法</w:t>
            </w:r>
          </w:p>
        </w:tc>
        <w:tc>
          <w:tcPr>
            <w:tcW w:w="481" w:type="pct"/>
            <w:tcBorders>
              <w:tl2br w:val="nil"/>
              <w:tr2bl w:val="nil"/>
            </w:tcBorders>
            <w:vAlign w:val="center"/>
          </w:tcPr>
          <w:p w14:paraId="2BD0B33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lang w:val="en-US" w:eastAsia="zh-CN"/>
              </w:rPr>
            </w:pPr>
            <w:r>
              <w:rPr>
                <w:rFonts w:hint="eastAsia" w:ascii="Times New Roman" w:cs="Times New Roman" w:hAnsiTheme="minorEastAsia" w:eastAsiaTheme="minorEastAsia"/>
                <w:kern w:val="0"/>
                <w:sz w:val="21"/>
                <w:szCs w:val="21"/>
                <w:highlight w:val="none"/>
                <w:lang w:val="en-US" w:eastAsia="zh-CN"/>
              </w:rPr>
              <w:t>470</w:t>
            </w:r>
          </w:p>
        </w:tc>
        <w:tc>
          <w:tcPr>
            <w:tcW w:w="318" w:type="pct"/>
            <w:tcBorders>
              <w:tl2br w:val="nil"/>
              <w:tr2bl w:val="nil"/>
            </w:tcBorders>
            <w:vAlign w:val="center"/>
          </w:tcPr>
          <w:p w14:paraId="18B17D51">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contextualSpacing/>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w:t>
            </w:r>
          </w:p>
        </w:tc>
        <w:tc>
          <w:tcPr>
            <w:tcW w:w="407" w:type="pct"/>
            <w:tcBorders>
              <w:tl2br w:val="nil"/>
              <w:tr2bl w:val="nil"/>
            </w:tcBorders>
            <w:vAlign w:val="center"/>
          </w:tcPr>
          <w:p w14:paraId="5754CFC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eastAsia" w:eastAsiaTheme="minorEastAsia"/>
                <w:kern w:val="0"/>
                <w:sz w:val="21"/>
                <w:szCs w:val="21"/>
                <w:highlight w:val="none"/>
                <w:lang w:val="en-US" w:eastAsia="zh-CN"/>
              </w:rPr>
            </w:pPr>
            <w:r>
              <w:rPr>
                <w:rFonts w:hint="eastAsia" w:ascii="Times New Roman" w:cs="Times New Roman" w:hAnsiTheme="minorEastAsia" w:eastAsiaTheme="minorEastAsia"/>
                <w:kern w:val="0"/>
                <w:sz w:val="21"/>
                <w:szCs w:val="21"/>
                <w:highlight w:val="none"/>
                <w:lang w:val="en-US" w:eastAsia="zh-CN"/>
              </w:rPr>
              <w:t>470</w:t>
            </w:r>
          </w:p>
        </w:tc>
        <w:tc>
          <w:tcPr>
            <w:tcW w:w="933" w:type="pct"/>
            <w:tcBorders>
              <w:tl2br w:val="nil"/>
              <w:tr2bl w:val="nil"/>
            </w:tcBorders>
            <w:vAlign w:val="center"/>
          </w:tcPr>
          <w:p w14:paraId="1D53924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bCs/>
                <w:kern w:val="0"/>
                <w:sz w:val="21"/>
                <w:szCs w:val="21"/>
                <w:highlight w:val="none"/>
              </w:rPr>
            </w:pPr>
            <w:r>
              <w:rPr>
                <w:rFonts w:hint="default" w:ascii="Times New Roman" w:cs="Times New Roman" w:hAnsiTheme="minorEastAsia" w:eastAsiaTheme="minorEastAsia"/>
                <w:bCs/>
                <w:kern w:val="0"/>
                <w:sz w:val="21"/>
                <w:szCs w:val="21"/>
                <w:highlight w:val="none"/>
              </w:rPr>
              <w:t>定期委托</w:t>
            </w:r>
            <w:r>
              <w:rPr>
                <w:rFonts w:hint="eastAsia" w:ascii="Times New Roman" w:cs="Times New Roman" w:hAnsiTheme="minorEastAsia" w:eastAsiaTheme="minorEastAsia"/>
                <w:bCs/>
                <w:kern w:val="0"/>
                <w:sz w:val="21"/>
                <w:szCs w:val="21"/>
                <w:highlight w:val="none"/>
                <w:lang w:val="en-US" w:eastAsia="zh-CN"/>
              </w:rPr>
              <w:t>有资质单位</w:t>
            </w:r>
            <w:r>
              <w:rPr>
                <w:rFonts w:hint="eastAsia" w:ascii="Times New Roman" w:cs="Times New Roman" w:hAnsiTheme="minorEastAsia" w:eastAsiaTheme="minorEastAsia"/>
                <w:bCs/>
                <w:kern w:val="0"/>
                <w:sz w:val="21"/>
                <w:szCs w:val="21"/>
                <w:highlight w:val="none"/>
                <w:lang w:eastAsia="zh-CN"/>
              </w:rPr>
              <w:t>处置</w:t>
            </w:r>
          </w:p>
        </w:tc>
      </w:tr>
      <w:tr w14:paraId="63068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92" w:type="pct"/>
            <w:tcBorders>
              <w:tl2br w:val="nil"/>
              <w:tr2bl w:val="nil"/>
            </w:tcBorders>
            <w:shd w:val="clear" w:color="auto" w:fill="auto"/>
            <w:vAlign w:val="center"/>
          </w:tcPr>
          <w:p w14:paraId="1E663B35">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活性炭吸附装置</w:t>
            </w:r>
          </w:p>
        </w:tc>
        <w:tc>
          <w:tcPr>
            <w:tcW w:w="498" w:type="pct"/>
            <w:tcBorders>
              <w:tl2br w:val="nil"/>
              <w:tr2bl w:val="nil"/>
            </w:tcBorders>
            <w:shd w:val="clear" w:color="auto" w:fill="auto"/>
            <w:vAlign w:val="center"/>
          </w:tcPr>
          <w:p w14:paraId="3D91165F">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活性炭吸附装置</w:t>
            </w:r>
          </w:p>
        </w:tc>
        <w:tc>
          <w:tcPr>
            <w:tcW w:w="853" w:type="pct"/>
            <w:tcBorders>
              <w:tl2br w:val="nil"/>
              <w:tr2bl w:val="nil"/>
            </w:tcBorders>
            <w:shd w:val="clear" w:color="auto" w:fill="auto"/>
            <w:vAlign w:val="center"/>
          </w:tcPr>
          <w:p w14:paraId="6259E28B">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废活性炭</w:t>
            </w:r>
            <w:r>
              <w:rPr>
                <w:rFonts w:hint="default"/>
                <w:highlight w:val="none"/>
              </w:rPr>
              <w:t>（</w:t>
            </w:r>
            <w:r>
              <w:rPr>
                <w:rFonts w:hint="eastAsia"/>
                <w:highlight w:val="none"/>
                <w:lang w:val="en-US" w:eastAsia="zh-CN"/>
              </w:rPr>
              <w:t>类别：HW49，代码：900-041-49</w:t>
            </w:r>
            <w:r>
              <w:rPr>
                <w:rFonts w:hint="default"/>
                <w:highlight w:val="none"/>
              </w:rPr>
              <w:t>）</w:t>
            </w:r>
          </w:p>
        </w:tc>
        <w:tc>
          <w:tcPr>
            <w:tcW w:w="480" w:type="pct"/>
            <w:vMerge w:val="continue"/>
            <w:tcBorders>
              <w:tl2br w:val="nil"/>
              <w:tr2bl w:val="nil"/>
            </w:tcBorders>
            <w:vAlign w:val="center"/>
          </w:tcPr>
          <w:p w14:paraId="6E291C8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p>
        </w:tc>
        <w:tc>
          <w:tcPr>
            <w:tcW w:w="534" w:type="pct"/>
            <w:tcBorders>
              <w:tl2br w:val="nil"/>
              <w:tr2bl w:val="nil"/>
            </w:tcBorders>
            <w:vAlign w:val="center"/>
          </w:tcPr>
          <w:p w14:paraId="52498B3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rPr>
            </w:pPr>
            <w:r>
              <w:rPr>
                <w:rFonts w:hint="default" w:ascii="Times New Roman" w:cs="Times New Roman" w:hAnsiTheme="minorEastAsia" w:eastAsiaTheme="minorEastAsia"/>
                <w:kern w:val="0"/>
                <w:sz w:val="21"/>
                <w:szCs w:val="21"/>
                <w:highlight w:val="none"/>
              </w:rPr>
              <w:t>物料衡算法</w:t>
            </w:r>
          </w:p>
        </w:tc>
        <w:tc>
          <w:tcPr>
            <w:tcW w:w="481" w:type="pct"/>
            <w:tcBorders>
              <w:tl2br w:val="nil"/>
              <w:tr2bl w:val="nil"/>
            </w:tcBorders>
            <w:vAlign w:val="center"/>
          </w:tcPr>
          <w:p w14:paraId="78F582F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lang w:val="en-US" w:eastAsia="zh-CN"/>
              </w:rPr>
            </w:pPr>
            <w:r>
              <w:rPr>
                <w:rFonts w:hint="eastAsia" w:ascii="Times New Roman" w:cs="Times New Roman" w:hAnsiTheme="minorEastAsia" w:eastAsiaTheme="minorEastAsia"/>
                <w:kern w:val="0"/>
                <w:sz w:val="21"/>
                <w:szCs w:val="21"/>
                <w:highlight w:val="none"/>
                <w:lang w:val="en-US" w:eastAsia="zh-CN"/>
              </w:rPr>
              <w:t>31.781</w:t>
            </w:r>
          </w:p>
        </w:tc>
        <w:tc>
          <w:tcPr>
            <w:tcW w:w="318" w:type="pct"/>
            <w:tcBorders>
              <w:tl2br w:val="nil"/>
              <w:tr2bl w:val="nil"/>
            </w:tcBorders>
            <w:vAlign w:val="center"/>
          </w:tcPr>
          <w:p w14:paraId="41D8489D">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r>
              <w:rPr>
                <w:rFonts w:hint="default" w:eastAsiaTheme="minorEastAsia"/>
                <w:kern w:val="0"/>
                <w:sz w:val="21"/>
                <w:szCs w:val="21"/>
                <w:highlight w:val="none"/>
              </w:rPr>
              <w:t>/</w:t>
            </w:r>
          </w:p>
        </w:tc>
        <w:tc>
          <w:tcPr>
            <w:tcW w:w="407" w:type="pct"/>
            <w:tcBorders>
              <w:tl2br w:val="nil"/>
              <w:tr2bl w:val="nil"/>
            </w:tcBorders>
            <w:vAlign w:val="center"/>
          </w:tcPr>
          <w:p w14:paraId="75BB884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eastAsiaTheme="minorEastAsia"/>
                <w:kern w:val="0"/>
                <w:sz w:val="21"/>
                <w:szCs w:val="21"/>
                <w:highlight w:val="none"/>
              </w:rPr>
            </w:pPr>
            <w:r>
              <w:rPr>
                <w:rFonts w:hint="eastAsia" w:ascii="Times New Roman" w:cs="Times New Roman" w:hAnsiTheme="minorEastAsia" w:eastAsiaTheme="minorEastAsia"/>
                <w:kern w:val="0"/>
                <w:sz w:val="21"/>
                <w:szCs w:val="21"/>
                <w:highlight w:val="none"/>
                <w:lang w:val="en-US" w:eastAsia="zh-CN"/>
              </w:rPr>
              <w:t>31.781</w:t>
            </w:r>
          </w:p>
        </w:tc>
        <w:tc>
          <w:tcPr>
            <w:tcW w:w="933" w:type="pct"/>
            <w:tcBorders>
              <w:tl2br w:val="nil"/>
              <w:tr2bl w:val="nil"/>
            </w:tcBorders>
            <w:vAlign w:val="center"/>
          </w:tcPr>
          <w:p w14:paraId="04414B4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bCs/>
                <w:kern w:val="0"/>
                <w:sz w:val="21"/>
                <w:szCs w:val="21"/>
                <w:highlight w:val="none"/>
              </w:rPr>
            </w:pPr>
            <w:r>
              <w:rPr>
                <w:rFonts w:hint="default" w:ascii="Times New Roman" w:cs="Times New Roman" w:hAnsiTheme="minorEastAsia" w:eastAsiaTheme="minorEastAsia"/>
                <w:bCs/>
                <w:kern w:val="0"/>
                <w:sz w:val="21"/>
                <w:szCs w:val="21"/>
                <w:highlight w:val="none"/>
              </w:rPr>
              <w:t>定期委托</w:t>
            </w:r>
            <w:r>
              <w:rPr>
                <w:rFonts w:hint="eastAsia" w:ascii="Times New Roman" w:cs="Times New Roman" w:hAnsiTheme="minorEastAsia" w:eastAsiaTheme="minorEastAsia"/>
                <w:bCs/>
                <w:kern w:val="0"/>
                <w:sz w:val="21"/>
                <w:szCs w:val="21"/>
                <w:highlight w:val="none"/>
                <w:lang w:val="en-US" w:eastAsia="zh-CN"/>
              </w:rPr>
              <w:t>有资质单位</w:t>
            </w:r>
            <w:r>
              <w:rPr>
                <w:rFonts w:hint="eastAsia" w:ascii="Times New Roman" w:cs="Times New Roman" w:hAnsiTheme="minorEastAsia" w:eastAsiaTheme="minorEastAsia"/>
                <w:bCs/>
                <w:kern w:val="0"/>
                <w:sz w:val="21"/>
                <w:szCs w:val="21"/>
                <w:highlight w:val="none"/>
                <w:lang w:eastAsia="zh-CN"/>
              </w:rPr>
              <w:t>处置</w:t>
            </w:r>
          </w:p>
        </w:tc>
      </w:tr>
      <w:tr w14:paraId="787DA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0" w:type="auto"/>
            <w:shd w:val="clear" w:color="auto" w:fill="auto"/>
            <w:vAlign w:val="center"/>
          </w:tcPr>
          <w:p w14:paraId="06FFFB0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油雾净化器</w:t>
            </w:r>
          </w:p>
        </w:tc>
        <w:tc>
          <w:tcPr>
            <w:tcW w:w="0" w:type="auto"/>
            <w:shd w:val="clear" w:color="auto" w:fill="auto"/>
            <w:vAlign w:val="center"/>
          </w:tcPr>
          <w:p w14:paraId="7FCD6F12">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eastAsia"/>
                <w:highlight w:val="none"/>
                <w:lang w:val="en-US" w:eastAsia="zh-CN"/>
              </w:rPr>
              <w:t>油雾净化器</w:t>
            </w:r>
          </w:p>
        </w:tc>
        <w:tc>
          <w:tcPr>
            <w:tcW w:w="0" w:type="auto"/>
            <w:shd w:val="clear" w:color="auto" w:fill="auto"/>
            <w:vAlign w:val="center"/>
          </w:tcPr>
          <w:p w14:paraId="23EB0A83">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kern w:val="0"/>
                <w:sz w:val="21"/>
                <w:szCs w:val="24"/>
                <w:highlight w:val="none"/>
                <w:lang w:val="en-US" w:eastAsia="zh-CN" w:bidi="ar-SA"/>
              </w:rPr>
            </w:pPr>
            <w:r>
              <w:rPr>
                <w:rFonts w:hint="default"/>
                <w:highlight w:val="none"/>
                <w:lang w:val="en-US" w:eastAsia="zh-CN"/>
              </w:rPr>
              <w:t>废过滤材料</w:t>
            </w:r>
            <w:r>
              <w:rPr>
                <w:rFonts w:hint="default"/>
                <w:highlight w:val="none"/>
              </w:rPr>
              <w:t>（</w:t>
            </w:r>
            <w:r>
              <w:rPr>
                <w:rFonts w:hint="eastAsia"/>
                <w:highlight w:val="none"/>
                <w:lang w:val="en-US" w:eastAsia="zh-CN"/>
              </w:rPr>
              <w:t>类别：HW49，代码：900-041-49</w:t>
            </w:r>
            <w:r>
              <w:rPr>
                <w:rFonts w:hint="default"/>
                <w:highlight w:val="none"/>
              </w:rPr>
              <w:t>）</w:t>
            </w:r>
          </w:p>
        </w:tc>
        <w:tc>
          <w:tcPr>
            <w:tcW w:w="480" w:type="pct"/>
            <w:vMerge w:val="continue"/>
          </w:tcPr>
          <w:p w14:paraId="2E9613C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p>
        </w:tc>
        <w:tc>
          <w:tcPr>
            <w:tcW w:w="0" w:type="auto"/>
            <w:vAlign w:val="center"/>
          </w:tcPr>
          <w:p w14:paraId="418138D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rPr>
            </w:pPr>
            <w:r>
              <w:rPr>
                <w:rFonts w:hint="default" w:ascii="Times New Roman" w:cs="Times New Roman" w:hAnsiTheme="minorEastAsia" w:eastAsiaTheme="minorEastAsia"/>
                <w:kern w:val="0"/>
                <w:sz w:val="21"/>
                <w:szCs w:val="21"/>
                <w:highlight w:val="none"/>
              </w:rPr>
              <w:t>物料衡算法</w:t>
            </w:r>
          </w:p>
        </w:tc>
        <w:tc>
          <w:tcPr>
            <w:tcW w:w="0" w:type="auto"/>
            <w:vAlign w:val="center"/>
          </w:tcPr>
          <w:p w14:paraId="6D3E3B4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lang w:val="en-US" w:eastAsia="zh-CN"/>
              </w:rPr>
            </w:pPr>
            <w:r>
              <w:rPr>
                <w:rFonts w:hint="eastAsia" w:ascii="Times New Roman" w:cs="Times New Roman" w:hAnsiTheme="minorEastAsia" w:eastAsiaTheme="minorEastAsia"/>
                <w:kern w:val="0"/>
                <w:sz w:val="21"/>
                <w:szCs w:val="21"/>
                <w:highlight w:val="none"/>
                <w:lang w:val="en-US" w:eastAsia="zh-CN"/>
              </w:rPr>
              <w:t>2</w:t>
            </w:r>
          </w:p>
        </w:tc>
        <w:tc>
          <w:tcPr>
            <w:tcW w:w="0" w:type="auto"/>
          </w:tcPr>
          <w:p w14:paraId="6C36A514">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contextualSpacing/>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w:t>
            </w:r>
          </w:p>
        </w:tc>
        <w:tc>
          <w:tcPr>
            <w:tcW w:w="407" w:type="pct"/>
            <w:vAlign w:val="center"/>
          </w:tcPr>
          <w:p w14:paraId="42FFEF5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eastAsiaTheme="minorEastAsia"/>
                <w:kern w:val="0"/>
                <w:sz w:val="21"/>
                <w:szCs w:val="21"/>
                <w:highlight w:val="none"/>
              </w:rPr>
            </w:pPr>
            <w:r>
              <w:rPr>
                <w:rFonts w:hint="eastAsia" w:ascii="Times New Roman" w:cs="Times New Roman" w:hAnsiTheme="minorEastAsia" w:eastAsiaTheme="minorEastAsia"/>
                <w:kern w:val="0"/>
                <w:sz w:val="21"/>
                <w:szCs w:val="21"/>
                <w:highlight w:val="none"/>
                <w:lang w:val="en-US" w:eastAsia="zh-CN"/>
              </w:rPr>
              <w:t>2</w:t>
            </w:r>
          </w:p>
        </w:tc>
        <w:tc>
          <w:tcPr>
            <w:tcW w:w="0" w:type="auto"/>
          </w:tcPr>
          <w:p w14:paraId="0526C14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bCs/>
                <w:kern w:val="0"/>
                <w:sz w:val="21"/>
                <w:szCs w:val="21"/>
                <w:highlight w:val="none"/>
              </w:rPr>
            </w:pPr>
            <w:r>
              <w:rPr>
                <w:rFonts w:hint="default" w:ascii="Times New Roman" w:cs="Times New Roman" w:hAnsiTheme="minorEastAsia" w:eastAsiaTheme="minorEastAsia"/>
                <w:bCs/>
                <w:kern w:val="0"/>
                <w:sz w:val="21"/>
                <w:szCs w:val="21"/>
                <w:highlight w:val="none"/>
              </w:rPr>
              <w:t>定期委托</w:t>
            </w:r>
            <w:r>
              <w:rPr>
                <w:rFonts w:hint="eastAsia" w:ascii="Times New Roman" w:cs="Times New Roman" w:hAnsiTheme="minorEastAsia" w:eastAsiaTheme="minorEastAsia"/>
                <w:bCs/>
                <w:kern w:val="0"/>
                <w:sz w:val="21"/>
                <w:szCs w:val="21"/>
                <w:highlight w:val="none"/>
                <w:lang w:val="en-US" w:eastAsia="zh-CN"/>
              </w:rPr>
              <w:t>有资质单位</w:t>
            </w:r>
            <w:r>
              <w:rPr>
                <w:rFonts w:hint="eastAsia" w:ascii="Times New Roman" w:cs="Times New Roman" w:hAnsiTheme="minorEastAsia" w:eastAsiaTheme="minorEastAsia"/>
                <w:bCs/>
                <w:kern w:val="0"/>
                <w:sz w:val="21"/>
                <w:szCs w:val="21"/>
                <w:highlight w:val="none"/>
                <w:lang w:eastAsia="zh-CN"/>
              </w:rPr>
              <w:t>处置</w:t>
            </w:r>
          </w:p>
        </w:tc>
      </w:tr>
      <w:tr w14:paraId="30D2F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0" w:type="auto"/>
            <w:shd w:val="clear" w:color="auto" w:fill="auto"/>
            <w:vAlign w:val="center"/>
          </w:tcPr>
          <w:p w14:paraId="05EC842F">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收集贮存</w:t>
            </w:r>
          </w:p>
        </w:tc>
        <w:tc>
          <w:tcPr>
            <w:tcW w:w="0" w:type="auto"/>
            <w:shd w:val="clear" w:color="auto" w:fill="auto"/>
            <w:vAlign w:val="center"/>
          </w:tcPr>
          <w:p w14:paraId="58DE6B35">
            <w:pPr>
              <w:pStyle w:val="8"/>
              <w:suppressLineNumbers w:val="0"/>
              <w:bidi w:val="0"/>
              <w:spacing w:before="0" w:beforeAutospacing="0" w:after="0" w:afterAutospacing="0"/>
              <w:ind w:left="0" w:leftChars="0" w:right="0" w:rightChars="0" w:firstLine="0" w:firstLineChars="0"/>
              <w:rPr>
                <w:rFonts w:hint="eastAsia"/>
                <w:highlight w:val="none"/>
                <w:lang w:val="en-US" w:eastAsia="zh-CN"/>
              </w:rPr>
            </w:pPr>
            <w:r>
              <w:rPr>
                <w:rFonts w:hint="eastAsia"/>
                <w:highlight w:val="none"/>
                <w:lang w:val="en-US" w:eastAsia="zh-CN"/>
              </w:rPr>
              <w:t>收集贮存</w:t>
            </w:r>
          </w:p>
        </w:tc>
        <w:tc>
          <w:tcPr>
            <w:tcW w:w="0" w:type="auto"/>
            <w:shd w:val="clear" w:color="auto" w:fill="auto"/>
            <w:vAlign w:val="center"/>
          </w:tcPr>
          <w:p w14:paraId="29322B4F">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default"/>
                <w:highlight w:val="none"/>
                <w:lang w:val="en-US" w:eastAsia="zh-CN"/>
              </w:rPr>
              <w:t>废电解液和电池</w:t>
            </w:r>
            <w:r>
              <w:rPr>
                <w:rFonts w:hint="default"/>
                <w:highlight w:val="none"/>
              </w:rPr>
              <w:t>（</w:t>
            </w:r>
            <w:r>
              <w:rPr>
                <w:rFonts w:hint="default"/>
                <w:highlight w:val="none"/>
                <w:lang w:val="en-US" w:eastAsia="zh-CN"/>
              </w:rPr>
              <w:t>类别</w:t>
            </w:r>
            <w:r>
              <w:rPr>
                <w:rFonts w:hint="eastAsia"/>
                <w:highlight w:val="none"/>
                <w:lang w:val="en-US" w:eastAsia="zh-CN"/>
              </w:rPr>
              <w:t>：</w:t>
            </w:r>
            <w:r>
              <w:rPr>
                <w:rFonts w:hint="default"/>
                <w:highlight w:val="none"/>
                <w:lang w:val="en-US" w:eastAsia="zh-CN"/>
              </w:rPr>
              <w:t>HW49</w:t>
            </w:r>
            <w:r>
              <w:rPr>
                <w:rFonts w:hint="eastAsia"/>
                <w:highlight w:val="none"/>
                <w:lang w:val="en-US" w:eastAsia="zh-CN"/>
              </w:rPr>
              <w:t>，</w:t>
            </w:r>
            <w:r>
              <w:rPr>
                <w:rFonts w:hint="default"/>
                <w:highlight w:val="none"/>
                <w:lang w:val="en-US" w:eastAsia="zh-CN"/>
              </w:rPr>
              <w:t>代码</w:t>
            </w:r>
            <w:r>
              <w:rPr>
                <w:rFonts w:hint="eastAsia"/>
                <w:highlight w:val="none"/>
                <w:lang w:val="en-US" w:eastAsia="zh-CN"/>
              </w:rPr>
              <w:t>：</w:t>
            </w:r>
            <w:r>
              <w:rPr>
                <w:rFonts w:hint="default"/>
                <w:highlight w:val="none"/>
                <w:lang w:val="en-US" w:eastAsia="zh-CN"/>
              </w:rPr>
              <w:t>900-045-49</w:t>
            </w:r>
            <w:r>
              <w:rPr>
                <w:rFonts w:hint="default"/>
                <w:highlight w:val="none"/>
              </w:rPr>
              <w:t>）</w:t>
            </w:r>
          </w:p>
        </w:tc>
        <w:tc>
          <w:tcPr>
            <w:tcW w:w="480" w:type="pct"/>
            <w:vMerge w:val="continue"/>
          </w:tcPr>
          <w:p w14:paraId="4C8CFCF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eastAsiaTheme="minorEastAsia"/>
                <w:kern w:val="0"/>
                <w:sz w:val="21"/>
                <w:szCs w:val="21"/>
                <w:highlight w:val="none"/>
              </w:rPr>
            </w:pPr>
          </w:p>
        </w:tc>
        <w:tc>
          <w:tcPr>
            <w:tcW w:w="0" w:type="auto"/>
            <w:vAlign w:val="center"/>
          </w:tcPr>
          <w:p w14:paraId="794F4E1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rPr>
            </w:pPr>
            <w:r>
              <w:rPr>
                <w:rFonts w:hint="default" w:ascii="Times New Roman" w:cs="Times New Roman" w:hAnsiTheme="minorEastAsia" w:eastAsiaTheme="minorEastAsia"/>
                <w:kern w:val="0"/>
                <w:sz w:val="21"/>
                <w:szCs w:val="21"/>
                <w:highlight w:val="none"/>
              </w:rPr>
              <w:t>物料衡算法</w:t>
            </w:r>
          </w:p>
        </w:tc>
        <w:tc>
          <w:tcPr>
            <w:tcW w:w="0" w:type="auto"/>
            <w:vAlign w:val="center"/>
          </w:tcPr>
          <w:p w14:paraId="1276420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kern w:val="0"/>
                <w:sz w:val="21"/>
                <w:szCs w:val="21"/>
                <w:highlight w:val="none"/>
                <w:lang w:val="en-US" w:eastAsia="zh-CN"/>
              </w:rPr>
            </w:pPr>
            <w:r>
              <w:rPr>
                <w:rFonts w:hint="eastAsia" w:ascii="Times New Roman" w:cs="Times New Roman" w:hAnsiTheme="minorEastAsia" w:eastAsiaTheme="minorEastAsia"/>
                <w:kern w:val="0"/>
                <w:sz w:val="21"/>
                <w:szCs w:val="21"/>
                <w:highlight w:val="none"/>
                <w:lang w:val="en-US" w:eastAsia="zh-CN"/>
              </w:rPr>
              <w:t>0.3</w:t>
            </w:r>
          </w:p>
        </w:tc>
        <w:tc>
          <w:tcPr>
            <w:tcW w:w="0" w:type="auto"/>
          </w:tcPr>
          <w:p w14:paraId="70369D21">
            <w:pPr>
              <w:keepNext w:val="0"/>
              <w:keepLines w:val="0"/>
              <w:pageBreakBefore w:val="0"/>
              <w:widowControl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contextualSpacing/>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w:t>
            </w:r>
          </w:p>
        </w:tc>
        <w:tc>
          <w:tcPr>
            <w:tcW w:w="407" w:type="pct"/>
            <w:vAlign w:val="center"/>
          </w:tcPr>
          <w:p w14:paraId="749B16D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contextualSpacing/>
              <w:jc w:val="center"/>
              <w:textAlignment w:val="auto"/>
              <w:rPr>
                <w:rFonts w:hint="default" w:eastAsiaTheme="minorEastAsia"/>
                <w:kern w:val="0"/>
                <w:sz w:val="21"/>
                <w:szCs w:val="21"/>
                <w:highlight w:val="none"/>
              </w:rPr>
            </w:pPr>
            <w:r>
              <w:rPr>
                <w:rFonts w:hint="eastAsia" w:ascii="Times New Roman" w:cs="Times New Roman" w:hAnsiTheme="minorEastAsia" w:eastAsiaTheme="minorEastAsia"/>
                <w:kern w:val="0"/>
                <w:sz w:val="21"/>
                <w:szCs w:val="21"/>
                <w:highlight w:val="none"/>
                <w:lang w:val="en-US" w:eastAsia="zh-CN"/>
              </w:rPr>
              <w:t>0.3</w:t>
            </w:r>
          </w:p>
        </w:tc>
        <w:tc>
          <w:tcPr>
            <w:tcW w:w="0" w:type="auto"/>
          </w:tcPr>
          <w:p w14:paraId="791FEF9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cs="Times New Roman" w:hAnsiTheme="minorEastAsia" w:eastAsiaTheme="minorEastAsia"/>
                <w:bCs/>
                <w:kern w:val="0"/>
                <w:sz w:val="21"/>
                <w:szCs w:val="21"/>
                <w:highlight w:val="none"/>
              </w:rPr>
            </w:pPr>
            <w:r>
              <w:rPr>
                <w:rFonts w:hint="default" w:ascii="Times New Roman" w:cs="Times New Roman" w:hAnsiTheme="minorEastAsia" w:eastAsiaTheme="minorEastAsia"/>
                <w:bCs/>
                <w:kern w:val="0"/>
                <w:sz w:val="21"/>
                <w:szCs w:val="21"/>
                <w:highlight w:val="none"/>
              </w:rPr>
              <w:t>定期委托</w:t>
            </w:r>
            <w:r>
              <w:rPr>
                <w:rFonts w:hint="eastAsia" w:ascii="Times New Roman" w:cs="Times New Roman" w:hAnsiTheme="minorEastAsia" w:eastAsiaTheme="minorEastAsia"/>
                <w:bCs/>
                <w:kern w:val="0"/>
                <w:sz w:val="21"/>
                <w:szCs w:val="21"/>
                <w:highlight w:val="none"/>
                <w:lang w:val="en-US" w:eastAsia="zh-CN"/>
              </w:rPr>
              <w:t>有资质单位</w:t>
            </w:r>
            <w:r>
              <w:rPr>
                <w:rFonts w:hint="eastAsia" w:ascii="Times New Roman" w:cs="Times New Roman" w:hAnsiTheme="minorEastAsia" w:eastAsiaTheme="minorEastAsia"/>
                <w:bCs/>
                <w:kern w:val="0"/>
                <w:sz w:val="21"/>
                <w:szCs w:val="21"/>
                <w:highlight w:val="none"/>
                <w:lang w:eastAsia="zh-CN"/>
              </w:rPr>
              <w:t>处置</w:t>
            </w:r>
          </w:p>
        </w:tc>
      </w:tr>
    </w:tbl>
    <w:p w14:paraId="6D75C28E">
      <w:pPr>
        <w:pStyle w:val="7"/>
        <w:bidi w:val="0"/>
        <w:rPr>
          <w:rFonts w:hint="eastAsia"/>
          <w:highlight w:val="none"/>
          <w:lang w:val="en-US" w:eastAsia="zh-CN"/>
        </w:rPr>
      </w:pPr>
      <w:r>
        <w:rPr>
          <w:rFonts w:hint="eastAsia"/>
          <w:highlight w:val="none"/>
          <w:lang w:val="en-US" w:eastAsia="zh-CN"/>
        </w:rPr>
        <w:t>表3-3-8 危险废物汇总表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289"/>
        <w:gridCol w:w="1283"/>
        <w:gridCol w:w="1283"/>
        <w:gridCol w:w="1076"/>
        <w:gridCol w:w="1297"/>
        <w:gridCol w:w="925"/>
        <w:gridCol w:w="1087"/>
        <w:gridCol w:w="1036"/>
        <w:gridCol w:w="854"/>
        <w:gridCol w:w="854"/>
        <w:gridCol w:w="2429"/>
      </w:tblGrid>
      <w:tr w14:paraId="67645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8" w:type="pct"/>
            <w:noWrap w:val="0"/>
            <w:vAlign w:val="center"/>
          </w:tcPr>
          <w:p w14:paraId="79649CF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序号</w:t>
            </w:r>
          </w:p>
        </w:tc>
        <w:tc>
          <w:tcPr>
            <w:tcW w:w="454" w:type="pct"/>
            <w:noWrap w:val="0"/>
            <w:vAlign w:val="center"/>
          </w:tcPr>
          <w:p w14:paraId="278807A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危险废物名称</w:t>
            </w:r>
          </w:p>
        </w:tc>
        <w:tc>
          <w:tcPr>
            <w:tcW w:w="452" w:type="pct"/>
            <w:noWrap w:val="0"/>
            <w:vAlign w:val="center"/>
          </w:tcPr>
          <w:p w14:paraId="35253F0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危险废物类别</w:t>
            </w:r>
          </w:p>
        </w:tc>
        <w:tc>
          <w:tcPr>
            <w:tcW w:w="452" w:type="pct"/>
            <w:noWrap w:val="0"/>
            <w:vAlign w:val="center"/>
          </w:tcPr>
          <w:p w14:paraId="6F97F39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危险废物代码</w:t>
            </w:r>
          </w:p>
        </w:tc>
        <w:tc>
          <w:tcPr>
            <w:tcW w:w="379" w:type="pct"/>
            <w:noWrap w:val="0"/>
            <w:vAlign w:val="center"/>
          </w:tcPr>
          <w:p w14:paraId="274526B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产生量（吨/年）</w:t>
            </w:r>
          </w:p>
        </w:tc>
        <w:tc>
          <w:tcPr>
            <w:tcW w:w="457" w:type="pct"/>
            <w:noWrap w:val="0"/>
            <w:vAlign w:val="center"/>
          </w:tcPr>
          <w:p w14:paraId="7C8490F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产生工序及装置</w:t>
            </w:r>
          </w:p>
        </w:tc>
        <w:tc>
          <w:tcPr>
            <w:tcW w:w="326" w:type="pct"/>
            <w:noWrap w:val="0"/>
            <w:vAlign w:val="center"/>
          </w:tcPr>
          <w:p w14:paraId="3FDFCDA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形态</w:t>
            </w:r>
          </w:p>
        </w:tc>
        <w:tc>
          <w:tcPr>
            <w:tcW w:w="383" w:type="pct"/>
            <w:noWrap w:val="0"/>
            <w:vAlign w:val="center"/>
          </w:tcPr>
          <w:p w14:paraId="3E4D06C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主要成分</w:t>
            </w:r>
          </w:p>
        </w:tc>
        <w:tc>
          <w:tcPr>
            <w:tcW w:w="365" w:type="pct"/>
            <w:noWrap w:val="0"/>
            <w:vAlign w:val="center"/>
          </w:tcPr>
          <w:p w14:paraId="159CEA7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有害成分</w:t>
            </w:r>
          </w:p>
        </w:tc>
        <w:tc>
          <w:tcPr>
            <w:tcW w:w="301" w:type="pct"/>
            <w:noWrap w:val="0"/>
            <w:vAlign w:val="center"/>
          </w:tcPr>
          <w:p w14:paraId="072867F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产废周期</w:t>
            </w:r>
          </w:p>
        </w:tc>
        <w:tc>
          <w:tcPr>
            <w:tcW w:w="301" w:type="pct"/>
            <w:noWrap w:val="0"/>
            <w:vAlign w:val="center"/>
          </w:tcPr>
          <w:p w14:paraId="6BFF7B6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危险</w:t>
            </w:r>
          </w:p>
          <w:p w14:paraId="77C4D2F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特性</w:t>
            </w:r>
          </w:p>
        </w:tc>
        <w:tc>
          <w:tcPr>
            <w:tcW w:w="856" w:type="pct"/>
            <w:noWrap w:val="0"/>
            <w:vAlign w:val="center"/>
          </w:tcPr>
          <w:p w14:paraId="5D77868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污染防治措施</w:t>
            </w:r>
          </w:p>
        </w:tc>
      </w:tr>
      <w:tr w14:paraId="686EA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8" w:type="pct"/>
            <w:noWrap w:val="0"/>
            <w:vAlign w:val="center"/>
          </w:tcPr>
          <w:p w14:paraId="27D3EF5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1</w:t>
            </w:r>
          </w:p>
        </w:tc>
        <w:tc>
          <w:tcPr>
            <w:tcW w:w="454" w:type="pct"/>
            <w:shd w:val="clear" w:color="auto" w:fill="auto"/>
            <w:noWrap w:val="0"/>
            <w:vAlign w:val="center"/>
          </w:tcPr>
          <w:p w14:paraId="3EA19D9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废液</w:t>
            </w:r>
          </w:p>
        </w:tc>
        <w:tc>
          <w:tcPr>
            <w:tcW w:w="452" w:type="pct"/>
            <w:noWrap w:val="0"/>
            <w:vAlign w:val="center"/>
          </w:tcPr>
          <w:p w14:paraId="61E5BDA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rPr>
              <w:t>HW08</w:t>
            </w:r>
            <w:r>
              <w:rPr>
                <w:rFonts w:hint="eastAsia" w:ascii="Times New Roman" w:hAnsi="Times New Roman" w:cs="Times New Roman" w:eastAsiaTheme="minorEastAsia"/>
                <w:bCs/>
                <w:kern w:val="0"/>
                <w:sz w:val="21"/>
                <w:szCs w:val="21"/>
                <w:highlight w:val="none"/>
                <w:lang w:eastAsia="zh-CN"/>
              </w:rPr>
              <w:t>、</w:t>
            </w:r>
            <w:r>
              <w:rPr>
                <w:rFonts w:hint="eastAsia" w:ascii="Times New Roman" w:hAnsi="Times New Roman" w:cs="Times New Roman" w:eastAsiaTheme="minorEastAsia"/>
                <w:bCs/>
                <w:kern w:val="0"/>
                <w:sz w:val="21"/>
                <w:szCs w:val="21"/>
                <w:highlight w:val="none"/>
                <w:lang w:val="en-US" w:eastAsia="zh-CN"/>
              </w:rPr>
              <w:t>HW09</w:t>
            </w:r>
          </w:p>
        </w:tc>
        <w:tc>
          <w:tcPr>
            <w:tcW w:w="452" w:type="pct"/>
            <w:noWrap w:val="0"/>
            <w:vAlign w:val="center"/>
          </w:tcPr>
          <w:p w14:paraId="76AC712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eastAsia"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rPr>
              <w:t>900-2</w:t>
            </w:r>
            <w:r>
              <w:rPr>
                <w:rFonts w:hint="eastAsia" w:ascii="Times New Roman" w:hAnsi="Times New Roman" w:cs="Times New Roman" w:eastAsiaTheme="minorEastAsia"/>
                <w:bCs/>
                <w:kern w:val="0"/>
                <w:sz w:val="21"/>
                <w:szCs w:val="21"/>
                <w:highlight w:val="none"/>
                <w:lang w:val="en-US" w:eastAsia="zh-CN"/>
              </w:rPr>
              <w:t>49</w:t>
            </w:r>
            <w:r>
              <w:rPr>
                <w:rFonts w:hint="default" w:ascii="Times New Roman" w:hAnsi="Times New Roman" w:cs="Times New Roman" w:eastAsiaTheme="minorEastAsia"/>
                <w:bCs/>
                <w:kern w:val="0"/>
                <w:sz w:val="21"/>
                <w:szCs w:val="21"/>
                <w:highlight w:val="none"/>
              </w:rPr>
              <w:t>-08</w:t>
            </w:r>
            <w:r>
              <w:rPr>
                <w:rFonts w:hint="eastAsia" w:ascii="Times New Roman" w:hAnsi="Times New Roman" w:cs="Times New Roman" w:eastAsiaTheme="minorEastAsia"/>
                <w:bCs/>
                <w:kern w:val="0"/>
                <w:sz w:val="21"/>
                <w:szCs w:val="21"/>
                <w:highlight w:val="none"/>
                <w:lang w:eastAsia="zh-CN"/>
              </w:rPr>
              <w:t>、900-007-09</w:t>
            </w:r>
          </w:p>
        </w:tc>
        <w:tc>
          <w:tcPr>
            <w:tcW w:w="379" w:type="pct"/>
            <w:shd w:val="clear" w:color="auto" w:fill="auto"/>
            <w:noWrap w:val="0"/>
            <w:vAlign w:val="center"/>
          </w:tcPr>
          <w:p w14:paraId="7D95BBF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503.2</w:t>
            </w:r>
          </w:p>
        </w:tc>
        <w:tc>
          <w:tcPr>
            <w:tcW w:w="457" w:type="pct"/>
            <w:shd w:val="clear" w:color="auto" w:fill="auto"/>
            <w:noWrap w:val="0"/>
            <w:vAlign w:val="center"/>
          </w:tcPr>
          <w:p w14:paraId="2B842DA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甩干</w:t>
            </w:r>
          </w:p>
        </w:tc>
        <w:tc>
          <w:tcPr>
            <w:tcW w:w="326" w:type="pct"/>
            <w:noWrap w:val="0"/>
            <w:vAlign w:val="center"/>
          </w:tcPr>
          <w:p w14:paraId="239ED4A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eastAsia"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液态</w:t>
            </w:r>
          </w:p>
        </w:tc>
        <w:tc>
          <w:tcPr>
            <w:tcW w:w="383" w:type="pct"/>
            <w:noWrap w:val="0"/>
            <w:vAlign w:val="center"/>
          </w:tcPr>
          <w:p w14:paraId="158C374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矿物油</w:t>
            </w:r>
          </w:p>
        </w:tc>
        <w:tc>
          <w:tcPr>
            <w:tcW w:w="365" w:type="pct"/>
            <w:noWrap w:val="0"/>
            <w:vAlign w:val="center"/>
          </w:tcPr>
          <w:p w14:paraId="6873E0B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有机物</w:t>
            </w:r>
          </w:p>
        </w:tc>
        <w:tc>
          <w:tcPr>
            <w:tcW w:w="301" w:type="pct"/>
            <w:noWrap w:val="0"/>
            <w:vAlign w:val="center"/>
          </w:tcPr>
          <w:p w14:paraId="5DD7D40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1m</w:t>
            </w:r>
          </w:p>
        </w:tc>
        <w:tc>
          <w:tcPr>
            <w:tcW w:w="301" w:type="pct"/>
            <w:noWrap w:val="0"/>
            <w:vAlign w:val="center"/>
          </w:tcPr>
          <w:p w14:paraId="3386981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T，I</w:t>
            </w:r>
          </w:p>
        </w:tc>
        <w:tc>
          <w:tcPr>
            <w:tcW w:w="856" w:type="pct"/>
            <w:noWrap w:val="0"/>
            <w:vAlign w:val="center"/>
          </w:tcPr>
          <w:p w14:paraId="57E2347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暂存于危险废物贮存库，</w:t>
            </w:r>
            <w:r>
              <w:rPr>
                <w:rFonts w:hint="default" w:ascii="Times New Roman" w:hAnsi="Times New Roman" w:cs="Times New Roman" w:eastAsiaTheme="minorEastAsia"/>
                <w:bCs/>
                <w:kern w:val="0"/>
                <w:sz w:val="21"/>
                <w:szCs w:val="21"/>
                <w:highlight w:val="none"/>
              </w:rPr>
              <w:t>定期委托</w:t>
            </w:r>
            <w:r>
              <w:rPr>
                <w:rFonts w:hint="eastAsia" w:ascii="Times New Roman" w:hAnsi="Times New Roman" w:cs="Times New Roman" w:eastAsiaTheme="minorEastAsia"/>
                <w:bCs/>
                <w:kern w:val="0"/>
                <w:sz w:val="21"/>
                <w:szCs w:val="21"/>
                <w:highlight w:val="none"/>
                <w:lang w:val="en-US" w:eastAsia="zh-CN"/>
              </w:rPr>
              <w:t>有资质单位</w:t>
            </w:r>
            <w:r>
              <w:rPr>
                <w:rFonts w:hint="eastAsia" w:ascii="Times New Roman" w:hAnsi="Times New Roman" w:cs="Times New Roman" w:eastAsiaTheme="minorEastAsia"/>
                <w:bCs/>
                <w:kern w:val="0"/>
                <w:sz w:val="21"/>
                <w:szCs w:val="21"/>
                <w:highlight w:val="none"/>
                <w:lang w:eastAsia="zh-CN"/>
              </w:rPr>
              <w:t>处置</w:t>
            </w:r>
          </w:p>
        </w:tc>
      </w:tr>
      <w:tr w14:paraId="7B025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8" w:type="pct"/>
            <w:noWrap w:val="0"/>
            <w:vAlign w:val="center"/>
          </w:tcPr>
          <w:p w14:paraId="22A06D5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2</w:t>
            </w:r>
          </w:p>
        </w:tc>
        <w:tc>
          <w:tcPr>
            <w:tcW w:w="454" w:type="pct"/>
            <w:shd w:val="clear" w:color="auto" w:fill="auto"/>
            <w:noWrap w:val="0"/>
            <w:vAlign w:val="center"/>
          </w:tcPr>
          <w:p w14:paraId="530E67D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脱油铁屑</w:t>
            </w:r>
          </w:p>
        </w:tc>
        <w:tc>
          <w:tcPr>
            <w:tcW w:w="452" w:type="pct"/>
            <w:noWrap w:val="0"/>
            <w:vAlign w:val="center"/>
          </w:tcPr>
          <w:p w14:paraId="38553A3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rPr>
              <w:t>HW08</w:t>
            </w:r>
            <w:r>
              <w:rPr>
                <w:rFonts w:hint="eastAsia" w:ascii="Times New Roman" w:hAnsi="Times New Roman" w:cs="Times New Roman" w:eastAsiaTheme="minorEastAsia"/>
                <w:bCs/>
                <w:kern w:val="0"/>
                <w:sz w:val="21"/>
                <w:szCs w:val="21"/>
                <w:highlight w:val="none"/>
                <w:lang w:eastAsia="zh-CN"/>
              </w:rPr>
              <w:t>、</w:t>
            </w:r>
            <w:r>
              <w:rPr>
                <w:rFonts w:hint="eastAsia" w:ascii="Times New Roman" w:hAnsi="Times New Roman" w:cs="Times New Roman" w:eastAsiaTheme="minorEastAsia"/>
                <w:bCs/>
                <w:kern w:val="0"/>
                <w:sz w:val="21"/>
                <w:szCs w:val="21"/>
                <w:highlight w:val="none"/>
                <w:lang w:val="en-US" w:eastAsia="zh-CN"/>
              </w:rPr>
              <w:t>HW09</w:t>
            </w:r>
          </w:p>
        </w:tc>
        <w:tc>
          <w:tcPr>
            <w:tcW w:w="452" w:type="pct"/>
            <w:noWrap w:val="0"/>
            <w:vAlign w:val="center"/>
          </w:tcPr>
          <w:p w14:paraId="1CE4DDD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rPr>
              <w:t>900-2</w:t>
            </w:r>
            <w:r>
              <w:rPr>
                <w:rFonts w:hint="eastAsia" w:ascii="Times New Roman" w:hAnsi="Times New Roman" w:cs="Times New Roman" w:eastAsiaTheme="minorEastAsia"/>
                <w:bCs/>
                <w:kern w:val="0"/>
                <w:sz w:val="21"/>
                <w:szCs w:val="21"/>
                <w:highlight w:val="none"/>
                <w:lang w:val="en-US" w:eastAsia="zh-CN"/>
              </w:rPr>
              <w:t>49</w:t>
            </w:r>
            <w:r>
              <w:rPr>
                <w:rFonts w:hint="default" w:ascii="Times New Roman" w:hAnsi="Times New Roman" w:cs="Times New Roman" w:eastAsiaTheme="minorEastAsia"/>
                <w:bCs/>
                <w:kern w:val="0"/>
                <w:sz w:val="21"/>
                <w:szCs w:val="21"/>
                <w:highlight w:val="none"/>
              </w:rPr>
              <w:t>-08</w:t>
            </w:r>
            <w:r>
              <w:rPr>
                <w:rFonts w:hint="eastAsia" w:ascii="Times New Roman" w:hAnsi="Times New Roman" w:cs="Times New Roman" w:eastAsiaTheme="minorEastAsia"/>
                <w:bCs/>
                <w:kern w:val="0"/>
                <w:sz w:val="21"/>
                <w:szCs w:val="21"/>
                <w:highlight w:val="none"/>
                <w:lang w:eastAsia="zh-CN"/>
              </w:rPr>
              <w:t>、900-007-09</w:t>
            </w:r>
          </w:p>
        </w:tc>
        <w:tc>
          <w:tcPr>
            <w:tcW w:w="379" w:type="pct"/>
            <w:shd w:val="clear" w:color="auto" w:fill="auto"/>
            <w:noWrap w:val="0"/>
            <w:vAlign w:val="center"/>
          </w:tcPr>
          <w:p w14:paraId="7E50133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5400</w:t>
            </w:r>
          </w:p>
        </w:tc>
        <w:tc>
          <w:tcPr>
            <w:tcW w:w="457" w:type="pct"/>
            <w:shd w:val="clear" w:color="auto" w:fill="auto"/>
            <w:noWrap w:val="0"/>
            <w:vAlign w:val="center"/>
          </w:tcPr>
          <w:p w14:paraId="4101226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甩干</w:t>
            </w:r>
          </w:p>
        </w:tc>
        <w:tc>
          <w:tcPr>
            <w:tcW w:w="326" w:type="pct"/>
            <w:noWrap w:val="0"/>
            <w:vAlign w:val="center"/>
          </w:tcPr>
          <w:p w14:paraId="76CA9EA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固态</w:t>
            </w:r>
          </w:p>
        </w:tc>
        <w:tc>
          <w:tcPr>
            <w:tcW w:w="383" w:type="pct"/>
            <w:noWrap w:val="0"/>
            <w:vAlign w:val="center"/>
          </w:tcPr>
          <w:p w14:paraId="69093F7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铁</w:t>
            </w:r>
          </w:p>
        </w:tc>
        <w:tc>
          <w:tcPr>
            <w:tcW w:w="365" w:type="pct"/>
            <w:noWrap w:val="0"/>
            <w:vAlign w:val="center"/>
          </w:tcPr>
          <w:p w14:paraId="6E569EF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有机物</w:t>
            </w:r>
          </w:p>
        </w:tc>
        <w:tc>
          <w:tcPr>
            <w:tcW w:w="301" w:type="pct"/>
            <w:noWrap w:val="0"/>
            <w:vAlign w:val="center"/>
          </w:tcPr>
          <w:p w14:paraId="16719DF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1m</w:t>
            </w:r>
          </w:p>
        </w:tc>
        <w:tc>
          <w:tcPr>
            <w:tcW w:w="301" w:type="pct"/>
            <w:noWrap w:val="0"/>
            <w:vAlign w:val="center"/>
          </w:tcPr>
          <w:p w14:paraId="7A75702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T，I</w:t>
            </w:r>
          </w:p>
        </w:tc>
        <w:tc>
          <w:tcPr>
            <w:tcW w:w="856" w:type="pct"/>
            <w:noWrap w:val="0"/>
            <w:vAlign w:val="center"/>
          </w:tcPr>
          <w:p w14:paraId="04484A2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暂存于危险废物贮存库，</w:t>
            </w:r>
            <w:r>
              <w:rPr>
                <w:rFonts w:hint="default" w:ascii="Times New Roman" w:hAnsi="Times New Roman" w:cs="Times New Roman" w:eastAsiaTheme="minorEastAsia"/>
                <w:bCs/>
                <w:kern w:val="0"/>
                <w:sz w:val="21"/>
                <w:szCs w:val="21"/>
                <w:highlight w:val="none"/>
              </w:rPr>
              <w:t>定期委托</w:t>
            </w:r>
            <w:r>
              <w:rPr>
                <w:rFonts w:hint="eastAsia" w:ascii="Times New Roman" w:hAnsi="Times New Roman" w:cs="Times New Roman" w:eastAsiaTheme="minorEastAsia"/>
                <w:bCs/>
                <w:kern w:val="0"/>
                <w:sz w:val="21"/>
                <w:szCs w:val="21"/>
                <w:highlight w:val="none"/>
                <w:lang w:val="en-US" w:eastAsia="zh-CN"/>
              </w:rPr>
              <w:t>有资质单位</w:t>
            </w:r>
            <w:r>
              <w:rPr>
                <w:rFonts w:hint="eastAsia" w:ascii="Times New Roman" w:hAnsi="Times New Roman" w:cs="Times New Roman" w:eastAsiaTheme="minorEastAsia"/>
                <w:bCs/>
                <w:kern w:val="0"/>
                <w:sz w:val="21"/>
                <w:szCs w:val="21"/>
                <w:highlight w:val="none"/>
                <w:lang w:eastAsia="zh-CN"/>
              </w:rPr>
              <w:t>处置</w:t>
            </w:r>
          </w:p>
        </w:tc>
      </w:tr>
      <w:tr w14:paraId="4B0DC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101208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p>
        </w:tc>
        <w:tc>
          <w:tcPr>
            <w:tcW w:w="0" w:type="auto"/>
            <w:shd w:val="clear" w:color="auto" w:fill="auto"/>
            <w:vAlign w:val="center"/>
          </w:tcPr>
          <w:p w14:paraId="11EAC67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eastAsia="zh-CN"/>
              </w:rPr>
              <w:t>脱油铝屑</w:t>
            </w:r>
          </w:p>
        </w:tc>
        <w:tc>
          <w:tcPr>
            <w:tcW w:w="0" w:type="auto"/>
            <w:vAlign w:val="center"/>
          </w:tcPr>
          <w:p w14:paraId="4766A56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rPr>
              <w:t>HW08</w:t>
            </w:r>
          </w:p>
        </w:tc>
        <w:tc>
          <w:tcPr>
            <w:tcW w:w="0" w:type="auto"/>
            <w:vAlign w:val="center"/>
          </w:tcPr>
          <w:p w14:paraId="5F50621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rPr>
              <w:t>900-249-08</w:t>
            </w:r>
          </w:p>
        </w:tc>
        <w:tc>
          <w:tcPr>
            <w:tcW w:w="0" w:type="auto"/>
            <w:shd w:val="clear" w:color="auto" w:fill="auto"/>
            <w:vAlign w:val="center"/>
          </w:tcPr>
          <w:p w14:paraId="17EB180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470</w:t>
            </w:r>
          </w:p>
        </w:tc>
        <w:tc>
          <w:tcPr>
            <w:tcW w:w="0" w:type="auto"/>
            <w:vAlign w:val="center"/>
          </w:tcPr>
          <w:p w14:paraId="2C75A01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甩干</w:t>
            </w:r>
          </w:p>
        </w:tc>
        <w:tc>
          <w:tcPr>
            <w:tcW w:w="0" w:type="auto"/>
            <w:vAlign w:val="center"/>
          </w:tcPr>
          <w:p w14:paraId="0D19A3C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固态</w:t>
            </w:r>
          </w:p>
        </w:tc>
        <w:tc>
          <w:tcPr>
            <w:tcW w:w="0" w:type="auto"/>
            <w:vAlign w:val="center"/>
          </w:tcPr>
          <w:p w14:paraId="39DB118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铝</w:t>
            </w:r>
          </w:p>
        </w:tc>
        <w:tc>
          <w:tcPr>
            <w:tcW w:w="0" w:type="auto"/>
            <w:vAlign w:val="center"/>
          </w:tcPr>
          <w:p w14:paraId="0925B6C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有机物</w:t>
            </w:r>
          </w:p>
        </w:tc>
        <w:tc>
          <w:tcPr>
            <w:tcW w:w="0" w:type="auto"/>
            <w:vAlign w:val="center"/>
          </w:tcPr>
          <w:p w14:paraId="4EE627B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1m</w:t>
            </w:r>
          </w:p>
        </w:tc>
        <w:tc>
          <w:tcPr>
            <w:tcW w:w="0" w:type="auto"/>
            <w:vAlign w:val="center"/>
          </w:tcPr>
          <w:p w14:paraId="5D1BEB2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T，I</w:t>
            </w:r>
          </w:p>
        </w:tc>
        <w:tc>
          <w:tcPr>
            <w:tcW w:w="0" w:type="auto"/>
            <w:vAlign w:val="center"/>
          </w:tcPr>
          <w:p w14:paraId="5CFF9D1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暂存于危险废物贮存库，</w:t>
            </w:r>
            <w:r>
              <w:rPr>
                <w:rFonts w:hint="default" w:ascii="Times New Roman" w:hAnsi="Times New Roman" w:cs="Times New Roman" w:eastAsiaTheme="minorEastAsia"/>
                <w:bCs/>
                <w:kern w:val="0"/>
                <w:sz w:val="21"/>
                <w:szCs w:val="21"/>
                <w:highlight w:val="none"/>
              </w:rPr>
              <w:t>定期委托</w:t>
            </w:r>
            <w:r>
              <w:rPr>
                <w:rFonts w:hint="eastAsia" w:ascii="Times New Roman" w:hAnsi="Times New Roman" w:cs="Times New Roman" w:eastAsiaTheme="minorEastAsia"/>
                <w:bCs/>
                <w:kern w:val="0"/>
                <w:sz w:val="21"/>
                <w:szCs w:val="21"/>
                <w:highlight w:val="none"/>
                <w:lang w:val="en-US" w:eastAsia="zh-CN"/>
              </w:rPr>
              <w:t>有资质单位</w:t>
            </w:r>
            <w:r>
              <w:rPr>
                <w:rFonts w:hint="eastAsia" w:ascii="Times New Roman" w:hAnsi="Times New Roman" w:cs="Times New Roman" w:eastAsiaTheme="minorEastAsia"/>
                <w:bCs/>
                <w:kern w:val="0"/>
                <w:sz w:val="21"/>
                <w:szCs w:val="21"/>
                <w:highlight w:val="none"/>
                <w:lang w:eastAsia="zh-CN"/>
              </w:rPr>
              <w:t>处置</w:t>
            </w:r>
          </w:p>
        </w:tc>
      </w:tr>
      <w:tr w14:paraId="78A1A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7F4AAF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p>
        </w:tc>
        <w:tc>
          <w:tcPr>
            <w:tcW w:w="0" w:type="auto"/>
            <w:shd w:val="clear" w:color="auto" w:fill="auto"/>
            <w:vAlign w:val="center"/>
          </w:tcPr>
          <w:p w14:paraId="757291A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废活性炭</w:t>
            </w:r>
          </w:p>
        </w:tc>
        <w:tc>
          <w:tcPr>
            <w:tcW w:w="0" w:type="auto"/>
            <w:vAlign w:val="center"/>
          </w:tcPr>
          <w:p w14:paraId="51FFCC0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HW49</w:t>
            </w:r>
          </w:p>
        </w:tc>
        <w:tc>
          <w:tcPr>
            <w:tcW w:w="0" w:type="auto"/>
            <w:vAlign w:val="center"/>
          </w:tcPr>
          <w:p w14:paraId="3B9F4A9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900-041-49</w:t>
            </w:r>
          </w:p>
        </w:tc>
        <w:tc>
          <w:tcPr>
            <w:tcW w:w="0" w:type="auto"/>
            <w:shd w:val="clear" w:color="auto" w:fill="auto"/>
            <w:vAlign w:val="center"/>
          </w:tcPr>
          <w:p w14:paraId="6B3E792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31.781</w:t>
            </w:r>
          </w:p>
        </w:tc>
        <w:tc>
          <w:tcPr>
            <w:tcW w:w="1297" w:type="dxa"/>
            <w:vAlign w:val="center"/>
          </w:tcPr>
          <w:p w14:paraId="0B450E1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活性炭吸附装置</w:t>
            </w:r>
          </w:p>
        </w:tc>
        <w:tc>
          <w:tcPr>
            <w:tcW w:w="0" w:type="auto"/>
            <w:vAlign w:val="center"/>
          </w:tcPr>
          <w:p w14:paraId="700A1F9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固态</w:t>
            </w:r>
          </w:p>
        </w:tc>
        <w:tc>
          <w:tcPr>
            <w:tcW w:w="0" w:type="auto"/>
            <w:vAlign w:val="center"/>
          </w:tcPr>
          <w:p w14:paraId="214CAD0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活性炭</w:t>
            </w:r>
          </w:p>
        </w:tc>
        <w:tc>
          <w:tcPr>
            <w:tcW w:w="0" w:type="auto"/>
            <w:vAlign w:val="center"/>
          </w:tcPr>
          <w:p w14:paraId="3F85D5B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有机物</w:t>
            </w:r>
          </w:p>
        </w:tc>
        <w:tc>
          <w:tcPr>
            <w:tcW w:w="0" w:type="auto"/>
            <w:vAlign w:val="center"/>
          </w:tcPr>
          <w:p w14:paraId="2EBC209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3m</w:t>
            </w:r>
          </w:p>
        </w:tc>
        <w:tc>
          <w:tcPr>
            <w:tcW w:w="0" w:type="auto"/>
            <w:vAlign w:val="center"/>
          </w:tcPr>
          <w:p w14:paraId="2C4ACA1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T</w:t>
            </w:r>
          </w:p>
        </w:tc>
        <w:tc>
          <w:tcPr>
            <w:tcW w:w="0" w:type="auto"/>
            <w:vAlign w:val="center"/>
          </w:tcPr>
          <w:p w14:paraId="5C6CEBA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暂存于危险废物贮存库，</w:t>
            </w:r>
            <w:r>
              <w:rPr>
                <w:rFonts w:hint="default" w:ascii="Times New Roman" w:hAnsi="Times New Roman" w:cs="Times New Roman" w:eastAsiaTheme="minorEastAsia"/>
                <w:bCs/>
                <w:kern w:val="0"/>
                <w:sz w:val="21"/>
                <w:szCs w:val="21"/>
                <w:highlight w:val="none"/>
              </w:rPr>
              <w:t>定期委托</w:t>
            </w:r>
            <w:r>
              <w:rPr>
                <w:rFonts w:hint="eastAsia" w:ascii="Times New Roman" w:hAnsi="Times New Roman" w:cs="Times New Roman" w:eastAsiaTheme="minorEastAsia"/>
                <w:bCs/>
                <w:kern w:val="0"/>
                <w:sz w:val="21"/>
                <w:szCs w:val="21"/>
                <w:highlight w:val="none"/>
                <w:lang w:val="en-US" w:eastAsia="zh-CN"/>
              </w:rPr>
              <w:t>有资质单位</w:t>
            </w:r>
            <w:r>
              <w:rPr>
                <w:rFonts w:hint="eastAsia" w:ascii="Times New Roman" w:hAnsi="Times New Roman" w:cs="Times New Roman" w:eastAsiaTheme="minorEastAsia"/>
                <w:bCs/>
                <w:kern w:val="0"/>
                <w:sz w:val="21"/>
                <w:szCs w:val="21"/>
                <w:highlight w:val="none"/>
                <w:lang w:eastAsia="zh-CN"/>
              </w:rPr>
              <w:t>处置</w:t>
            </w:r>
          </w:p>
        </w:tc>
      </w:tr>
      <w:tr w14:paraId="5D97E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7E1465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p>
        </w:tc>
        <w:tc>
          <w:tcPr>
            <w:tcW w:w="0" w:type="auto"/>
            <w:shd w:val="clear" w:color="auto" w:fill="auto"/>
            <w:vAlign w:val="center"/>
          </w:tcPr>
          <w:p w14:paraId="31DF911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废过滤材料</w:t>
            </w:r>
          </w:p>
        </w:tc>
        <w:tc>
          <w:tcPr>
            <w:tcW w:w="0" w:type="auto"/>
            <w:vAlign w:val="center"/>
          </w:tcPr>
          <w:p w14:paraId="78A4470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HW49</w:t>
            </w:r>
          </w:p>
        </w:tc>
        <w:tc>
          <w:tcPr>
            <w:tcW w:w="0" w:type="auto"/>
            <w:vAlign w:val="center"/>
          </w:tcPr>
          <w:p w14:paraId="55F94C0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900-041-49</w:t>
            </w:r>
          </w:p>
        </w:tc>
        <w:tc>
          <w:tcPr>
            <w:tcW w:w="0" w:type="auto"/>
            <w:shd w:val="clear" w:color="auto" w:fill="auto"/>
            <w:vAlign w:val="center"/>
          </w:tcPr>
          <w:p w14:paraId="6B95917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2</w:t>
            </w:r>
          </w:p>
        </w:tc>
        <w:tc>
          <w:tcPr>
            <w:tcW w:w="1297" w:type="dxa"/>
            <w:vAlign w:val="center"/>
          </w:tcPr>
          <w:p w14:paraId="4B8C73B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油雾净化器</w:t>
            </w:r>
          </w:p>
        </w:tc>
        <w:tc>
          <w:tcPr>
            <w:tcW w:w="0" w:type="auto"/>
            <w:vAlign w:val="center"/>
          </w:tcPr>
          <w:p w14:paraId="06E91F9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固态</w:t>
            </w:r>
          </w:p>
        </w:tc>
        <w:tc>
          <w:tcPr>
            <w:tcW w:w="0" w:type="auto"/>
            <w:vAlign w:val="center"/>
          </w:tcPr>
          <w:p w14:paraId="6850FB0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矿物油</w:t>
            </w:r>
          </w:p>
        </w:tc>
        <w:tc>
          <w:tcPr>
            <w:tcW w:w="0" w:type="auto"/>
            <w:vAlign w:val="center"/>
          </w:tcPr>
          <w:p w14:paraId="37287F7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有机物</w:t>
            </w:r>
          </w:p>
        </w:tc>
        <w:tc>
          <w:tcPr>
            <w:tcW w:w="0" w:type="auto"/>
            <w:vAlign w:val="center"/>
          </w:tcPr>
          <w:p w14:paraId="5E95EDD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3m</w:t>
            </w:r>
          </w:p>
        </w:tc>
        <w:tc>
          <w:tcPr>
            <w:tcW w:w="0" w:type="auto"/>
            <w:vAlign w:val="center"/>
          </w:tcPr>
          <w:p w14:paraId="290E759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T</w:t>
            </w:r>
          </w:p>
        </w:tc>
        <w:tc>
          <w:tcPr>
            <w:tcW w:w="0" w:type="auto"/>
            <w:vAlign w:val="center"/>
          </w:tcPr>
          <w:p w14:paraId="2B1A23C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暂存于危险废物贮存库，</w:t>
            </w:r>
            <w:r>
              <w:rPr>
                <w:rFonts w:hint="default" w:ascii="Times New Roman" w:hAnsi="Times New Roman" w:cs="Times New Roman" w:eastAsiaTheme="minorEastAsia"/>
                <w:bCs/>
                <w:kern w:val="0"/>
                <w:sz w:val="21"/>
                <w:szCs w:val="21"/>
                <w:highlight w:val="none"/>
              </w:rPr>
              <w:t>定期委托</w:t>
            </w:r>
            <w:r>
              <w:rPr>
                <w:rFonts w:hint="eastAsia" w:ascii="Times New Roman" w:hAnsi="Times New Roman" w:cs="Times New Roman" w:eastAsiaTheme="minorEastAsia"/>
                <w:bCs/>
                <w:kern w:val="0"/>
                <w:sz w:val="21"/>
                <w:szCs w:val="21"/>
                <w:highlight w:val="none"/>
                <w:lang w:val="en-US" w:eastAsia="zh-CN"/>
              </w:rPr>
              <w:t>有资质单位</w:t>
            </w:r>
            <w:r>
              <w:rPr>
                <w:rFonts w:hint="eastAsia" w:ascii="Times New Roman" w:hAnsi="Times New Roman" w:cs="Times New Roman" w:eastAsiaTheme="minorEastAsia"/>
                <w:bCs/>
                <w:kern w:val="0"/>
                <w:sz w:val="21"/>
                <w:szCs w:val="21"/>
                <w:highlight w:val="none"/>
                <w:lang w:eastAsia="zh-CN"/>
              </w:rPr>
              <w:t>处置</w:t>
            </w:r>
          </w:p>
        </w:tc>
      </w:tr>
      <w:tr w14:paraId="53E7B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CEED4E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p>
        </w:tc>
        <w:tc>
          <w:tcPr>
            <w:tcW w:w="0" w:type="auto"/>
            <w:shd w:val="clear" w:color="auto" w:fill="auto"/>
            <w:vAlign w:val="center"/>
          </w:tcPr>
          <w:p w14:paraId="38977E3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废电解液和电池</w:t>
            </w:r>
          </w:p>
        </w:tc>
        <w:tc>
          <w:tcPr>
            <w:tcW w:w="0" w:type="auto"/>
            <w:vAlign w:val="center"/>
          </w:tcPr>
          <w:p w14:paraId="30938B8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HW49</w:t>
            </w:r>
          </w:p>
        </w:tc>
        <w:tc>
          <w:tcPr>
            <w:tcW w:w="0" w:type="auto"/>
            <w:vAlign w:val="center"/>
          </w:tcPr>
          <w:p w14:paraId="0CDC032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default" w:ascii="Times New Roman" w:hAnsi="Times New Roman" w:cs="Times New Roman" w:eastAsiaTheme="minorEastAsia"/>
                <w:bCs/>
                <w:kern w:val="0"/>
                <w:sz w:val="21"/>
                <w:szCs w:val="21"/>
                <w:highlight w:val="none"/>
                <w:lang w:val="en-US" w:eastAsia="zh-CN"/>
              </w:rPr>
              <w:t>900-045-49</w:t>
            </w:r>
          </w:p>
        </w:tc>
        <w:tc>
          <w:tcPr>
            <w:tcW w:w="0" w:type="auto"/>
            <w:shd w:val="clear" w:color="auto" w:fill="auto"/>
            <w:vAlign w:val="center"/>
          </w:tcPr>
          <w:p w14:paraId="0919BBC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0.3</w:t>
            </w:r>
          </w:p>
        </w:tc>
        <w:tc>
          <w:tcPr>
            <w:tcW w:w="1297" w:type="dxa"/>
            <w:vAlign w:val="center"/>
          </w:tcPr>
          <w:p w14:paraId="620EA99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收集贮存</w:t>
            </w:r>
          </w:p>
        </w:tc>
        <w:tc>
          <w:tcPr>
            <w:tcW w:w="0" w:type="auto"/>
            <w:vAlign w:val="center"/>
          </w:tcPr>
          <w:p w14:paraId="3F0128B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固态、液态</w:t>
            </w:r>
          </w:p>
        </w:tc>
        <w:tc>
          <w:tcPr>
            <w:tcW w:w="0" w:type="auto"/>
            <w:vAlign w:val="center"/>
          </w:tcPr>
          <w:p w14:paraId="368A52C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电解液</w:t>
            </w:r>
          </w:p>
        </w:tc>
        <w:tc>
          <w:tcPr>
            <w:tcW w:w="0" w:type="auto"/>
            <w:vAlign w:val="center"/>
          </w:tcPr>
          <w:p w14:paraId="6C1E93A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有机物</w:t>
            </w:r>
          </w:p>
        </w:tc>
        <w:tc>
          <w:tcPr>
            <w:tcW w:w="0" w:type="auto"/>
            <w:vAlign w:val="center"/>
          </w:tcPr>
          <w:p w14:paraId="0ED122B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1a</w:t>
            </w:r>
          </w:p>
        </w:tc>
        <w:tc>
          <w:tcPr>
            <w:tcW w:w="0" w:type="auto"/>
            <w:vAlign w:val="center"/>
          </w:tcPr>
          <w:p w14:paraId="59A793A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T</w:t>
            </w:r>
          </w:p>
        </w:tc>
        <w:tc>
          <w:tcPr>
            <w:tcW w:w="0" w:type="auto"/>
            <w:vAlign w:val="center"/>
          </w:tcPr>
          <w:p w14:paraId="0FE9617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eastAsiaTheme="minorEastAsia"/>
                <w:bCs/>
                <w:kern w:val="0"/>
                <w:sz w:val="21"/>
                <w:szCs w:val="21"/>
                <w:highlight w:val="none"/>
                <w:lang w:val="en-US" w:eastAsia="zh-CN"/>
              </w:rPr>
              <w:t>暂存于危险废物贮存库，</w:t>
            </w:r>
            <w:r>
              <w:rPr>
                <w:rFonts w:hint="default" w:ascii="Times New Roman" w:hAnsi="Times New Roman" w:cs="Times New Roman" w:eastAsiaTheme="minorEastAsia"/>
                <w:bCs/>
                <w:kern w:val="0"/>
                <w:sz w:val="21"/>
                <w:szCs w:val="21"/>
                <w:highlight w:val="none"/>
              </w:rPr>
              <w:t>定期委托</w:t>
            </w:r>
            <w:r>
              <w:rPr>
                <w:rFonts w:hint="eastAsia" w:ascii="Times New Roman" w:hAnsi="Times New Roman" w:cs="Times New Roman" w:eastAsiaTheme="minorEastAsia"/>
                <w:bCs/>
                <w:kern w:val="0"/>
                <w:sz w:val="21"/>
                <w:szCs w:val="21"/>
                <w:highlight w:val="none"/>
                <w:lang w:val="en-US" w:eastAsia="zh-CN"/>
              </w:rPr>
              <w:t>有资质单位</w:t>
            </w:r>
            <w:r>
              <w:rPr>
                <w:rFonts w:hint="eastAsia" w:ascii="Times New Roman" w:hAnsi="Times New Roman" w:cs="Times New Roman" w:eastAsiaTheme="minorEastAsia"/>
                <w:bCs/>
                <w:kern w:val="0"/>
                <w:sz w:val="21"/>
                <w:szCs w:val="21"/>
                <w:highlight w:val="none"/>
                <w:lang w:eastAsia="zh-CN"/>
              </w:rPr>
              <w:t>处置</w:t>
            </w:r>
          </w:p>
        </w:tc>
      </w:tr>
    </w:tbl>
    <w:p w14:paraId="43453D92">
      <w:pPr>
        <w:spacing w:line="360" w:lineRule="auto"/>
        <w:ind w:left="0" w:leftChars="0" w:firstLine="0" w:firstLineChars="0"/>
        <w:contextualSpacing/>
        <w:rPr>
          <w:rFonts w:eastAsiaTheme="minorEastAsia"/>
          <w:sz w:val="24"/>
          <w:highlight w:val="none"/>
        </w:rPr>
        <w:sectPr>
          <w:headerReference r:id="rId16" w:type="default"/>
          <w:pgSz w:w="16838" w:h="11906" w:orient="landscape"/>
          <w:pgMar w:top="1800" w:right="1440" w:bottom="1800" w:left="1440" w:header="851" w:footer="992" w:gutter="0"/>
          <w:pgBorders w:offsetFrom="page">
            <w:top w:val="none" w:sz="0" w:space="0"/>
            <w:left w:val="none" w:sz="0" w:space="0"/>
            <w:bottom w:val="none" w:sz="0" w:space="0"/>
            <w:right w:val="none" w:sz="0" w:space="0"/>
          </w:pgBorders>
          <w:cols w:space="425" w:num="1"/>
          <w:docGrid w:type="lines" w:linePitch="312" w:charSpace="0"/>
        </w:sectPr>
      </w:pPr>
    </w:p>
    <w:p w14:paraId="7E2E16C9">
      <w:pPr>
        <w:pStyle w:val="6"/>
        <w:bidi w:val="0"/>
        <w:rPr>
          <w:highlight w:val="none"/>
        </w:rPr>
      </w:pPr>
      <w:r>
        <w:rPr>
          <w:highlight w:val="none"/>
        </w:rPr>
        <w:t>3.</w:t>
      </w:r>
      <w:r>
        <w:rPr>
          <w:rFonts w:hint="eastAsia"/>
          <w:highlight w:val="none"/>
          <w:lang w:val="en-US" w:eastAsia="zh-CN"/>
        </w:rPr>
        <w:t>3</w:t>
      </w:r>
      <w:r>
        <w:rPr>
          <w:highlight w:val="none"/>
        </w:rPr>
        <w:t>.2.5地下水</w:t>
      </w:r>
    </w:p>
    <w:p w14:paraId="0447788D">
      <w:pPr>
        <w:bidi w:val="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污染源强识别</w:t>
      </w:r>
    </w:p>
    <w:p w14:paraId="465F0067">
      <w:pPr>
        <w:bidi w:val="0"/>
        <w:rPr>
          <w:highlight w:val="none"/>
        </w:rPr>
      </w:pPr>
      <w:r>
        <w:rPr>
          <w:highlight w:val="none"/>
        </w:rPr>
        <w:t>本项目</w:t>
      </w:r>
      <w:r>
        <w:rPr>
          <w:rFonts w:hint="eastAsia"/>
          <w:highlight w:val="none"/>
          <w:lang w:val="en-US" w:eastAsia="zh-CN"/>
        </w:rPr>
        <w:t>含油金属屑原料贮存区</w:t>
      </w:r>
      <w:r>
        <w:rPr>
          <w:rFonts w:hint="default"/>
          <w:highlight w:val="none"/>
          <w:lang w:val="en-US" w:eastAsia="zh-CN"/>
        </w:rPr>
        <w:t>、</w:t>
      </w:r>
      <w:r>
        <w:rPr>
          <w:rFonts w:hint="eastAsia"/>
          <w:highlight w:val="none"/>
          <w:lang w:val="en-US" w:eastAsia="zh-CN"/>
        </w:rPr>
        <w:t>2#厂房机械加工使用切削液、机油等会</w:t>
      </w:r>
      <w:r>
        <w:rPr>
          <w:highlight w:val="none"/>
        </w:rPr>
        <w:t>对地下水产生影响</w:t>
      </w:r>
      <w:r>
        <w:rPr>
          <w:rFonts w:hint="eastAsia"/>
          <w:highlight w:val="none"/>
          <w:lang w:eastAsia="zh-CN"/>
        </w:rPr>
        <w:t>；</w:t>
      </w:r>
      <w:r>
        <w:rPr>
          <w:rFonts w:hint="eastAsia"/>
          <w:highlight w:val="none"/>
          <w:lang w:val="en-US" w:eastAsia="zh-CN"/>
        </w:rPr>
        <w:t>由于</w:t>
      </w:r>
      <w:r>
        <w:rPr>
          <w:rFonts w:hint="eastAsia"/>
          <w:kern w:val="24"/>
          <w:sz w:val="24"/>
          <w:szCs w:val="24"/>
          <w:highlight w:val="none"/>
          <w:lang w:val="en-US" w:eastAsia="zh-CN"/>
        </w:rPr>
        <w:t>4#厂房污水</w:t>
      </w:r>
      <w:r>
        <w:rPr>
          <w:rFonts w:hint="eastAsia" w:ascii="Times New Roman" w:hAnsi="Times New Roman"/>
          <w:kern w:val="24"/>
          <w:sz w:val="24"/>
          <w:szCs w:val="24"/>
          <w:highlight w:val="none"/>
        </w:rPr>
        <w:t>处理站</w:t>
      </w:r>
      <w:r>
        <w:rPr>
          <w:rFonts w:hint="eastAsia" w:ascii="Times New Roman" w:hAnsi="Times New Roman"/>
          <w:kern w:val="24"/>
          <w:sz w:val="24"/>
          <w:szCs w:val="24"/>
          <w:highlight w:val="none"/>
          <w:lang w:val="en-US" w:eastAsia="zh-CN"/>
        </w:rPr>
        <w:t>已进行防渗，</w:t>
      </w:r>
      <w:r>
        <w:rPr>
          <w:rFonts w:hint="default" w:ascii="Times New Roman" w:hAnsi="Times New Roman" w:eastAsia="宋体" w:cs="Times New Roman"/>
          <w:color w:val="auto"/>
          <w:sz w:val="24"/>
          <w:szCs w:val="24"/>
          <w:highlight w:val="none"/>
        </w:rPr>
        <w:t>以结构防渗为主，</w:t>
      </w:r>
      <w:r>
        <w:rPr>
          <w:rFonts w:hint="default" w:ascii="Times New Roman" w:hAnsi="Times New Roman" w:cs="Times New Roman"/>
          <w:color w:val="auto"/>
          <w:sz w:val="24"/>
          <w:szCs w:val="24"/>
          <w:highlight w:val="none"/>
        </w:rPr>
        <w:t>天然材料衬层经机械压实后</w:t>
      </w:r>
      <w:r>
        <w:rPr>
          <w:rFonts w:hint="eastAsia" w:ascii="Times New Roman" w:hAnsi="Times New Roman" w:cs="Times New Roman"/>
          <w:color w:val="auto"/>
          <w:sz w:val="24"/>
          <w:szCs w:val="24"/>
          <w:highlight w:val="none"/>
          <w:lang w:val="en-US" w:eastAsia="zh-CN"/>
        </w:rPr>
        <w:t>粘土层厚度不小于</w:t>
      </w:r>
      <w:r>
        <w:rPr>
          <w:rFonts w:hint="eastAsia" w:ascii="Times New Roman" w:hAnsi="Times New Roman" w:cs="Times New Roman"/>
          <w:b w:val="0"/>
          <w:bCs/>
          <w:color w:val="auto"/>
          <w:sz w:val="24"/>
          <w:szCs w:val="24"/>
          <w:highlight w:val="none"/>
          <w:lang w:val="en-US" w:eastAsia="zh-CN"/>
        </w:rPr>
        <w:t>1.0m</w:t>
      </w:r>
      <w:r>
        <w:rPr>
          <w:rFonts w:hint="default" w:ascii="Times New Roman" w:hAnsi="Times New Roman" w:eastAsia="宋体" w:cs="Times New Roman"/>
          <w:b w:val="0"/>
          <w:bCs/>
          <w:color w:val="auto"/>
          <w:kern w:val="21"/>
          <w:sz w:val="24"/>
          <w:szCs w:val="24"/>
          <w:highlight w:val="none"/>
        </w:rPr>
        <w:t>+</w:t>
      </w:r>
      <w:r>
        <w:rPr>
          <w:rFonts w:hint="eastAsia" w:ascii="Times New Roman" w:hAnsi="Times New Roman" w:cs="Times New Roman"/>
          <w:b w:val="0"/>
          <w:bCs/>
          <w:color w:val="auto"/>
          <w:kern w:val="21"/>
          <w:sz w:val="24"/>
          <w:szCs w:val="24"/>
          <w:highlight w:val="none"/>
          <w:lang w:eastAsia="zh-CN"/>
        </w:rPr>
        <w:t>不小于</w:t>
      </w:r>
      <w:r>
        <w:rPr>
          <w:rFonts w:hint="default" w:ascii="Times New Roman" w:hAnsi="Times New Roman" w:eastAsia="宋体" w:cs="Times New Roman"/>
          <w:b w:val="0"/>
          <w:bCs/>
          <w:color w:val="auto"/>
          <w:kern w:val="21"/>
          <w:sz w:val="24"/>
          <w:szCs w:val="24"/>
          <w:highlight w:val="none"/>
        </w:rPr>
        <w:t>2mmHDPE膜</w:t>
      </w:r>
      <w:r>
        <w:rPr>
          <w:rFonts w:hint="eastAsia" w:ascii="Times New Roman" w:hAnsi="Times New Roman" w:cs="Times New Roman"/>
          <w:b w:val="0"/>
          <w:bCs/>
          <w:color w:val="auto"/>
          <w:kern w:val="21"/>
          <w:sz w:val="24"/>
          <w:szCs w:val="24"/>
          <w:highlight w:val="none"/>
          <w:lang w:val="en-US" w:eastAsia="zh-CN"/>
        </w:rPr>
        <w:t>+</w:t>
      </w:r>
      <w:r>
        <w:rPr>
          <w:rFonts w:hint="default" w:ascii="Times New Roman" w:hAnsi="Times New Roman" w:eastAsia="宋体" w:cs="Times New Roman"/>
          <w:b w:val="0"/>
          <w:bCs/>
          <w:color w:val="auto"/>
          <w:kern w:val="21"/>
          <w:sz w:val="24"/>
          <w:szCs w:val="24"/>
          <w:highlight w:val="none"/>
        </w:rPr>
        <w:t>防渗水泥硬化</w:t>
      </w:r>
      <w:r>
        <w:rPr>
          <w:rFonts w:hint="default" w:ascii="Times New Roman" w:hAnsi="Times New Roman" w:cs="Times New Roman"/>
          <w:bCs/>
          <w:color w:val="auto"/>
          <w:sz w:val="24"/>
          <w:szCs w:val="24"/>
          <w:highlight w:val="none"/>
        </w:rPr>
        <w:t>，</w:t>
      </w:r>
      <w:r>
        <w:rPr>
          <w:rFonts w:hint="default" w:ascii="Times New Roman" w:hAnsi="Times New Roman" w:eastAsia="宋体" w:cs="Times New Roman"/>
          <w:color w:val="auto"/>
          <w:sz w:val="24"/>
          <w:szCs w:val="24"/>
          <w:highlight w:val="none"/>
        </w:rPr>
        <w:t>防渗</w:t>
      </w:r>
      <w:r>
        <w:rPr>
          <w:rFonts w:hint="eastAsia" w:ascii="Times New Roman" w:hAnsi="Times New Roman" w:eastAsia="宋体" w:cs="Times New Roman"/>
          <w:color w:val="auto"/>
          <w:sz w:val="24"/>
          <w:szCs w:val="24"/>
          <w:highlight w:val="none"/>
          <w:lang w:val="en-US" w:eastAsia="zh-CN"/>
        </w:rPr>
        <w:t>可满足</w:t>
      </w:r>
      <w:r>
        <w:rPr>
          <w:rFonts w:hint="default" w:ascii="Times New Roman" w:hAnsi="Times New Roman" w:eastAsia="宋体" w:cs="Times New Roman"/>
          <w:color w:val="auto"/>
          <w:sz w:val="24"/>
          <w:szCs w:val="24"/>
          <w:highlight w:val="none"/>
        </w:rPr>
        <w:t>等效黏土防渗层厚度Mb≥6.0m，渗透系数K≤1.0×10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储水池可兼做事故池，定期巡检管道，现有运行状况良好，风险防范措施可行，且</w:t>
      </w:r>
      <w:r>
        <w:rPr>
          <w:rFonts w:hint="eastAsia"/>
          <w:kern w:val="24"/>
          <w:sz w:val="24"/>
          <w:szCs w:val="24"/>
          <w:highlight w:val="none"/>
          <w:lang w:val="en-US" w:eastAsia="zh-CN"/>
        </w:rPr>
        <w:t>4#厂房污水</w:t>
      </w:r>
      <w:r>
        <w:rPr>
          <w:rFonts w:hint="eastAsia" w:ascii="Times New Roman" w:hAnsi="Times New Roman"/>
          <w:kern w:val="24"/>
          <w:sz w:val="24"/>
          <w:szCs w:val="24"/>
          <w:highlight w:val="none"/>
        </w:rPr>
        <w:t>处理</w:t>
      </w:r>
      <w:r>
        <w:rPr>
          <w:rFonts w:hint="eastAsia"/>
          <w:kern w:val="24"/>
          <w:sz w:val="24"/>
          <w:szCs w:val="24"/>
          <w:highlight w:val="none"/>
          <w:lang w:eastAsia="zh-CN"/>
        </w:rPr>
        <w:t>站</w:t>
      </w:r>
      <w:r>
        <w:rPr>
          <w:rFonts w:hint="eastAsia" w:ascii="Times New Roman" w:hAnsi="Times New Roman"/>
          <w:kern w:val="24"/>
          <w:sz w:val="24"/>
          <w:szCs w:val="24"/>
          <w:highlight w:val="none"/>
          <w:lang w:val="en-US" w:eastAsia="zh-CN"/>
        </w:rPr>
        <w:t>地下水渗漏情形已于《黑龙江省哈尔滨市平房区高效增程发动机生产线建设项目》中分析，故本项目不再重复分析该污水处理站渗漏情形</w:t>
      </w:r>
      <w:r>
        <w:rPr>
          <w:rFonts w:hint="eastAsia" w:ascii="Times New Roman" w:hAnsi="Times New Roman" w:eastAsia="宋体" w:cs="Times New Roman"/>
          <w:color w:val="auto"/>
          <w:sz w:val="24"/>
          <w:szCs w:val="24"/>
          <w:highlight w:val="none"/>
          <w:lang w:eastAsia="zh-CN"/>
        </w:rPr>
        <w:t>。</w:t>
      </w:r>
      <w:r>
        <w:rPr>
          <w:rFonts w:hint="eastAsia"/>
          <w:highlight w:val="none"/>
          <w:lang w:val="en-US" w:eastAsia="zh-CN"/>
        </w:rPr>
        <w:t>本项目机械加工设备均密闭，正常工况下切削液及机油泄漏可能性很小，且厂房地面已做防渗</w:t>
      </w:r>
      <w:r>
        <w:rPr>
          <w:highlight w:val="none"/>
        </w:rPr>
        <w:t>，</w:t>
      </w:r>
      <w:r>
        <w:rPr>
          <w:rFonts w:hint="eastAsia"/>
          <w:highlight w:val="none"/>
          <w:lang w:val="en-US" w:eastAsia="zh-CN"/>
        </w:rPr>
        <w:t>非正常工况时，设备损坏导致油类物质泄漏时，泄漏物较少，地面防渗可防止油类物质进入地下水。含油金属屑原料贮存区已做防渗硬化，含油金属屑直接堆存于其中，</w:t>
      </w:r>
      <w:r>
        <w:rPr>
          <w:rFonts w:hAnsi="宋体"/>
          <w:highlight w:val="none"/>
        </w:rPr>
        <w:t>因此本项目的预测时段确定为</w:t>
      </w:r>
      <w:r>
        <w:rPr>
          <w:rFonts w:hint="eastAsia" w:hAnsi="宋体"/>
          <w:highlight w:val="none"/>
        </w:rPr>
        <w:t>非正常工况</w:t>
      </w:r>
      <w:r>
        <w:rPr>
          <w:rFonts w:hint="eastAsia" w:hAnsi="宋体"/>
          <w:highlight w:val="none"/>
          <w:lang w:val="en-US" w:eastAsia="zh-CN"/>
        </w:rPr>
        <w:t>时</w:t>
      </w:r>
      <w:r>
        <w:rPr>
          <w:rFonts w:hint="eastAsia" w:hAnsi="宋体"/>
          <w:highlight w:val="none"/>
          <w:lang w:eastAsia="zh-CN"/>
        </w:rPr>
        <w:t>，</w:t>
      </w:r>
      <w:r>
        <w:rPr>
          <w:rFonts w:hAnsi="宋体"/>
          <w:highlight w:val="none"/>
        </w:rPr>
        <w:t>当因</w:t>
      </w:r>
      <w:r>
        <w:rPr>
          <w:rFonts w:hint="eastAsia"/>
          <w:highlight w:val="none"/>
          <w:lang w:val="en-US" w:eastAsia="zh-CN"/>
        </w:rPr>
        <w:t>含油金属屑原料贮存区防渗层</w:t>
      </w:r>
      <w:r>
        <w:rPr>
          <w:rFonts w:hAnsi="宋体"/>
          <w:highlight w:val="none"/>
        </w:rPr>
        <w:t>老旧腐蚀（20年以上的设备容易发生腐蚀）状态下可能造成油品泄漏，针对</w:t>
      </w:r>
      <w:r>
        <w:rPr>
          <w:rFonts w:hint="eastAsia" w:hAnsi="宋体"/>
          <w:highlight w:val="none"/>
        </w:rPr>
        <w:t>非正常工况</w:t>
      </w:r>
      <w:r>
        <w:rPr>
          <w:rFonts w:hAnsi="宋体"/>
          <w:highlight w:val="none"/>
        </w:rPr>
        <w:t>状态下进行地下水环境影响预测</w:t>
      </w:r>
      <w:r>
        <w:rPr>
          <w:rFonts w:hint="eastAsia"/>
          <w:highlight w:val="none"/>
          <w:lang w:val="zh-CN" w:eastAsia="zh-CN"/>
        </w:rPr>
        <w:t>。</w:t>
      </w:r>
    </w:p>
    <w:p w14:paraId="55F5EA74">
      <w:pPr>
        <w:bidi w:val="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源强确定过程</w:t>
      </w:r>
    </w:p>
    <w:p w14:paraId="2A93E2F9">
      <w:pPr>
        <w:keepNext w:val="0"/>
        <w:keepLines w:val="0"/>
        <w:widowControl/>
        <w:suppressLineNumbers w:val="0"/>
        <w:jc w:val="left"/>
        <w:rPr>
          <w:highlight w:val="none"/>
        </w:rPr>
      </w:pPr>
      <w:bookmarkStart w:id="259" w:name="_Toc74066093"/>
      <w:r>
        <w:rPr>
          <w:rFonts w:hint="eastAsia" w:ascii="宋体" w:hAnsi="宋体" w:eastAsia="宋体" w:cs="宋体"/>
          <w:color w:val="000000"/>
          <w:kern w:val="0"/>
          <w:sz w:val="24"/>
          <w:szCs w:val="24"/>
          <w:highlight w:val="none"/>
          <w:lang w:val="en-US" w:eastAsia="zh-CN" w:bidi="ar"/>
        </w:rPr>
        <w:t xml:space="preserve">非正常状况下，原料储存区底防渗土工膜破裂，同时防渗层破损，储存区底部油类物质进入地下水，对地下水造成影响； </w:t>
      </w:r>
    </w:p>
    <w:p w14:paraId="41D3E718">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根据</w:t>
      </w:r>
      <w:r>
        <w:rPr>
          <w:rFonts w:hint="default" w:ascii="Times New Roman" w:hAnsi="Times New Roman" w:eastAsia="宋体" w:cs="Times New Roman"/>
          <w:color w:val="000000"/>
          <w:kern w:val="0"/>
          <w:sz w:val="24"/>
          <w:szCs w:val="24"/>
          <w:highlight w:val="none"/>
          <w:lang w:val="en-US" w:eastAsia="zh-CN" w:bidi="ar"/>
        </w:rPr>
        <w:t>Paul R. Schroeder</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Tamsen S. Dozier</w:t>
      </w:r>
      <w:r>
        <w:rPr>
          <w:rFonts w:hint="eastAsia" w:ascii="宋体" w:hAnsi="宋体" w:eastAsia="宋体" w:cs="宋体"/>
          <w:color w:val="000000"/>
          <w:kern w:val="0"/>
          <w:sz w:val="24"/>
          <w:szCs w:val="24"/>
          <w:highlight w:val="none"/>
          <w:lang w:val="en-US" w:eastAsia="zh-CN" w:bidi="ar"/>
        </w:rPr>
        <w:t>等（</w:t>
      </w:r>
      <w:r>
        <w:rPr>
          <w:rFonts w:hint="default" w:ascii="Times New Roman" w:hAnsi="Times New Roman" w:eastAsia="宋体" w:cs="Times New Roman"/>
          <w:color w:val="000000"/>
          <w:kern w:val="0"/>
          <w:sz w:val="24"/>
          <w:szCs w:val="24"/>
          <w:highlight w:val="none"/>
          <w:lang w:val="en-US" w:eastAsia="zh-CN" w:bidi="ar"/>
        </w:rPr>
        <w:t>The Hydrologic Evaluation of LandfillPerformance(HELP) Model</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1994</w:t>
      </w:r>
      <w:r>
        <w:rPr>
          <w:rFonts w:hint="eastAsia" w:ascii="宋体" w:hAnsi="宋体" w:eastAsia="宋体" w:cs="宋体"/>
          <w:color w:val="000000"/>
          <w:kern w:val="0"/>
          <w:sz w:val="24"/>
          <w:szCs w:val="24"/>
          <w:highlight w:val="none"/>
          <w:lang w:val="en-US" w:eastAsia="zh-CN" w:bidi="ar"/>
        </w:rPr>
        <w:t>），当土工膜下覆粘土层渗透系数小于</w:t>
      </w:r>
      <w:r>
        <w:rPr>
          <w:rFonts w:hint="default" w:ascii="Times New Roman" w:hAnsi="Times New Roman" w:eastAsia="宋体" w:cs="Times New Roman"/>
          <w:color w:val="000000"/>
          <w:kern w:val="0"/>
          <w:sz w:val="24"/>
          <w:szCs w:val="24"/>
          <w:highlight w:val="none"/>
          <w:lang w:val="en-US" w:eastAsia="zh-CN" w:bidi="ar"/>
        </w:rPr>
        <w:t>10</w:t>
      </w:r>
      <w:r>
        <w:rPr>
          <w:rFonts w:hint="eastAsia" w:ascii="Times New Roman" w:hAnsi="Times New Roman" w:eastAsia="宋体" w:cs="Times New Roman"/>
          <w:color w:val="000000"/>
          <w:kern w:val="0"/>
          <w:sz w:val="24"/>
          <w:szCs w:val="24"/>
          <w:highlight w:val="none"/>
          <w:vertAlign w:val="superscript"/>
          <w:lang w:val="en-US" w:eastAsia="zh-CN" w:bidi="ar"/>
        </w:rPr>
        <w:t>-4</w:t>
      </w:r>
      <w:r>
        <w:rPr>
          <w:rFonts w:hint="default" w:ascii="Times New Roman" w:hAnsi="Times New Roman" w:eastAsia="宋体" w:cs="Times New Roman"/>
          <w:color w:val="000000"/>
          <w:kern w:val="0"/>
          <w:sz w:val="24"/>
          <w:szCs w:val="24"/>
          <w:highlight w:val="none"/>
          <w:lang w:val="en-US" w:eastAsia="zh-CN" w:bidi="ar"/>
        </w:rPr>
        <w:t>cm/s</w:t>
      </w:r>
      <w:r>
        <w:rPr>
          <w:rFonts w:hint="eastAsia" w:ascii="宋体" w:hAnsi="宋体" w:eastAsia="宋体" w:cs="宋体"/>
          <w:color w:val="000000"/>
          <w:kern w:val="0"/>
          <w:sz w:val="24"/>
          <w:szCs w:val="24"/>
          <w:highlight w:val="none"/>
          <w:lang w:val="en-US" w:eastAsia="zh-CN" w:bidi="ar"/>
        </w:rPr>
        <w:t>时，通过一个小孔的渗漏量</w:t>
      </w:r>
      <w:r>
        <w:rPr>
          <w:rFonts w:hint="eastAsia" w:ascii="Cambria Math" w:hAnsi="Cambria Math" w:eastAsia="Cambria Math" w:cs="Cambria Math"/>
          <w:color w:val="000000"/>
          <w:kern w:val="0"/>
          <w:sz w:val="24"/>
          <w:szCs w:val="24"/>
          <w:highlight w:val="none"/>
          <w:lang w:val="en-US" w:eastAsia="zh-CN" w:bidi="ar"/>
        </w:rPr>
        <w:t>qv</w:t>
      </w:r>
      <w:r>
        <w:rPr>
          <w:rFonts w:hint="eastAsia" w:ascii="宋体" w:hAnsi="宋体" w:eastAsia="宋体" w:cs="宋体"/>
          <w:color w:val="000000"/>
          <w:kern w:val="0"/>
          <w:sz w:val="24"/>
          <w:szCs w:val="24"/>
          <w:highlight w:val="none"/>
          <w:lang w:val="en-US" w:eastAsia="zh-CN" w:bidi="ar"/>
        </w:rPr>
        <w:t>通过如下经验公式计算：</w:t>
      </w:r>
    </w:p>
    <w:p w14:paraId="1CE9C9AD">
      <w:pPr>
        <w:widowControl/>
        <w:snapToGrid w:val="0"/>
        <w:spacing w:line="360" w:lineRule="auto"/>
        <w:ind w:firstLine="480" w:firstLineChars="200"/>
        <w:jc w:val="center"/>
        <w:textAlignment w:val="baseline"/>
        <w:rPr>
          <w:highlight w:val="none"/>
        </w:rPr>
      </w:pPr>
      <w:r>
        <w:rPr>
          <w:highlight w:val="none"/>
        </w:rPr>
        <w:drawing>
          <wp:inline distT="0" distB="0" distL="114300" distR="114300">
            <wp:extent cx="1771650" cy="352425"/>
            <wp:effectExtent l="0" t="0" r="0" b="952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28"/>
                    <a:stretch>
                      <a:fillRect/>
                    </a:stretch>
                  </pic:blipFill>
                  <pic:spPr>
                    <a:xfrm>
                      <a:off x="0" y="0"/>
                      <a:ext cx="1771650" cy="352425"/>
                    </a:xfrm>
                    <a:prstGeom prst="rect">
                      <a:avLst/>
                    </a:prstGeom>
                    <a:noFill/>
                    <a:ln>
                      <a:noFill/>
                    </a:ln>
                  </pic:spPr>
                </pic:pic>
              </a:graphicData>
            </a:graphic>
          </wp:inline>
        </w:drawing>
      </w:r>
    </w:p>
    <w:p w14:paraId="78C6560C">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式中：</w:t>
      </w:r>
      <w:r>
        <w:rPr>
          <w:rFonts w:hint="default" w:ascii="Times New Roman" w:hAnsi="Times New Roman" w:eastAsia="宋体" w:cs="Times New Roman"/>
          <w:color w:val="000000"/>
          <w:kern w:val="0"/>
          <w:sz w:val="24"/>
          <w:szCs w:val="24"/>
          <w:highlight w:val="none"/>
          <w:lang w:val="en-US" w:eastAsia="zh-CN" w:bidi="ar"/>
        </w:rPr>
        <w:t xml:space="preserve">a </w:t>
      </w:r>
      <w:r>
        <w:rPr>
          <w:rFonts w:hint="eastAsia" w:ascii="宋体" w:hAnsi="宋体" w:eastAsia="宋体" w:cs="宋体"/>
          <w:color w:val="000000"/>
          <w:kern w:val="0"/>
          <w:sz w:val="24"/>
          <w:szCs w:val="24"/>
          <w:highlight w:val="none"/>
          <w:lang w:val="en-US" w:eastAsia="zh-CN" w:bidi="ar"/>
        </w:rPr>
        <w:t>为破损小孔面积（</w:t>
      </w:r>
      <w:r>
        <w:rPr>
          <w:rFonts w:hint="default" w:ascii="Times New Roman" w:hAnsi="Times New Roman" w:eastAsia="宋体" w:cs="Times New Roman"/>
          <w:color w:val="000000"/>
          <w:kern w:val="0"/>
          <w:sz w:val="24"/>
          <w:szCs w:val="24"/>
          <w:highlight w:val="none"/>
          <w:lang w:val="en-US" w:eastAsia="zh-CN" w:bidi="ar"/>
        </w:rPr>
        <w:t>m</w:t>
      </w:r>
      <w:r>
        <w:rPr>
          <w:rFonts w:hint="eastAsia"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 xml:space="preserve">），孔径取 </w:t>
      </w:r>
      <w:r>
        <w:rPr>
          <w:rFonts w:hint="default" w:ascii="Times New Roman" w:hAnsi="Times New Roman" w:eastAsia="宋体" w:cs="Times New Roman"/>
          <w:color w:val="000000"/>
          <w:kern w:val="0"/>
          <w:sz w:val="24"/>
          <w:szCs w:val="24"/>
          <w:highlight w:val="none"/>
          <w:lang w:val="en-US" w:eastAsia="zh-CN" w:bidi="ar"/>
        </w:rPr>
        <w:t>10mm</w:t>
      </w:r>
      <w:r>
        <w:rPr>
          <w:rFonts w:hint="eastAsia" w:ascii="宋体" w:hAnsi="宋体" w:eastAsia="宋体" w:cs="宋体"/>
          <w:color w:val="000000"/>
          <w:kern w:val="0"/>
          <w:sz w:val="24"/>
          <w:szCs w:val="24"/>
          <w:highlight w:val="none"/>
          <w:lang w:val="en-US" w:eastAsia="zh-CN" w:bidi="ar"/>
        </w:rPr>
        <w:t xml:space="preserve">； </w:t>
      </w:r>
    </w:p>
    <w:p w14:paraId="1F900C66">
      <w:pPr>
        <w:keepNext w:val="0"/>
        <w:keepLines w:val="0"/>
        <w:pageBreakBefore w:val="0"/>
        <w:widowControl/>
        <w:suppressLineNumbers w:val="0"/>
        <w:kinsoku/>
        <w:wordWrap w:val="0"/>
        <w:overflowPunct/>
        <w:topLinePunct w:val="0"/>
        <w:autoSpaceDE/>
        <w:autoSpaceDN/>
        <w:bidi w:val="0"/>
        <w:adjustRightInd w:val="0"/>
        <w:snapToGrid w:val="0"/>
        <w:ind w:firstLine="1200" w:firstLineChars="500"/>
        <w:jc w:val="left"/>
        <w:textAlignment w:val="auto"/>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 xml:space="preserve">h </w:t>
      </w:r>
      <w:r>
        <w:rPr>
          <w:rFonts w:hint="eastAsia" w:ascii="宋体" w:hAnsi="宋体" w:eastAsia="宋体" w:cs="宋体"/>
          <w:color w:val="000000"/>
          <w:kern w:val="0"/>
          <w:sz w:val="24"/>
          <w:szCs w:val="24"/>
          <w:highlight w:val="none"/>
          <w:lang w:val="en-US" w:eastAsia="zh-CN" w:bidi="ar"/>
        </w:rPr>
        <w:t>为土</w:t>
      </w:r>
      <w:r>
        <w:rPr>
          <w:rFonts w:hint="default" w:ascii="Times New Roman" w:hAnsi="Times New Roman" w:eastAsia="宋体" w:cs="Times New Roman"/>
          <w:color w:val="000000"/>
          <w:kern w:val="0"/>
          <w:sz w:val="24"/>
          <w:szCs w:val="24"/>
          <w:highlight w:val="none"/>
          <w:lang w:val="en-US" w:eastAsia="zh-CN" w:bidi="ar"/>
        </w:rPr>
        <w:t xml:space="preserve">工膜上积水厚度（m），取0.1m； </w:t>
      </w:r>
    </w:p>
    <w:p w14:paraId="68C61ED9">
      <w:pPr>
        <w:keepNext w:val="0"/>
        <w:keepLines w:val="0"/>
        <w:pageBreakBefore w:val="0"/>
        <w:widowControl/>
        <w:suppressLineNumbers w:val="0"/>
        <w:kinsoku/>
        <w:wordWrap w:val="0"/>
        <w:overflowPunct/>
        <w:topLinePunct w:val="0"/>
        <w:autoSpaceDE/>
        <w:autoSpaceDN/>
        <w:bidi w:val="0"/>
        <w:adjustRightInd w:val="0"/>
        <w:snapToGrid w:val="0"/>
        <w:ind w:firstLine="1200" w:firstLineChars="500"/>
        <w:jc w:val="left"/>
        <w:textAlignment w:val="auto"/>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K</w:t>
      </w:r>
      <w:r>
        <w:rPr>
          <w:rFonts w:hint="default" w:ascii="Times New Roman" w:hAnsi="Times New Roman" w:eastAsia="宋体" w:cs="Times New Roman"/>
          <w:color w:val="000000"/>
          <w:kern w:val="0"/>
          <w:sz w:val="15"/>
          <w:szCs w:val="15"/>
          <w:highlight w:val="none"/>
          <w:lang w:val="en-US" w:eastAsia="zh-CN" w:bidi="ar"/>
        </w:rPr>
        <w:t>c</w:t>
      </w:r>
      <w:r>
        <w:rPr>
          <w:rFonts w:hint="default" w:ascii="Times New Roman" w:hAnsi="Times New Roman" w:eastAsia="宋体" w:cs="Times New Roman"/>
          <w:color w:val="000000"/>
          <w:kern w:val="0"/>
          <w:sz w:val="24"/>
          <w:szCs w:val="24"/>
          <w:highlight w:val="none"/>
          <w:lang w:val="en-US" w:eastAsia="zh-CN" w:bidi="ar"/>
        </w:rPr>
        <w:t>为膜下0.3m厚压实粘土层渗透系数（m/s），取 10</w:t>
      </w:r>
      <w:r>
        <w:rPr>
          <w:rFonts w:hint="default" w:ascii="Times New Roman" w:hAnsi="Times New Roman" w:eastAsia="宋体" w:cs="Times New Roman"/>
          <w:color w:val="000000"/>
          <w:kern w:val="0"/>
          <w:sz w:val="24"/>
          <w:szCs w:val="24"/>
          <w:highlight w:val="none"/>
          <w:vertAlign w:val="superscript"/>
          <w:lang w:val="en-US" w:eastAsia="zh-CN" w:bidi="ar"/>
        </w:rPr>
        <w:t>-9</w:t>
      </w:r>
      <w:r>
        <w:rPr>
          <w:rFonts w:hint="default" w:ascii="Times New Roman" w:hAnsi="Times New Roman" w:eastAsia="宋体" w:cs="Times New Roman"/>
          <w:color w:val="000000"/>
          <w:kern w:val="0"/>
          <w:sz w:val="24"/>
          <w:szCs w:val="24"/>
          <w:highlight w:val="none"/>
          <w:lang w:val="en-US" w:eastAsia="zh-CN" w:bidi="ar"/>
        </w:rPr>
        <w:t xml:space="preserve">m/s。 </w:t>
      </w:r>
    </w:p>
    <w:p w14:paraId="2D93E566">
      <w:pPr>
        <w:keepNext w:val="0"/>
        <w:keepLines w:val="0"/>
        <w:widowControl/>
        <w:suppressLineNumbers w:val="0"/>
        <w:jc w:val="left"/>
        <w:rPr>
          <w:rFonts w:hint="default" w:ascii="Times New Roman" w:hAnsi="Times New Roman" w:cs="Times New Roman"/>
          <w:highlight w:val="none"/>
          <w:lang w:val="en-US"/>
        </w:rPr>
      </w:pPr>
      <w:r>
        <w:rPr>
          <w:rFonts w:hint="default" w:ascii="Times New Roman" w:hAnsi="Times New Roman" w:eastAsia="宋体" w:cs="Times New Roman"/>
          <w:color w:val="000000"/>
          <w:kern w:val="0"/>
          <w:sz w:val="24"/>
          <w:szCs w:val="24"/>
          <w:highlight w:val="none"/>
          <w:lang w:val="en-US" w:eastAsia="zh-CN" w:bidi="ar"/>
        </w:rPr>
        <w:t>则：q</w:t>
      </w:r>
      <w:r>
        <w:rPr>
          <w:rFonts w:hint="default" w:ascii="Times New Roman" w:hAnsi="Times New Roman" w:eastAsia="宋体" w:cs="Times New Roman"/>
          <w:color w:val="000000"/>
          <w:kern w:val="0"/>
          <w:sz w:val="15"/>
          <w:szCs w:val="15"/>
          <w:highlight w:val="none"/>
          <w:lang w:val="en-US" w:eastAsia="zh-CN" w:bidi="ar"/>
        </w:rPr>
        <w:t>v</w:t>
      </w:r>
      <w:r>
        <w:rPr>
          <w:rFonts w:hint="default" w:ascii="Times New Roman" w:hAnsi="Times New Roman" w:eastAsia="宋体" w:cs="Times New Roman"/>
          <w:color w:val="000000"/>
          <w:kern w:val="0"/>
          <w:sz w:val="24"/>
          <w:szCs w:val="24"/>
          <w:highlight w:val="none"/>
          <w:lang w:val="en-US" w:eastAsia="zh-CN" w:bidi="ar"/>
        </w:rPr>
        <w:t>=1.15×[3.14×（0.005）</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vertAlign w:val="superscript"/>
          <w:lang w:val="en-US" w:eastAsia="zh-CN" w:bidi="ar"/>
        </w:rPr>
        <w:t>0.1</w:t>
      </w:r>
      <w:r>
        <w:rPr>
          <w:rFonts w:hint="default" w:ascii="Times New Roman" w:hAnsi="Times New Roman" w:eastAsia="宋体" w:cs="Times New Roman"/>
          <w:color w:val="000000"/>
          <w:kern w:val="0"/>
          <w:sz w:val="24"/>
          <w:szCs w:val="24"/>
          <w:highlight w:val="none"/>
          <w:lang w:val="en-US" w:eastAsia="zh-CN" w:bidi="ar"/>
        </w:rPr>
        <w:t>×0.1</w:t>
      </w:r>
      <w:r>
        <w:rPr>
          <w:rFonts w:hint="default" w:ascii="Times New Roman" w:hAnsi="Times New Roman" w:eastAsia="宋体" w:cs="Times New Roman"/>
          <w:color w:val="000000"/>
          <w:kern w:val="0"/>
          <w:sz w:val="24"/>
          <w:szCs w:val="24"/>
          <w:highlight w:val="none"/>
          <w:vertAlign w:val="superscript"/>
          <w:lang w:val="en-US" w:eastAsia="zh-CN" w:bidi="ar"/>
        </w:rPr>
        <w:t>0.9</w:t>
      </w:r>
      <w:r>
        <w:rPr>
          <w:rFonts w:hint="default" w:ascii="Times New Roman" w:hAnsi="Times New Roman" w:eastAsia="宋体" w:cs="Times New Roman"/>
          <w:color w:val="000000"/>
          <w:kern w:val="0"/>
          <w:sz w:val="24"/>
          <w:szCs w:val="24"/>
          <w:highlight w:val="none"/>
          <w:lang w:val="en-US" w:eastAsia="zh-CN" w:bidi="ar"/>
        </w:rPr>
        <w:t>×（10</w:t>
      </w:r>
      <w:r>
        <w:rPr>
          <w:rFonts w:hint="default" w:ascii="Times New Roman" w:hAnsi="Times New Roman" w:eastAsia="宋体" w:cs="Times New Roman"/>
          <w:color w:val="000000"/>
          <w:kern w:val="0"/>
          <w:sz w:val="24"/>
          <w:szCs w:val="24"/>
          <w:highlight w:val="none"/>
          <w:vertAlign w:val="superscript"/>
          <w:lang w:val="en-US" w:eastAsia="zh-CN" w:bidi="ar"/>
        </w:rPr>
        <w:t>-9</w:t>
      </w: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vertAlign w:val="superscript"/>
          <w:lang w:val="en-US" w:eastAsia="zh-CN" w:bidi="ar"/>
        </w:rPr>
        <w:t>0.74</w:t>
      </w:r>
      <w:r>
        <w:rPr>
          <w:rFonts w:hint="default" w:ascii="Times New Roman" w:hAnsi="Times New Roman" w:eastAsia="宋体" w:cs="Times New Roman"/>
          <w:color w:val="000000"/>
          <w:kern w:val="0"/>
          <w:sz w:val="24"/>
          <w:szCs w:val="24"/>
          <w:highlight w:val="none"/>
          <w:lang w:val="en-US" w:eastAsia="zh-CN" w:bidi="ar"/>
        </w:rPr>
        <w:t>=0.0000000123m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w:t>
      </w:r>
    </w:p>
    <w:p w14:paraId="3FB25BC3">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基于中国环境科学研究院的调查数据，双人工衬层正常状况下每公顷土工膜按存在10个破损小孔计，原料储存区面积0.005公顷，则土工膜约有1个破损小孔；</w:t>
      </w:r>
      <w:r>
        <w:rPr>
          <w:rFonts w:hint="eastAsia" w:ascii="Times New Roman" w:hAnsi="Times New Roman" w:eastAsia="宋体" w:cs="Times New Roman"/>
          <w:color w:val="000000"/>
          <w:kern w:val="0"/>
          <w:sz w:val="24"/>
          <w:szCs w:val="24"/>
          <w:highlight w:val="none"/>
          <w:lang w:val="en-US" w:eastAsia="zh-CN" w:bidi="ar"/>
        </w:rPr>
        <w:t>则</w:t>
      </w:r>
      <w:r>
        <w:rPr>
          <w:rFonts w:hint="default" w:ascii="Times New Roman" w:hAnsi="Times New Roman" w:eastAsia="宋体" w:cs="Times New Roman"/>
          <w:color w:val="000000"/>
          <w:kern w:val="0"/>
          <w:sz w:val="24"/>
          <w:szCs w:val="24"/>
          <w:highlight w:val="none"/>
          <w:lang w:val="en-US" w:eastAsia="zh-CN" w:bidi="ar"/>
        </w:rPr>
        <w:t>通过土工膜的</w:t>
      </w:r>
      <w:r>
        <w:rPr>
          <w:rFonts w:hint="eastAsia" w:ascii="Times New Roman" w:hAnsi="Times New Roman" w:eastAsia="宋体" w:cs="Times New Roman"/>
          <w:color w:val="000000"/>
          <w:kern w:val="0"/>
          <w:sz w:val="24"/>
          <w:szCs w:val="24"/>
          <w:highlight w:val="none"/>
          <w:lang w:val="en-US" w:eastAsia="zh-CN" w:bidi="ar"/>
        </w:rPr>
        <w:t>含油物质</w:t>
      </w:r>
      <w:r>
        <w:rPr>
          <w:rFonts w:hint="default" w:ascii="Times New Roman" w:hAnsi="Times New Roman" w:eastAsia="宋体" w:cs="Times New Roman"/>
          <w:color w:val="000000"/>
          <w:kern w:val="0"/>
          <w:sz w:val="24"/>
          <w:szCs w:val="24"/>
          <w:highlight w:val="none"/>
          <w:lang w:val="en-US" w:eastAsia="zh-CN" w:bidi="ar"/>
        </w:rPr>
        <w:t>的量为</w:t>
      </w:r>
      <w:r>
        <w:rPr>
          <w:rFonts w:hint="eastAsia" w:ascii="Times New Roman" w:hAnsi="Times New Roman" w:eastAsia="宋体" w:cs="Times New Roman"/>
          <w:color w:val="000000"/>
          <w:kern w:val="0"/>
          <w:sz w:val="24"/>
          <w:szCs w:val="24"/>
          <w:highlight w:val="none"/>
          <w:lang w:val="en-US" w:eastAsia="zh-CN" w:bidi="ar"/>
        </w:rPr>
        <w:t>：</w:t>
      </w:r>
    </w:p>
    <w:p w14:paraId="173585D4">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Q</w:t>
      </w:r>
      <w:r>
        <w:rPr>
          <w:rFonts w:hint="default" w:ascii="Times New Roman" w:hAnsi="Times New Roman" w:eastAsia="宋体" w:cs="Times New Roman"/>
          <w:color w:val="000000"/>
          <w:kern w:val="0"/>
          <w:sz w:val="15"/>
          <w:szCs w:val="15"/>
          <w:highlight w:val="none"/>
          <w:lang w:val="en-US" w:eastAsia="zh-CN" w:bidi="ar"/>
        </w:rPr>
        <w:t>1</w:t>
      </w:r>
      <w:r>
        <w:rPr>
          <w:rFonts w:hint="default" w:ascii="Times New Roman" w:hAnsi="Times New Roman" w:eastAsia="宋体" w:cs="Times New Roman"/>
          <w:color w:val="000000"/>
          <w:kern w:val="0"/>
          <w:sz w:val="24"/>
          <w:szCs w:val="24"/>
          <w:highlight w:val="none"/>
          <w:lang w:val="en-US" w:eastAsia="zh-CN" w:bidi="ar"/>
        </w:rPr>
        <w:t>=1×0.0000000123×24×3600=0.001m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15"/>
          <w:szCs w:val="15"/>
          <w:highlight w:val="none"/>
          <w:lang w:val="en-US" w:eastAsia="zh-CN" w:bidi="ar"/>
        </w:rPr>
        <w:t xml:space="preserve"> </w:t>
      </w:r>
      <w:r>
        <w:rPr>
          <w:rFonts w:hint="default" w:ascii="Times New Roman" w:hAnsi="Times New Roman" w:eastAsia="宋体" w:cs="Times New Roman"/>
          <w:color w:val="000000"/>
          <w:kern w:val="0"/>
          <w:sz w:val="24"/>
          <w:szCs w:val="24"/>
          <w:highlight w:val="none"/>
          <w:lang w:val="en-US" w:eastAsia="zh-CN" w:bidi="ar"/>
        </w:rPr>
        <w:t xml:space="preserve">/d </w:t>
      </w:r>
    </w:p>
    <w:p w14:paraId="2CFC635A">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 xml:space="preserve">据统计，非正常状况下土工膜漏洞面积约为正常状况下土工膜漏洞面积的 </w:t>
      </w:r>
      <w:r>
        <w:rPr>
          <w:rFonts w:hint="default" w:ascii="Times New Roman" w:hAnsi="Times New Roman" w:eastAsia="宋体" w:cs="Times New Roman"/>
          <w:color w:val="000000"/>
          <w:kern w:val="0"/>
          <w:sz w:val="24"/>
          <w:szCs w:val="24"/>
          <w:highlight w:val="none"/>
          <w:lang w:val="en-US" w:eastAsia="zh-CN" w:bidi="ar"/>
        </w:rPr>
        <w:t xml:space="preserve">25 </w:t>
      </w:r>
      <w:r>
        <w:rPr>
          <w:rFonts w:hint="eastAsia" w:ascii="宋体" w:hAnsi="宋体" w:eastAsia="宋体" w:cs="宋体"/>
          <w:color w:val="000000"/>
          <w:kern w:val="0"/>
          <w:sz w:val="24"/>
          <w:szCs w:val="24"/>
          <w:highlight w:val="none"/>
          <w:lang w:val="en-US" w:eastAsia="zh-CN" w:bidi="ar"/>
        </w:rPr>
        <w:t xml:space="preserve">倍。 非正常状况下，原料贮存区渗漏量 </w:t>
      </w:r>
      <w:r>
        <w:rPr>
          <w:rFonts w:hint="default" w:ascii="Times New Roman" w:hAnsi="Times New Roman" w:eastAsia="宋体" w:cs="Times New Roman"/>
          <w:color w:val="000000"/>
          <w:kern w:val="0"/>
          <w:sz w:val="24"/>
          <w:szCs w:val="24"/>
          <w:highlight w:val="none"/>
          <w:lang w:val="en-US" w:eastAsia="zh-CN" w:bidi="ar"/>
        </w:rPr>
        <w:t>Q</w:t>
      </w:r>
      <w:r>
        <w:rPr>
          <w:rFonts w:hint="default" w:ascii="Times New Roman" w:hAnsi="Times New Roman" w:eastAsia="宋体" w:cs="Times New Roman"/>
          <w:color w:val="000000"/>
          <w:kern w:val="0"/>
          <w:sz w:val="15"/>
          <w:szCs w:val="15"/>
          <w:highlight w:val="none"/>
          <w:lang w:val="en-US" w:eastAsia="zh-CN" w:bidi="ar"/>
        </w:rPr>
        <w:t>2</w:t>
      </w:r>
      <w:r>
        <w:rPr>
          <w:rFonts w:hint="default" w:ascii="Times New Roman" w:hAnsi="Times New Roman" w:eastAsia="宋体" w:cs="Times New Roman"/>
          <w:color w:val="000000"/>
          <w:kern w:val="0"/>
          <w:sz w:val="24"/>
          <w:szCs w:val="24"/>
          <w:highlight w:val="none"/>
          <w:lang w:val="en-US" w:eastAsia="zh-CN" w:bidi="ar"/>
        </w:rPr>
        <w:t>=25×0.00</w:t>
      </w:r>
      <w:r>
        <w:rPr>
          <w:rFonts w:hint="eastAsia" w:ascii="Times New Roman" w:hAnsi="Times New Roman" w:eastAsia="宋体" w:cs="Times New Roman"/>
          <w:color w:val="000000"/>
          <w:kern w:val="0"/>
          <w:sz w:val="24"/>
          <w:szCs w:val="24"/>
          <w:highlight w:val="none"/>
          <w:lang w:val="en-US" w:eastAsia="zh-CN" w:bidi="ar"/>
        </w:rPr>
        <w:t>1</w:t>
      </w:r>
      <w:r>
        <w:rPr>
          <w:rFonts w:hint="default" w:ascii="Times New Roman" w:hAnsi="Times New Roman" w:eastAsia="宋体" w:cs="Times New Roman"/>
          <w:color w:val="000000"/>
          <w:kern w:val="0"/>
          <w:sz w:val="24"/>
          <w:szCs w:val="24"/>
          <w:highlight w:val="none"/>
          <w:lang w:val="en-US" w:eastAsia="zh-CN" w:bidi="ar"/>
        </w:rPr>
        <w:t>=0.</w:t>
      </w:r>
      <w:r>
        <w:rPr>
          <w:rFonts w:hint="eastAsia" w:ascii="Times New Roman" w:hAnsi="Times New Roman" w:eastAsia="宋体" w:cs="Times New Roman"/>
          <w:color w:val="000000"/>
          <w:kern w:val="0"/>
          <w:sz w:val="24"/>
          <w:szCs w:val="24"/>
          <w:highlight w:val="none"/>
          <w:lang w:val="en-US" w:eastAsia="zh-CN" w:bidi="ar"/>
        </w:rPr>
        <w:t>025</w:t>
      </w:r>
      <w:r>
        <w:rPr>
          <w:rFonts w:hint="default" w:ascii="Times New Roman" w:hAnsi="Times New Roman" w:eastAsia="宋体" w:cs="Times New Roman"/>
          <w:color w:val="000000"/>
          <w:kern w:val="0"/>
          <w:sz w:val="24"/>
          <w:szCs w:val="24"/>
          <w:highlight w:val="none"/>
          <w:lang w:val="en-US" w:eastAsia="zh-CN" w:bidi="ar"/>
        </w:rPr>
        <w:t>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15"/>
          <w:szCs w:val="15"/>
          <w:highlight w:val="none"/>
          <w:lang w:val="en-US" w:eastAsia="zh-CN" w:bidi="ar"/>
        </w:rPr>
        <w:t xml:space="preserve"> </w:t>
      </w:r>
      <w:r>
        <w:rPr>
          <w:rFonts w:hint="default" w:ascii="Times New Roman" w:hAnsi="Times New Roman" w:eastAsia="宋体" w:cs="Times New Roman"/>
          <w:color w:val="000000"/>
          <w:kern w:val="0"/>
          <w:sz w:val="24"/>
          <w:szCs w:val="24"/>
          <w:highlight w:val="none"/>
          <w:lang w:val="en-US" w:eastAsia="zh-CN" w:bidi="ar"/>
        </w:rPr>
        <w:t>/d</w:t>
      </w:r>
      <w:r>
        <w:rPr>
          <w:rFonts w:hint="eastAsia" w:ascii="宋体" w:hAnsi="宋体" w:eastAsia="宋体" w:cs="宋体"/>
          <w:color w:val="000000"/>
          <w:kern w:val="0"/>
          <w:sz w:val="24"/>
          <w:szCs w:val="24"/>
          <w:highlight w:val="none"/>
          <w:lang w:val="en-US" w:eastAsia="zh-CN" w:bidi="ar"/>
        </w:rPr>
        <w:t xml:space="preserve">。 </w:t>
      </w:r>
    </w:p>
    <w:p w14:paraId="27001948">
      <w:pPr>
        <w:keepNext w:val="0"/>
        <w:keepLines w:val="0"/>
        <w:widowControl/>
        <w:suppressLineNumbers w:val="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进入地下水中污染物的量见下表。</w:t>
      </w:r>
    </w:p>
    <w:p w14:paraId="72709E7C">
      <w:pPr>
        <w:pStyle w:val="7"/>
        <w:bidi w:val="0"/>
        <w:rPr>
          <w:rFonts w:hint="default"/>
          <w:highlight w:val="none"/>
          <w:lang w:val="en-US" w:eastAsia="zh-CN"/>
        </w:rPr>
      </w:pPr>
      <w:r>
        <w:rPr>
          <w:rFonts w:hint="eastAsia"/>
          <w:highlight w:val="none"/>
          <w:lang w:val="en-US" w:eastAsia="zh-CN"/>
        </w:rPr>
        <w:t>表3-3-9污染物泄漏量情况表</w:t>
      </w:r>
    </w:p>
    <w:tbl>
      <w:tblPr>
        <w:tblStyle w:val="7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30"/>
        <w:gridCol w:w="4376"/>
      </w:tblGrid>
      <w:tr w14:paraId="3FE6A7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30" w:type="dxa"/>
            <w:tcBorders>
              <w:tl2br w:val="nil"/>
              <w:tr2bl w:val="nil"/>
            </w:tcBorders>
            <w:vAlign w:val="center"/>
          </w:tcPr>
          <w:p w14:paraId="7C19ED05">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snapToGrid w:val="0"/>
                <w:color w:val="000000"/>
                <w:sz w:val="21"/>
                <w:szCs w:val="21"/>
                <w:highlight w:val="none"/>
              </w:rPr>
            </w:pPr>
            <w:r>
              <w:rPr>
                <w:rFonts w:hint="default"/>
                <w:snapToGrid w:val="0"/>
                <w:color w:val="000000"/>
                <w:spacing w:val="8"/>
                <w:sz w:val="21"/>
                <w:szCs w:val="21"/>
                <w:highlight w:val="none"/>
              </w:rPr>
              <w:t>特征污染物</w:t>
            </w:r>
          </w:p>
        </w:tc>
        <w:tc>
          <w:tcPr>
            <w:tcW w:w="4376" w:type="dxa"/>
            <w:tcBorders>
              <w:tl2br w:val="nil"/>
              <w:tr2bl w:val="nil"/>
            </w:tcBorders>
            <w:vAlign w:val="center"/>
          </w:tcPr>
          <w:p w14:paraId="33E6E0A4">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snapToGrid w:val="0"/>
                <w:color w:val="000000"/>
                <w:sz w:val="21"/>
                <w:szCs w:val="21"/>
                <w:highlight w:val="none"/>
                <w:lang w:eastAsia="zh-CN"/>
              </w:rPr>
            </w:pPr>
            <w:r>
              <w:rPr>
                <w:rFonts w:hint="eastAsia"/>
                <w:snapToGrid w:val="0"/>
                <w:color w:val="000000"/>
                <w:spacing w:val="4"/>
                <w:sz w:val="21"/>
                <w:szCs w:val="21"/>
                <w:highlight w:val="none"/>
                <w:lang w:val="en-US" w:eastAsia="zh-CN"/>
              </w:rPr>
              <w:t>石油类</w:t>
            </w:r>
          </w:p>
        </w:tc>
      </w:tr>
      <w:tr w14:paraId="1C5A40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30" w:type="dxa"/>
            <w:tcBorders>
              <w:tl2br w:val="nil"/>
              <w:tr2bl w:val="nil"/>
            </w:tcBorders>
            <w:vAlign w:val="center"/>
          </w:tcPr>
          <w:p w14:paraId="665FD9D9">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snapToGrid w:val="0"/>
                <w:color w:val="000000"/>
                <w:sz w:val="21"/>
                <w:szCs w:val="21"/>
                <w:highlight w:val="none"/>
              </w:rPr>
            </w:pPr>
            <w:r>
              <w:rPr>
                <w:rFonts w:hint="default"/>
                <w:snapToGrid w:val="0"/>
                <w:color w:val="000000"/>
                <w:spacing w:val="6"/>
                <w:sz w:val="21"/>
                <w:szCs w:val="21"/>
                <w:highlight w:val="none"/>
              </w:rPr>
              <w:t>浓度（</w:t>
            </w:r>
            <w:r>
              <w:rPr>
                <w:rFonts w:hint="default" w:ascii="Times New Roman" w:hAnsi="Times New Roman" w:eastAsia="Times New Roman" w:cs="Times New Roman"/>
                <w:snapToGrid w:val="0"/>
                <w:color w:val="000000"/>
                <w:sz w:val="21"/>
                <w:szCs w:val="21"/>
                <w:highlight w:val="none"/>
              </w:rPr>
              <w:t>mg</w:t>
            </w:r>
            <w:r>
              <w:rPr>
                <w:rFonts w:hint="default" w:ascii="Times New Roman" w:hAnsi="Times New Roman" w:eastAsia="Times New Roman" w:cs="Times New Roman"/>
                <w:snapToGrid w:val="0"/>
                <w:color w:val="000000"/>
                <w:spacing w:val="6"/>
                <w:sz w:val="21"/>
                <w:szCs w:val="21"/>
                <w:highlight w:val="none"/>
              </w:rPr>
              <w:t>/L</w:t>
            </w:r>
            <w:r>
              <w:rPr>
                <w:rFonts w:hint="default"/>
                <w:snapToGrid w:val="0"/>
                <w:color w:val="000000"/>
                <w:spacing w:val="6"/>
                <w:sz w:val="21"/>
                <w:szCs w:val="21"/>
                <w:highlight w:val="none"/>
              </w:rPr>
              <w:t>）</w:t>
            </w:r>
          </w:p>
        </w:tc>
        <w:tc>
          <w:tcPr>
            <w:tcW w:w="4376" w:type="dxa"/>
            <w:tcBorders>
              <w:tl2br w:val="nil"/>
              <w:tr2bl w:val="nil"/>
            </w:tcBorders>
            <w:vAlign w:val="center"/>
          </w:tcPr>
          <w:p w14:paraId="34861C7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pacing w:val="4"/>
                <w:position w:val="1"/>
                <w:sz w:val="21"/>
                <w:szCs w:val="21"/>
                <w:highlight w:val="none"/>
                <w:lang w:val="en-US" w:eastAsia="zh-CN"/>
              </w:rPr>
              <w:t>8000</w:t>
            </w:r>
          </w:p>
        </w:tc>
      </w:tr>
      <w:tr w14:paraId="125999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30" w:type="dxa"/>
            <w:tcBorders>
              <w:tl2br w:val="nil"/>
              <w:tr2bl w:val="nil"/>
            </w:tcBorders>
            <w:vAlign w:val="center"/>
          </w:tcPr>
          <w:p w14:paraId="1A0EB9CA">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snapToGrid w:val="0"/>
                <w:color w:val="000000"/>
                <w:sz w:val="21"/>
                <w:szCs w:val="21"/>
                <w:highlight w:val="none"/>
              </w:rPr>
            </w:pPr>
            <w:r>
              <w:rPr>
                <w:rFonts w:hint="default"/>
                <w:snapToGrid w:val="0"/>
                <w:color w:val="000000"/>
                <w:spacing w:val="6"/>
                <w:position w:val="2"/>
                <w:sz w:val="21"/>
                <w:szCs w:val="21"/>
                <w:highlight w:val="none"/>
              </w:rPr>
              <w:t>泄漏量（</w:t>
            </w:r>
            <w:r>
              <w:rPr>
                <w:rFonts w:hint="default" w:ascii="Times New Roman" w:hAnsi="Times New Roman" w:eastAsia="Times New Roman" w:cs="Times New Roman"/>
                <w:snapToGrid w:val="0"/>
                <w:color w:val="000000"/>
                <w:position w:val="2"/>
                <w:sz w:val="21"/>
                <w:szCs w:val="21"/>
                <w:highlight w:val="none"/>
              </w:rPr>
              <w:t>kg</w:t>
            </w:r>
            <w:r>
              <w:rPr>
                <w:rFonts w:hint="default" w:ascii="Times New Roman" w:hAnsi="Times New Roman" w:eastAsia="Times New Roman" w:cs="Times New Roman"/>
                <w:snapToGrid w:val="0"/>
                <w:color w:val="000000"/>
                <w:spacing w:val="6"/>
                <w:position w:val="2"/>
                <w:sz w:val="21"/>
                <w:szCs w:val="21"/>
                <w:highlight w:val="none"/>
              </w:rPr>
              <w:t>/d</w:t>
            </w:r>
            <w:r>
              <w:rPr>
                <w:rFonts w:hint="default"/>
                <w:snapToGrid w:val="0"/>
                <w:color w:val="000000"/>
                <w:spacing w:val="6"/>
                <w:position w:val="2"/>
                <w:sz w:val="21"/>
                <w:szCs w:val="21"/>
                <w:highlight w:val="none"/>
              </w:rPr>
              <w:t>）</w:t>
            </w:r>
          </w:p>
        </w:tc>
        <w:tc>
          <w:tcPr>
            <w:tcW w:w="4376" w:type="dxa"/>
            <w:tcBorders>
              <w:tl2br w:val="nil"/>
              <w:tr2bl w:val="nil"/>
            </w:tcBorders>
            <w:vAlign w:val="center"/>
          </w:tcPr>
          <w:p w14:paraId="660C0EF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pacing w:val="-3"/>
                <w:position w:val="1"/>
                <w:sz w:val="21"/>
                <w:szCs w:val="21"/>
                <w:highlight w:val="none"/>
                <w:lang w:val="en-US" w:eastAsia="zh-CN"/>
              </w:rPr>
              <w:t>0.2</w:t>
            </w:r>
          </w:p>
        </w:tc>
      </w:tr>
      <w:tr w14:paraId="769FE8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30" w:type="dxa"/>
            <w:tcBorders>
              <w:tl2br w:val="nil"/>
              <w:tr2bl w:val="nil"/>
            </w:tcBorders>
            <w:vAlign w:val="center"/>
          </w:tcPr>
          <w:p w14:paraId="009EA828">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snapToGrid w:val="0"/>
                <w:color w:val="000000"/>
                <w:sz w:val="21"/>
                <w:szCs w:val="21"/>
                <w:highlight w:val="none"/>
              </w:rPr>
            </w:pPr>
            <w:r>
              <w:rPr>
                <w:rFonts w:hint="eastAsia"/>
                <w:snapToGrid w:val="0"/>
                <w:color w:val="000000"/>
                <w:spacing w:val="6"/>
                <w:position w:val="1"/>
                <w:sz w:val="21"/>
                <w:szCs w:val="21"/>
                <w:highlight w:val="none"/>
                <w:lang w:eastAsia="zh-CN"/>
              </w:rPr>
              <w:t>泄漏</w:t>
            </w:r>
            <w:r>
              <w:rPr>
                <w:rFonts w:hint="default"/>
                <w:snapToGrid w:val="0"/>
                <w:color w:val="000000"/>
                <w:spacing w:val="6"/>
                <w:position w:val="1"/>
                <w:sz w:val="21"/>
                <w:szCs w:val="21"/>
                <w:highlight w:val="none"/>
              </w:rPr>
              <w:t>时间（</w:t>
            </w:r>
            <w:r>
              <w:rPr>
                <w:rFonts w:hint="default" w:ascii="Times New Roman" w:hAnsi="Times New Roman" w:eastAsia="Times New Roman" w:cs="Times New Roman"/>
                <w:snapToGrid w:val="0"/>
                <w:color w:val="000000"/>
                <w:spacing w:val="6"/>
                <w:position w:val="1"/>
                <w:sz w:val="21"/>
                <w:szCs w:val="21"/>
                <w:highlight w:val="none"/>
              </w:rPr>
              <w:t>d</w:t>
            </w:r>
            <w:r>
              <w:rPr>
                <w:rFonts w:hint="default"/>
                <w:snapToGrid w:val="0"/>
                <w:color w:val="000000"/>
                <w:spacing w:val="6"/>
                <w:position w:val="1"/>
                <w:sz w:val="21"/>
                <w:szCs w:val="21"/>
                <w:highlight w:val="none"/>
              </w:rPr>
              <w:t>）</w:t>
            </w:r>
          </w:p>
        </w:tc>
        <w:tc>
          <w:tcPr>
            <w:tcW w:w="4376" w:type="dxa"/>
            <w:tcBorders>
              <w:tl2br w:val="nil"/>
              <w:tr2bl w:val="nil"/>
            </w:tcBorders>
            <w:vAlign w:val="center"/>
          </w:tcPr>
          <w:p w14:paraId="48C33A8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pacing w:val="-10"/>
                <w:position w:val="1"/>
                <w:sz w:val="21"/>
                <w:szCs w:val="21"/>
                <w:highlight w:val="none"/>
                <w:lang w:val="en-US" w:eastAsia="zh-CN"/>
              </w:rPr>
              <w:t>0.5</w:t>
            </w:r>
          </w:p>
        </w:tc>
      </w:tr>
      <w:tr w14:paraId="5BB52D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306" w:type="dxa"/>
            <w:gridSpan w:val="2"/>
            <w:tcBorders>
              <w:tl2br w:val="nil"/>
              <w:tr2bl w:val="nil"/>
            </w:tcBorders>
            <w:vAlign w:val="center"/>
          </w:tcPr>
          <w:p w14:paraId="76545AE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pacing w:val="-10"/>
                <w:position w:val="1"/>
                <w:sz w:val="21"/>
                <w:szCs w:val="21"/>
                <w:highlight w:val="none"/>
                <w:lang w:val="en-US" w:eastAsia="zh-CN"/>
              </w:rPr>
            </w:pPr>
            <w:r>
              <w:rPr>
                <w:rFonts w:hint="eastAsia" w:ascii="Times New Roman" w:hAnsi="Times New Roman" w:eastAsia="宋体" w:cs="Times New Roman"/>
                <w:snapToGrid w:val="0"/>
                <w:color w:val="000000"/>
                <w:spacing w:val="-10"/>
                <w:position w:val="1"/>
                <w:sz w:val="21"/>
                <w:szCs w:val="21"/>
                <w:highlight w:val="none"/>
                <w:lang w:val="en-US" w:eastAsia="zh-CN"/>
              </w:rPr>
              <w:t>根据企业正常运行要求，防渗为重点检查区，每日检查</w:t>
            </w:r>
            <w:r>
              <w:rPr>
                <w:rFonts w:hint="eastAsia" w:cs="Times New Roman"/>
                <w:snapToGrid w:val="0"/>
                <w:color w:val="000000"/>
                <w:spacing w:val="-10"/>
                <w:position w:val="1"/>
                <w:sz w:val="21"/>
                <w:szCs w:val="21"/>
                <w:highlight w:val="none"/>
                <w:lang w:val="en-US" w:eastAsia="zh-CN"/>
              </w:rPr>
              <w:t>2</w:t>
            </w:r>
            <w:r>
              <w:rPr>
                <w:rFonts w:hint="eastAsia" w:ascii="Times New Roman" w:hAnsi="Times New Roman" w:eastAsia="宋体" w:cs="Times New Roman"/>
                <w:snapToGrid w:val="0"/>
                <w:color w:val="000000"/>
                <w:spacing w:val="-10"/>
                <w:position w:val="1"/>
                <w:sz w:val="21"/>
                <w:szCs w:val="21"/>
                <w:highlight w:val="none"/>
                <w:lang w:val="en-US" w:eastAsia="zh-CN"/>
              </w:rPr>
              <w:t>次，故泄露时间取</w:t>
            </w:r>
            <w:r>
              <w:rPr>
                <w:rFonts w:hint="eastAsia" w:cs="Times New Roman"/>
                <w:snapToGrid w:val="0"/>
                <w:color w:val="000000"/>
                <w:spacing w:val="-10"/>
                <w:position w:val="1"/>
                <w:sz w:val="21"/>
                <w:szCs w:val="21"/>
                <w:highlight w:val="none"/>
                <w:lang w:val="en-US" w:eastAsia="zh-CN"/>
              </w:rPr>
              <w:t>0.5</w:t>
            </w:r>
            <w:r>
              <w:rPr>
                <w:rFonts w:hint="eastAsia" w:ascii="Times New Roman" w:hAnsi="Times New Roman" w:eastAsia="宋体" w:cs="Times New Roman"/>
                <w:snapToGrid w:val="0"/>
                <w:color w:val="000000"/>
                <w:spacing w:val="-10"/>
                <w:position w:val="1"/>
                <w:sz w:val="21"/>
                <w:szCs w:val="21"/>
                <w:highlight w:val="none"/>
                <w:lang w:val="en-US" w:eastAsia="zh-CN"/>
              </w:rPr>
              <w:t>天。</w:t>
            </w:r>
          </w:p>
        </w:tc>
      </w:tr>
    </w:tbl>
    <w:p w14:paraId="1AFED25D">
      <w:pPr>
        <w:pStyle w:val="4"/>
        <w:bidi w:val="0"/>
        <w:rPr>
          <w:highlight w:val="none"/>
        </w:rPr>
      </w:pPr>
      <w:bookmarkStart w:id="260" w:name="_Toc31300"/>
      <w:bookmarkStart w:id="261" w:name="_Toc19966"/>
      <w:bookmarkStart w:id="262" w:name="_Toc7584"/>
      <w:r>
        <w:rPr>
          <w:highlight w:val="none"/>
        </w:rPr>
        <w:t>3.</w:t>
      </w:r>
      <w:r>
        <w:rPr>
          <w:rFonts w:hint="eastAsia"/>
          <w:highlight w:val="none"/>
          <w:lang w:val="en-US" w:eastAsia="zh-CN"/>
        </w:rPr>
        <w:t>4</w:t>
      </w:r>
      <w:r>
        <w:rPr>
          <w:highlight w:val="none"/>
        </w:rPr>
        <w:t>清洁生产</w:t>
      </w:r>
      <w:bookmarkEnd w:id="259"/>
      <w:bookmarkEnd w:id="260"/>
      <w:bookmarkEnd w:id="261"/>
      <w:bookmarkEnd w:id="262"/>
    </w:p>
    <w:p w14:paraId="6A8D972B">
      <w:pPr>
        <w:bidi w:val="0"/>
        <w:rPr>
          <w:highlight w:val="none"/>
        </w:rPr>
      </w:pPr>
      <w:r>
        <w:rPr>
          <w:highlight w:val="none"/>
        </w:rPr>
        <w:t>推行清洁生产是实施生产全过程控制、进行整体污染预防，可实现节能、降耗、减污、增效，是实现达标排放和污染物总量控制的重要手段，是我国环境保护的重大策略。国务院于2002年6月1日颁布了《中华人民共和国清洁生产促进法》，并于2003年1月1日起正式实施。清洁生产是指在可行的范围内减少最初产生的或随后经过处理、分类或处置的有害废物，达到</w:t>
      </w:r>
      <w:r>
        <w:rPr>
          <w:rFonts w:hint="eastAsia"/>
          <w:highlight w:val="none"/>
          <w:lang w:eastAsia="zh-CN"/>
        </w:rPr>
        <w:t>“</w:t>
      </w:r>
      <w:r>
        <w:rPr>
          <w:highlight w:val="none"/>
        </w:rPr>
        <w:t>废物最小化</w:t>
      </w:r>
      <w:r>
        <w:rPr>
          <w:rFonts w:hint="eastAsia"/>
          <w:highlight w:val="none"/>
          <w:lang w:eastAsia="zh-CN"/>
        </w:rPr>
        <w:t>”</w:t>
      </w:r>
      <w:r>
        <w:rPr>
          <w:highlight w:val="none"/>
        </w:rPr>
        <w:t>。</w:t>
      </w:r>
    </w:p>
    <w:p w14:paraId="54EB8B73">
      <w:pPr>
        <w:bidi w:val="0"/>
        <w:rPr>
          <w:highlight w:val="none"/>
        </w:rPr>
      </w:pPr>
      <w:bookmarkStart w:id="263" w:name="_Toc4491"/>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清洁生产及清洁生产要素</w:t>
      </w:r>
      <w:bookmarkEnd w:id="263"/>
    </w:p>
    <w:p w14:paraId="6ADD7211">
      <w:pPr>
        <w:bidi w:val="0"/>
        <w:rPr>
          <w:highlight w:val="none"/>
        </w:rPr>
      </w:pPr>
      <w:r>
        <w:rPr>
          <w:highlight w:val="none"/>
        </w:rPr>
        <w:t>清洁生产在全球范围内被越来越多的国家认为是</w:t>
      </w:r>
      <w:r>
        <w:rPr>
          <w:rFonts w:hint="eastAsia"/>
          <w:highlight w:val="none"/>
          <w:lang w:eastAsia="zh-CN"/>
        </w:rPr>
        <w:t>一次</w:t>
      </w:r>
      <w:r>
        <w:rPr>
          <w:highlight w:val="none"/>
        </w:rPr>
        <w:t>预防污染的最佳战略，已经得到人们重视，环境保护工作由过去的单一末端治理转向清洁生产及综合利用</w:t>
      </w:r>
    </w:p>
    <w:p w14:paraId="6DA51AA7">
      <w:pPr>
        <w:bidi w:val="0"/>
        <w:rPr>
          <w:highlight w:val="none"/>
        </w:rPr>
      </w:pPr>
      <w:r>
        <w:rPr>
          <w:highlight w:val="none"/>
        </w:rPr>
        <w:t>为主的预防治理战略。所谓的清洁生产，是指不断采取改进技术、使用清洁的能源和原料、采用先进的工艺技术和设备、改善管理、综合利用等措施，从源头削减污染，提高资源利用效率，减少或者避免生产、服务和产品使用过程中污染物的产生和排放，以减轻或者消除对人类健康和环境的危害。</w:t>
      </w:r>
    </w:p>
    <w:p w14:paraId="3BD2A8B0">
      <w:pPr>
        <w:bidi w:val="0"/>
        <w:rPr>
          <w:highlight w:val="none"/>
        </w:rPr>
      </w:pPr>
      <w:r>
        <w:rPr>
          <w:highlight w:val="none"/>
        </w:rPr>
        <w:t>清洁生产要素主要体现在以下三个方面：</w:t>
      </w:r>
    </w:p>
    <w:p w14:paraId="14133704">
      <w:pPr>
        <w:bidi w:val="0"/>
        <w:rPr>
          <w:rFonts w:hint="default" w:ascii="Times New Roman" w:hAnsi="Times New Roman" w:cs="Times New Roman"/>
          <w:highlight w:val="none"/>
        </w:rPr>
      </w:pPr>
      <w:r>
        <w:rPr>
          <w:rFonts w:hint="default" w:ascii="Times New Roman" w:hAnsi="Times New Roman" w:cs="Times New Roman"/>
          <w:highlight w:val="none"/>
        </w:rPr>
        <w:t>①对生产过程，要求节约原材料和能源，淘汰有毒原材料，减降所有废弃物的数量和毒性；</w:t>
      </w:r>
    </w:p>
    <w:p w14:paraId="280BE28D">
      <w:pPr>
        <w:bidi w:val="0"/>
        <w:rPr>
          <w:rFonts w:hint="default" w:ascii="Times New Roman" w:hAnsi="Times New Roman" w:cs="Times New Roman"/>
          <w:highlight w:val="none"/>
        </w:rPr>
      </w:pPr>
      <w:r>
        <w:rPr>
          <w:rFonts w:hint="default" w:ascii="Times New Roman" w:hAnsi="Times New Roman" w:cs="Times New Roman"/>
          <w:highlight w:val="none"/>
        </w:rPr>
        <w:t>②对产品，要求减少从原材料提炼到产品最终处置的整个生命周期的不利影响；</w:t>
      </w:r>
    </w:p>
    <w:p w14:paraId="441FF3C6">
      <w:pPr>
        <w:bidi w:val="0"/>
        <w:rPr>
          <w:highlight w:val="none"/>
        </w:rPr>
      </w:pPr>
      <w:r>
        <w:rPr>
          <w:rFonts w:hint="default" w:ascii="Times New Roman" w:hAnsi="Times New Roman" w:cs="Times New Roman"/>
          <w:highlight w:val="none"/>
        </w:rPr>
        <w:t>③服务，要</w:t>
      </w:r>
      <w:r>
        <w:rPr>
          <w:highlight w:val="none"/>
        </w:rPr>
        <w:t>求将环境因素纳入设计和所提供的服务中。推行清洁生产的目的就是将整体预防的环境战略应用于生产过程、产品和服务中，以提高能源和物料的利用、降低对能源的过度使用、减少人类和环境的自身的风险。以实现资源环境与经济发展双赢。</w:t>
      </w:r>
    </w:p>
    <w:p w14:paraId="32BBBD9C">
      <w:pPr>
        <w:bidi w:val="0"/>
        <w:rPr>
          <w:highlight w:val="none"/>
        </w:rPr>
      </w:pPr>
      <w:bookmarkStart w:id="264" w:name="_Toc20648"/>
      <w:r>
        <w:rPr>
          <w:highlight w:val="none"/>
        </w:rPr>
        <w:t>2、清洁生产水平分析</w:t>
      </w:r>
      <w:bookmarkEnd w:id="264"/>
    </w:p>
    <w:p w14:paraId="5345A3C9">
      <w:pPr>
        <w:bidi w:val="0"/>
        <w:rPr>
          <w:rFonts w:hint="default"/>
          <w:highlight w:val="none"/>
        </w:rPr>
      </w:pPr>
      <w:r>
        <w:rPr>
          <w:rFonts w:hint="default"/>
          <w:highlight w:val="none"/>
        </w:rPr>
        <w:t>（1）原辅材料和能源的清洁性分析</w:t>
      </w:r>
    </w:p>
    <w:p w14:paraId="7828A55F">
      <w:pPr>
        <w:bidi w:val="0"/>
        <w:rPr>
          <w:rFonts w:hint="default"/>
          <w:highlight w:val="none"/>
        </w:rPr>
      </w:pPr>
      <w:r>
        <w:rPr>
          <w:rFonts w:hint="default"/>
          <w:highlight w:val="none"/>
        </w:rPr>
        <w:t>建设项目生产活动是</w:t>
      </w:r>
      <w:r>
        <w:rPr>
          <w:rFonts w:hint="eastAsia"/>
          <w:highlight w:val="none"/>
          <w:lang w:val="en-US" w:eastAsia="zh-CN"/>
        </w:rPr>
        <w:t>机械加工及对含油金属屑破碎、甩干</w:t>
      </w:r>
      <w:r>
        <w:rPr>
          <w:rFonts w:hint="default"/>
          <w:highlight w:val="none"/>
        </w:rPr>
        <w:t>；所用能源为电能，为清洁能源</w:t>
      </w:r>
      <w:r>
        <w:rPr>
          <w:rFonts w:hint="eastAsia"/>
          <w:highlight w:val="none"/>
          <w:lang w:eastAsia="zh-CN"/>
        </w:rPr>
        <w:t>，</w:t>
      </w:r>
      <w:r>
        <w:rPr>
          <w:rFonts w:hint="eastAsia"/>
          <w:highlight w:val="none"/>
          <w:lang w:val="en-US" w:eastAsia="zh-CN"/>
        </w:rPr>
        <w:t>热试所用能源为符合国家要求车用汽油</w:t>
      </w:r>
      <w:r>
        <w:rPr>
          <w:rFonts w:hint="default"/>
          <w:highlight w:val="none"/>
        </w:rPr>
        <w:t>。</w:t>
      </w:r>
      <w:r>
        <w:rPr>
          <w:rFonts w:hint="eastAsia" w:ascii="宋体" w:hAnsi="宋体" w:eastAsia="宋体" w:cs="宋体"/>
          <w:highlight w:val="none"/>
        </w:rPr>
        <w:t>本项目主要为</w:t>
      </w:r>
      <w:r>
        <w:rPr>
          <w:rFonts w:hint="eastAsia" w:ascii="宋体" w:hAnsi="宋体" w:cs="宋体"/>
          <w:highlight w:val="none"/>
          <w:lang w:val="en-US" w:eastAsia="zh-CN"/>
        </w:rPr>
        <w:t>切削液、清洗液用水，由市政供水</w:t>
      </w:r>
      <w:r>
        <w:rPr>
          <w:rFonts w:hint="eastAsia" w:ascii="宋体" w:hAnsi="宋体" w:eastAsia="宋体" w:cs="宋体"/>
          <w:highlight w:val="none"/>
        </w:rPr>
        <w:t>。</w:t>
      </w:r>
    </w:p>
    <w:p w14:paraId="41FDDE18">
      <w:pPr>
        <w:bidi w:val="0"/>
        <w:rPr>
          <w:rFonts w:hint="default"/>
          <w:highlight w:val="none"/>
        </w:rPr>
      </w:pPr>
      <w:r>
        <w:rPr>
          <w:rFonts w:hint="default"/>
          <w:highlight w:val="none"/>
        </w:rPr>
        <w:t>（2）生产工艺先进性和清洁性分析</w:t>
      </w:r>
    </w:p>
    <w:p w14:paraId="432E2CBF">
      <w:pPr>
        <w:ind w:firstLine="480"/>
        <w:rPr>
          <w:rFonts w:hint="eastAsia" w:ascii="宋体" w:hAnsi="宋体" w:eastAsia="宋体" w:cs="宋体"/>
          <w:highlight w:val="none"/>
        </w:rPr>
      </w:pPr>
      <w:r>
        <w:rPr>
          <w:rFonts w:hint="default"/>
          <w:highlight w:val="none"/>
          <w:lang w:val="zh-CN"/>
        </w:rPr>
        <w:t>本项目</w:t>
      </w:r>
      <w:r>
        <w:rPr>
          <w:rFonts w:hAnsiTheme="minorEastAsia" w:eastAsiaTheme="minorEastAsia"/>
          <w:kern w:val="0"/>
          <w:sz w:val="24"/>
          <w:highlight w:val="none"/>
        </w:rPr>
        <w:t>所采用设备均选用先进设备，机械加工以湿式加工工艺为主，切削液采用集中供排系统产生废切削液和清洗机清洗液废水排放至</w:t>
      </w:r>
      <w:r>
        <w:rPr>
          <w:rFonts w:eastAsiaTheme="minorEastAsia"/>
          <w:kern w:val="0"/>
          <w:sz w:val="24"/>
          <w:highlight w:val="none"/>
        </w:rPr>
        <w:t>4</w:t>
      </w:r>
      <w:r>
        <w:rPr>
          <w:rFonts w:hAnsiTheme="minorEastAsia" w:eastAsiaTheme="minorEastAsia"/>
          <w:kern w:val="0"/>
          <w:sz w:val="24"/>
          <w:highlight w:val="none"/>
        </w:rPr>
        <w:t>号联合厂房污水处理站处理后达标排放，既符合产品的质量要求，又有效减少了有害废物的产生</w:t>
      </w:r>
      <w:r>
        <w:rPr>
          <w:rFonts w:hint="eastAsia" w:hAnsiTheme="minorEastAsia" w:eastAsiaTheme="minorEastAsia"/>
          <w:kern w:val="0"/>
          <w:sz w:val="24"/>
          <w:highlight w:val="none"/>
          <w:lang w:eastAsia="zh-CN"/>
        </w:rPr>
        <w:t>；</w:t>
      </w:r>
      <w:r>
        <w:rPr>
          <w:rFonts w:hint="eastAsia"/>
          <w:highlight w:val="none"/>
          <w:lang w:val="en-US" w:eastAsia="zh-CN"/>
        </w:rPr>
        <w:t>对含油金属屑破碎、甩干</w:t>
      </w:r>
      <w:r>
        <w:rPr>
          <w:rFonts w:hint="default"/>
          <w:highlight w:val="none"/>
          <w:lang w:val="zh-CN"/>
        </w:rPr>
        <w:t>具有工艺、设备运行稳定性好的特点</w:t>
      </w:r>
      <w:r>
        <w:rPr>
          <w:rFonts w:hint="eastAsia" w:ascii="宋体" w:hAnsi="宋体" w:eastAsia="宋体" w:cs="宋体"/>
          <w:highlight w:val="none"/>
        </w:rPr>
        <w:t>，减少了废物的排放，降低了资源能源的消耗，符合减污减排、节能降耗的要求。</w:t>
      </w:r>
    </w:p>
    <w:p w14:paraId="509F8DEA">
      <w:pPr>
        <w:spacing w:line="360" w:lineRule="auto"/>
        <w:ind w:firstLine="480" w:firstLineChars="200"/>
        <w:rPr>
          <w:rFonts w:eastAsiaTheme="minorEastAsia"/>
          <w:kern w:val="0"/>
          <w:sz w:val="24"/>
          <w:highlight w:val="none"/>
        </w:rPr>
      </w:pPr>
      <w:r>
        <w:rPr>
          <w:rFonts w:hAnsiTheme="minorEastAsia" w:eastAsiaTheme="minorEastAsia"/>
          <w:kern w:val="0"/>
          <w:sz w:val="24"/>
          <w:highlight w:val="none"/>
        </w:rPr>
        <w:t>（</w:t>
      </w:r>
      <w:r>
        <w:rPr>
          <w:rFonts w:eastAsiaTheme="minorEastAsia"/>
          <w:kern w:val="0"/>
          <w:sz w:val="24"/>
          <w:highlight w:val="none"/>
        </w:rPr>
        <w:t>3</w:t>
      </w:r>
      <w:r>
        <w:rPr>
          <w:rFonts w:hAnsiTheme="minorEastAsia" w:eastAsiaTheme="minorEastAsia"/>
          <w:kern w:val="0"/>
          <w:sz w:val="24"/>
          <w:highlight w:val="none"/>
        </w:rPr>
        <w:t>）产品的清洁性与先进性</w:t>
      </w:r>
    </w:p>
    <w:p w14:paraId="089459D8">
      <w:pPr>
        <w:spacing w:line="360" w:lineRule="auto"/>
        <w:ind w:firstLine="480" w:firstLineChars="200"/>
        <w:rPr>
          <w:rFonts w:eastAsiaTheme="minorEastAsia"/>
          <w:kern w:val="0"/>
          <w:sz w:val="24"/>
          <w:highlight w:val="none"/>
        </w:rPr>
      </w:pPr>
      <w:r>
        <w:rPr>
          <w:rFonts w:hAnsiTheme="minorEastAsia" w:eastAsiaTheme="minorEastAsia"/>
          <w:kern w:val="0"/>
          <w:sz w:val="24"/>
          <w:highlight w:val="none"/>
        </w:rPr>
        <w:t>本项目无国家明令淘汰的落后设备，采用了先进的模式，在轻量化、减少污染物排放、降低油耗、提升功率和扭矩指标、通用化与模块化等方面都处于国内领先，即便在发达国家也处于较高水准。</w:t>
      </w:r>
    </w:p>
    <w:p w14:paraId="308CC09C">
      <w:pPr>
        <w:spacing w:line="360" w:lineRule="auto"/>
        <w:ind w:firstLine="480" w:firstLineChars="200"/>
        <w:rPr>
          <w:rFonts w:eastAsiaTheme="minorEastAsia"/>
          <w:kern w:val="0"/>
          <w:sz w:val="24"/>
          <w:highlight w:val="none"/>
        </w:rPr>
      </w:pPr>
      <w:r>
        <w:rPr>
          <w:rFonts w:hAnsiTheme="minorEastAsia" w:eastAsiaTheme="minorEastAsia"/>
          <w:kern w:val="0"/>
          <w:sz w:val="24"/>
          <w:highlight w:val="none"/>
        </w:rPr>
        <w:t>（</w:t>
      </w:r>
      <w:r>
        <w:rPr>
          <w:rFonts w:eastAsiaTheme="minorEastAsia"/>
          <w:kern w:val="0"/>
          <w:sz w:val="24"/>
          <w:highlight w:val="none"/>
        </w:rPr>
        <w:t>4</w:t>
      </w:r>
      <w:r>
        <w:rPr>
          <w:rFonts w:hAnsiTheme="minorEastAsia" w:eastAsiaTheme="minorEastAsia"/>
          <w:kern w:val="0"/>
          <w:sz w:val="24"/>
          <w:highlight w:val="none"/>
        </w:rPr>
        <w:t>）环境管理要求</w:t>
      </w:r>
    </w:p>
    <w:p w14:paraId="3FE11406">
      <w:pPr>
        <w:spacing w:line="360" w:lineRule="auto"/>
        <w:ind w:firstLine="480" w:firstLineChars="200"/>
        <w:rPr>
          <w:rFonts w:eastAsiaTheme="minorEastAsia"/>
          <w:kern w:val="0"/>
          <w:sz w:val="24"/>
          <w:highlight w:val="none"/>
        </w:rPr>
      </w:pPr>
      <w:r>
        <w:rPr>
          <w:rFonts w:hAnsiTheme="minorEastAsia" w:eastAsiaTheme="minorEastAsia"/>
          <w:kern w:val="0"/>
          <w:sz w:val="24"/>
          <w:highlight w:val="none"/>
        </w:rPr>
        <w:t>①由于清洁生产是全过程的污染控制，涉及到企业各个部门，因此本评价建议成立清洁生产领导小组负责组织实施，按照分工负责原则，确定各职能部门的职责和责任人员，形成企业</w:t>
      </w:r>
      <w:r>
        <w:rPr>
          <w:rFonts w:eastAsiaTheme="minorEastAsia"/>
          <w:kern w:val="0"/>
          <w:sz w:val="24"/>
          <w:highlight w:val="none"/>
        </w:rPr>
        <w:t>-</w:t>
      </w:r>
      <w:r>
        <w:rPr>
          <w:rFonts w:hAnsiTheme="minorEastAsia" w:eastAsiaTheme="minorEastAsia"/>
          <w:kern w:val="0"/>
          <w:sz w:val="24"/>
          <w:highlight w:val="none"/>
        </w:rPr>
        <w:t>部门</w:t>
      </w:r>
      <w:r>
        <w:rPr>
          <w:rFonts w:eastAsiaTheme="minorEastAsia"/>
          <w:kern w:val="0"/>
          <w:sz w:val="24"/>
          <w:highlight w:val="none"/>
        </w:rPr>
        <w:t>-</w:t>
      </w:r>
      <w:r>
        <w:rPr>
          <w:rFonts w:hAnsiTheme="minorEastAsia" w:eastAsiaTheme="minorEastAsia"/>
          <w:kern w:val="0"/>
          <w:sz w:val="24"/>
          <w:highlight w:val="none"/>
        </w:rPr>
        <w:t>班组三级清洁生产网络，广泛宣传并对各岗位严格培训。</w:t>
      </w:r>
    </w:p>
    <w:p w14:paraId="5CDF9078">
      <w:pPr>
        <w:spacing w:line="360" w:lineRule="auto"/>
        <w:ind w:firstLine="480" w:firstLineChars="200"/>
        <w:rPr>
          <w:rFonts w:eastAsiaTheme="minorEastAsia"/>
          <w:kern w:val="0"/>
          <w:sz w:val="24"/>
          <w:highlight w:val="none"/>
        </w:rPr>
      </w:pPr>
      <w:r>
        <w:rPr>
          <w:rFonts w:hAnsiTheme="minorEastAsia" w:eastAsiaTheme="minorEastAsia"/>
          <w:kern w:val="0"/>
          <w:sz w:val="24"/>
          <w:highlight w:val="none"/>
        </w:rPr>
        <w:t>②建设单位应加强生产过程中环境管理，定期对设备进行检修和维护环保设施正常运行。</w:t>
      </w:r>
    </w:p>
    <w:p w14:paraId="66AA9614">
      <w:pPr>
        <w:spacing w:line="360" w:lineRule="auto"/>
        <w:ind w:firstLine="480" w:firstLineChars="200"/>
        <w:rPr>
          <w:rFonts w:eastAsiaTheme="minorEastAsia"/>
          <w:kern w:val="0"/>
          <w:sz w:val="24"/>
          <w:highlight w:val="none"/>
        </w:rPr>
      </w:pPr>
      <w:r>
        <w:rPr>
          <w:rFonts w:hAnsiTheme="minorEastAsia" w:eastAsiaTheme="minorEastAsia"/>
          <w:kern w:val="0"/>
          <w:sz w:val="24"/>
          <w:highlight w:val="none"/>
        </w:rPr>
        <w:t>③建立健全环境管理机构和制度，对能源消耗实行定额管理，原始记录及统计数据齐全。</w:t>
      </w:r>
    </w:p>
    <w:p w14:paraId="19AEA10E">
      <w:pPr>
        <w:spacing w:line="360" w:lineRule="auto"/>
        <w:ind w:firstLine="480" w:firstLineChars="200"/>
        <w:rPr>
          <w:rFonts w:eastAsiaTheme="minorEastAsia"/>
          <w:kern w:val="0"/>
          <w:sz w:val="24"/>
          <w:highlight w:val="none"/>
        </w:rPr>
      </w:pPr>
      <w:r>
        <w:rPr>
          <w:rFonts w:hint="eastAsia" w:eastAsiaTheme="minorEastAsia"/>
          <w:kern w:val="0"/>
          <w:sz w:val="24"/>
          <w:highlight w:val="none"/>
          <w:lang w:eastAsia="zh-CN"/>
        </w:rPr>
        <w:t>（</w:t>
      </w:r>
      <w:r>
        <w:rPr>
          <w:rFonts w:hint="eastAsia" w:eastAsiaTheme="minorEastAsia"/>
          <w:kern w:val="0"/>
          <w:sz w:val="24"/>
          <w:highlight w:val="none"/>
          <w:lang w:val="en-US" w:eastAsia="zh-CN"/>
        </w:rPr>
        <w:t>5</w:t>
      </w:r>
      <w:r>
        <w:rPr>
          <w:rFonts w:hint="eastAsia" w:eastAsiaTheme="minorEastAsia"/>
          <w:kern w:val="0"/>
          <w:sz w:val="24"/>
          <w:highlight w:val="none"/>
          <w:lang w:eastAsia="zh-CN"/>
        </w:rPr>
        <w:t>）</w:t>
      </w:r>
      <w:r>
        <w:rPr>
          <w:rFonts w:hAnsiTheme="minorEastAsia" w:eastAsiaTheme="minorEastAsia"/>
          <w:kern w:val="0"/>
          <w:sz w:val="24"/>
          <w:highlight w:val="none"/>
        </w:rPr>
        <w:t>清洁生产分析结论</w:t>
      </w:r>
    </w:p>
    <w:p w14:paraId="7DCD2151">
      <w:pPr>
        <w:bidi w:val="0"/>
        <w:rPr>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hAnsiTheme="minorEastAsia" w:eastAsiaTheme="minorEastAsia"/>
          <w:kern w:val="0"/>
          <w:sz w:val="24"/>
          <w:highlight w:val="none"/>
        </w:rPr>
        <w:t>综上，本项目</w:t>
      </w:r>
      <w:r>
        <w:rPr>
          <w:rFonts w:hint="eastAsia" w:hAnsiTheme="minorEastAsia" w:eastAsiaTheme="minorEastAsia"/>
          <w:kern w:val="0"/>
          <w:sz w:val="24"/>
          <w:highlight w:val="none"/>
          <w:lang w:eastAsia="zh-CN"/>
        </w:rPr>
        <w:t>各生</w:t>
      </w:r>
      <w:r>
        <w:rPr>
          <w:rFonts w:hAnsiTheme="minorEastAsia" w:eastAsiaTheme="minorEastAsia"/>
          <w:kern w:val="0"/>
          <w:sz w:val="24"/>
          <w:highlight w:val="none"/>
        </w:rPr>
        <w:t>产单元采用成熟的生产技术进行生产，各生产工序均配套安装有效的防治措施，另外，在生产过程中通过采用经济科学的节能降耗措施，减少耗电量。因此，本项目</w:t>
      </w:r>
      <w:r>
        <w:rPr>
          <w:rFonts w:hint="eastAsia" w:hAnsiTheme="minorEastAsia" w:eastAsiaTheme="minorEastAsia"/>
          <w:kern w:val="0"/>
          <w:sz w:val="24"/>
          <w:highlight w:val="none"/>
          <w:lang w:eastAsia="zh-CN"/>
        </w:rPr>
        <w:t>各生</w:t>
      </w:r>
      <w:r>
        <w:rPr>
          <w:rFonts w:hAnsiTheme="minorEastAsia" w:eastAsiaTheme="minorEastAsia"/>
          <w:kern w:val="0"/>
          <w:sz w:val="24"/>
          <w:highlight w:val="none"/>
        </w:rPr>
        <w:t>产单元的生产符合清洁生产要求</w:t>
      </w:r>
      <w:r>
        <w:rPr>
          <w:highlight w:val="none"/>
        </w:rPr>
        <w:t>。</w:t>
      </w:r>
    </w:p>
    <w:p w14:paraId="4EF1DBBF">
      <w:pPr>
        <w:pStyle w:val="3"/>
        <w:bidi w:val="0"/>
        <w:rPr>
          <w:highlight w:val="none"/>
        </w:rPr>
      </w:pPr>
      <w:bookmarkStart w:id="265" w:name="_Toc15877"/>
      <w:bookmarkStart w:id="266" w:name="_Toc26209"/>
      <w:bookmarkStart w:id="267" w:name="_Toc13604"/>
      <w:bookmarkStart w:id="268" w:name="_Toc477954563"/>
      <w:r>
        <w:rPr>
          <w:highlight w:val="none"/>
        </w:rPr>
        <w:t>4环境现状调查与评价</w:t>
      </w:r>
      <w:bookmarkEnd w:id="265"/>
      <w:bookmarkEnd w:id="266"/>
      <w:bookmarkEnd w:id="267"/>
      <w:bookmarkEnd w:id="268"/>
    </w:p>
    <w:p w14:paraId="10806938">
      <w:pPr>
        <w:pStyle w:val="4"/>
        <w:bidi w:val="0"/>
        <w:rPr>
          <w:highlight w:val="none"/>
        </w:rPr>
      </w:pPr>
      <w:bookmarkStart w:id="269" w:name="_Toc28549"/>
      <w:bookmarkStart w:id="270" w:name="_Toc18494"/>
      <w:r>
        <w:rPr>
          <w:highlight w:val="none"/>
        </w:rPr>
        <w:t>4.1自然环境概况</w:t>
      </w:r>
      <w:bookmarkEnd w:id="269"/>
      <w:bookmarkEnd w:id="270"/>
    </w:p>
    <w:p w14:paraId="70D8B89A">
      <w:pPr>
        <w:pStyle w:val="5"/>
        <w:bidi w:val="0"/>
        <w:rPr>
          <w:highlight w:val="none"/>
        </w:rPr>
      </w:pPr>
      <w:bookmarkStart w:id="271" w:name="_Toc218825485"/>
      <w:bookmarkStart w:id="272" w:name="_Toc27340"/>
      <w:bookmarkStart w:id="273" w:name="_Toc18340"/>
      <w:r>
        <w:rPr>
          <w:highlight w:val="none"/>
        </w:rPr>
        <w:t>4.1.1地理位置</w:t>
      </w:r>
      <w:bookmarkEnd w:id="271"/>
      <w:bookmarkEnd w:id="272"/>
      <w:bookmarkEnd w:id="273"/>
    </w:p>
    <w:p w14:paraId="18D3896A">
      <w:pPr>
        <w:pStyle w:val="77"/>
        <w:adjustRightInd/>
        <w:snapToGrid/>
        <w:contextualSpacing/>
        <w:jc w:val="both"/>
        <w:rPr>
          <w:rFonts w:ascii="Times New Roman" w:hAnsi="Times New Roman" w:cs="Times New Roman"/>
          <w:highlight w:val="none"/>
        </w:rPr>
      </w:pPr>
      <w:r>
        <w:rPr>
          <w:rFonts w:ascii="Times New Roman" w:cs="Times New Roman" w:hAnsiTheme="minorEastAsia"/>
          <w:highlight w:val="none"/>
        </w:rPr>
        <w:t>哈尔滨地处我国东北北部地区，黑龙江省西南部，松嫩平原东端。地理位置是东经</w:t>
      </w:r>
      <w:r>
        <w:rPr>
          <w:rFonts w:ascii="Times New Roman" w:hAnsi="Times New Roman" w:cs="Times New Roman"/>
          <w:highlight w:val="none"/>
        </w:rPr>
        <w:t>125°42′~130°10′</w:t>
      </w:r>
      <w:r>
        <w:rPr>
          <w:rFonts w:ascii="Times New Roman" w:cs="Times New Roman" w:hAnsiTheme="minorEastAsia"/>
          <w:highlight w:val="none"/>
        </w:rPr>
        <w:t>，北纬</w:t>
      </w:r>
      <w:r>
        <w:rPr>
          <w:rFonts w:ascii="Times New Roman" w:hAnsi="Times New Roman" w:cs="Times New Roman"/>
          <w:highlight w:val="none"/>
        </w:rPr>
        <w:t>45°09′~46°45′</w:t>
      </w:r>
      <w:r>
        <w:rPr>
          <w:rFonts w:ascii="Times New Roman" w:cs="Times New Roman" w:hAnsiTheme="minorEastAsia"/>
          <w:highlight w:val="none"/>
        </w:rPr>
        <w:t>。西北与肇东、兰西、绥化接壤，东南与巴彦、宾县、尚志市相连，西南与五常毗邻。东西最大横距</w:t>
      </w:r>
      <w:r>
        <w:rPr>
          <w:rFonts w:ascii="Times New Roman" w:hAnsi="Times New Roman" w:cs="Times New Roman"/>
          <w:highlight w:val="none"/>
        </w:rPr>
        <w:t>354km</w:t>
      </w:r>
      <w:r>
        <w:rPr>
          <w:rFonts w:ascii="Times New Roman" w:cs="Times New Roman" w:hAnsiTheme="minorEastAsia"/>
          <w:highlight w:val="none"/>
        </w:rPr>
        <w:t>，南北最大纵距</w:t>
      </w:r>
      <w:r>
        <w:rPr>
          <w:rFonts w:ascii="Times New Roman" w:hAnsi="Times New Roman" w:cs="Times New Roman"/>
          <w:highlight w:val="none"/>
        </w:rPr>
        <w:t>282km</w:t>
      </w:r>
      <w:r>
        <w:rPr>
          <w:rFonts w:ascii="Times New Roman" w:cs="Times New Roman" w:hAnsiTheme="minorEastAsia"/>
          <w:highlight w:val="none"/>
        </w:rPr>
        <w:t>，辖区面积</w:t>
      </w:r>
      <w:r>
        <w:rPr>
          <w:rFonts w:ascii="Times New Roman" w:hAnsi="Times New Roman" w:cs="Times New Roman"/>
          <w:highlight w:val="none"/>
        </w:rPr>
        <w:t>5.31×104km</w:t>
      </w:r>
      <w:r>
        <w:rPr>
          <w:rFonts w:ascii="Times New Roman" w:hAnsi="Times New Roman" w:cs="Times New Roman"/>
          <w:highlight w:val="none"/>
          <w:vertAlign w:val="superscript"/>
        </w:rPr>
        <w:t>2</w:t>
      </w:r>
      <w:r>
        <w:rPr>
          <w:rFonts w:ascii="Times New Roman" w:cs="Times New Roman" w:hAnsiTheme="minorEastAsia"/>
          <w:highlight w:val="none"/>
        </w:rPr>
        <w:t>，全市</w:t>
      </w:r>
      <w:r>
        <w:rPr>
          <w:rFonts w:ascii="Times New Roman" w:hAnsi="Times New Roman" w:cs="Times New Roman"/>
          <w:highlight w:val="none"/>
        </w:rPr>
        <w:t>9</w:t>
      </w:r>
      <w:r>
        <w:rPr>
          <w:rFonts w:ascii="Times New Roman" w:cs="Times New Roman" w:hAnsiTheme="minorEastAsia"/>
          <w:highlight w:val="none"/>
        </w:rPr>
        <w:t>区</w:t>
      </w:r>
      <w:r>
        <w:rPr>
          <w:rFonts w:ascii="Times New Roman" w:hAnsi="Times New Roman" w:cs="Times New Roman"/>
          <w:highlight w:val="none"/>
        </w:rPr>
        <w:t>9</w:t>
      </w:r>
      <w:r>
        <w:rPr>
          <w:rFonts w:ascii="Times New Roman" w:cs="Times New Roman" w:hAnsiTheme="minorEastAsia"/>
          <w:highlight w:val="none"/>
        </w:rPr>
        <w:t>县。</w:t>
      </w:r>
    </w:p>
    <w:p w14:paraId="3E1CED92">
      <w:pPr>
        <w:pStyle w:val="77"/>
        <w:adjustRightInd/>
        <w:snapToGrid/>
        <w:contextualSpacing/>
        <w:jc w:val="both"/>
        <w:rPr>
          <w:rFonts w:ascii="Times New Roman" w:cs="Times New Roman" w:hAnsiTheme="minorEastAsia"/>
          <w:highlight w:val="none"/>
        </w:rPr>
      </w:pPr>
      <w:r>
        <w:rPr>
          <w:rFonts w:ascii="Times New Roman" w:cs="Times New Roman" w:hAnsiTheme="minorEastAsia"/>
          <w:highlight w:val="none"/>
        </w:rPr>
        <w:t>哈尔滨平房区位于哈尔滨市东南部，地理位置为东经</w:t>
      </w:r>
      <w:r>
        <w:rPr>
          <w:rFonts w:ascii="Times New Roman" w:hAnsi="Times New Roman" w:cs="Times New Roman"/>
          <w:highlight w:val="none"/>
        </w:rPr>
        <w:t>126°33′45″~126°48′45″</w:t>
      </w:r>
      <w:r>
        <w:rPr>
          <w:rFonts w:ascii="Times New Roman" w:cs="Times New Roman" w:hAnsiTheme="minorEastAsia"/>
          <w:highlight w:val="none"/>
        </w:rPr>
        <w:t>，北纬</w:t>
      </w:r>
      <w:r>
        <w:rPr>
          <w:rFonts w:ascii="Times New Roman" w:hAnsi="Times New Roman" w:cs="Times New Roman"/>
          <w:highlight w:val="none"/>
        </w:rPr>
        <w:t>45°30′00″~45°40′00″</w:t>
      </w:r>
      <w:r>
        <w:rPr>
          <w:rFonts w:ascii="Times New Roman" w:cs="Times New Roman" w:hAnsiTheme="minorEastAsia"/>
          <w:highlight w:val="none"/>
        </w:rPr>
        <w:t>。东与哈尔滨市阿城区交界，南与双城区为邻，西与南岗区红旗乡接壤，北连动力区朝阳、黎明乡。</w:t>
      </w:r>
    </w:p>
    <w:p w14:paraId="4E6CD926">
      <w:pPr>
        <w:pStyle w:val="77"/>
        <w:adjustRightInd/>
        <w:snapToGrid/>
        <w:contextualSpacing/>
        <w:jc w:val="both"/>
        <w:rPr>
          <w:rFonts w:ascii="Times New Roman" w:hAnsi="Times New Roman" w:cs="Times New Roman"/>
          <w:szCs w:val="21"/>
          <w:highlight w:val="none"/>
        </w:rPr>
      </w:pPr>
      <w:r>
        <w:rPr>
          <w:rFonts w:ascii="Times New Roman" w:cs="Times New Roman" w:hAnsiTheme="minorEastAsia"/>
          <w:highlight w:val="none"/>
        </w:rPr>
        <w:t>本项目位于</w:t>
      </w:r>
      <w:r>
        <w:rPr>
          <w:rFonts w:hint="eastAsia" w:ascii="Times New Roman" w:cs="Times New Roman" w:hAnsiTheme="minorEastAsia"/>
          <w:snapToGrid w:val="0"/>
          <w:kern w:val="0"/>
          <w:highlight w:val="none"/>
        </w:rPr>
        <w:t>哈尔滨经济技术开发区</w:t>
      </w:r>
      <w:r>
        <w:rPr>
          <w:rFonts w:ascii="Times New Roman" w:cs="Times New Roman" w:hAnsiTheme="minorEastAsia"/>
          <w:snapToGrid w:val="0"/>
          <w:kern w:val="0"/>
          <w:highlight w:val="none"/>
        </w:rPr>
        <w:t>征仪南路</w:t>
      </w:r>
      <w:r>
        <w:rPr>
          <w:rFonts w:ascii="Times New Roman" w:hAnsi="Times New Roman" w:cs="Times New Roman"/>
          <w:snapToGrid w:val="0"/>
          <w:kern w:val="0"/>
          <w:highlight w:val="none"/>
        </w:rPr>
        <w:t>6</w:t>
      </w:r>
      <w:r>
        <w:rPr>
          <w:rFonts w:ascii="Times New Roman" w:cs="Times New Roman" w:hAnsiTheme="minorEastAsia"/>
          <w:snapToGrid w:val="0"/>
          <w:kern w:val="0"/>
          <w:highlight w:val="none"/>
        </w:rPr>
        <w:t>号，哈尔滨东安汽车发动机制造有限公司</w:t>
      </w:r>
      <w:r>
        <w:rPr>
          <w:rFonts w:hint="eastAsia" w:ascii="Times New Roman" w:cs="Times New Roman" w:hAnsiTheme="minorEastAsia"/>
          <w:snapToGrid w:val="0"/>
          <w:kern w:val="0"/>
          <w:highlight w:val="none"/>
          <w:lang w:val="en-US" w:eastAsia="zh-CN"/>
        </w:rPr>
        <w:t>院内</w:t>
      </w:r>
      <w:r>
        <w:rPr>
          <w:rFonts w:hint="eastAsia" w:ascii="Times New Roman" w:cs="Times New Roman" w:hAnsiTheme="minorEastAsia"/>
          <w:highlight w:val="none"/>
          <w:lang w:val="en-US" w:eastAsia="zh-CN"/>
        </w:rPr>
        <w:t>，东侧为哈尔滨艾瑞排放控制技术股份有限公司和哈尔滨凌云汽车零部件有限公司，南侧为哈飞汽车工业集团有限公司，西侧和北侧为哈尔滨云驰汽车制造有限公司</w:t>
      </w:r>
      <w:r>
        <w:rPr>
          <w:rFonts w:ascii="Times New Roman" w:cs="Times New Roman" w:hAnsiTheme="minorEastAsia"/>
          <w:highlight w:val="none"/>
        </w:rPr>
        <w:t>。</w:t>
      </w:r>
    </w:p>
    <w:p w14:paraId="36A718D4">
      <w:pPr>
        <w:pStyle w:val="77"/>
        <w:keepNext w:val="0"/>
        <w:keepLines w:val="0"/>
        <w:pageBreakBefore w:val="0"/>
        <w:widowControl/>
        <w:kinsoku/>
        <w:wordWrap w:val="0"/>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cs="Times New Roman" w:eastAsiaTheme="minorEastAsia"/>
          <w:b/>
          <w:highlight w:val="none"/>
          <w:lang w:eastAsia="zh-CN"/>
        </w:rPr>
      </w:pPr>
      <w:r>
        <w:rPr>
          <w:rFonts w:hint="eastAsia" w:ascii="Times New Roman" w:hAnsi="Times New Roman" w:cs="Times New Roman"/>
          <w:b/>
          <w:highlight w:val="none"/>
          <w:lang w:val="en-US" w:eastAsia="zh-CN"/>
        </w:rPr>
        <w:drawing>
          <wp:inline distT="0" distB="0" distL="114300" distR="114300">
            <wp:extent cx="1870075" cy="2493645"/>
            <wp:effectExtent l="0" t="0" r="1905" b="15875"/>
            <wp:docPr id="13" name="图片 13" descr="IMG_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793"/>
                    <pic:cNvPicPr>
                      <a:picLocks noChangeAspect="1"/>
                    </pic:cNvPicPr>
                  </pic:nvPicPr>
                  <pic:blipFill>
                    <a:blip r:embed="rId29"/>
                    <a:stretch>
                      <a:fillRect/>
                    </a:stretch>
                  </pic:blipFill>
                  <pic:spPr>
                    <a:xfrm rot="16200000">
                      <a:off x="0" y="0"/>
                      <a:ext cx="1870075" cy="2493645"/>
                    </a:xfrm>
                    <a:prstGeom prst="rect">
                      <a:avLst/>
                    </a:prstGeom>
                  </pic:spPr>
                </pic:pic>
              </a:graphicData>
            </a:graphic>
          </wp:inline>
        </w:drawing>
      </w:r>
      <w:r>
        <w:rPr>
          <w:rFonts w:hint="eastAsia" w:ascii="Times New Roman" w:hAnsi="Times New Roman" w:cs="Times New Roman"/>
          <w:b/>
          <w:highlight w:val="none"/>
          <w:lang w:val="en-US" w:eastAsia="zh-CN"/>
        </w:rPr>
        <w:t xml:space="preserve">  </w:t>
      </w:r>
      <w:r>
        <w:rPr>
          <w:rFonts w:hint="eastAsia" w:ascii="Times New Roman" w:hAnsi="Times New Roman" w:cs="Times New Roman" w:eastAsiaTheme="minorEastAsia"/>
          <w:b/>
          <w:highlight w:val="none"/>
          <w:lang w:eastAsia="zh-CN"/>
        </w:rPr>
        <w:drawing>
          <wp:inline distT="0" distB="0" distL="114300" distR="114300">
            <wp:extent cx="1847850" cy="2464435"/>
            <wp:effectExtent l="0" t="0" r="12065" b="0"/>
            <wp:docPr id="8" name="图片 8" descr="IMG_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797"/>
                    <pic:cNvPicPr>
                      <a:picLocks noChangeAspect="1"/>
                    </pic:cNvPicPr>
                  </pic:nvPicPr>
                  <pic:blipFill>
                    <a:blip r:embed="rId30"/>
                    <a:stretch>
                      <a:fillRect/>
                    </a:stretch>
                  </pic:blipFill>
                  <pic:spPr>
                    <a:xfrm rot="16200000">
                      <a:off x="0" y="0"/>
                      <a:ext cx="1847850" cy="2464435"/>
                    </a:xfrm>
                    <a:prstGeom prst="rect">
                      <a:avLst/>
                    </a:prstGeom>
                  </pic:spPr>
                </pic:pic>
              </a:graphicData>
            </a:graphic>
          </wp:inline>
        </w:drawing>
      </w:r>
    </w:p>
    <w:p w14:paraId="39035522">
      <w:pPr>
        <w:keepNext w:val="0"/>
        <w:keepLines w:val="0"/>
        <w:pageBreakBefore w:val="0"/>
        <w:widowControl w:val="0"/>
        <w:kinsoku/>
        <w:wordWrap w:val="0"/>
        <w:overflowPunct/>
        <w:topLinePunct w:val="0"/>
        <w:autoSpaceDE/>
        <w:autoSpaceDN/>
        <w:bidi w:val="0"/>
        <w:adjustRightInd/>
        <w:snapToGrid w:val="0"/>
        <w:ind w:firstLine="0" w:firstLineChars="0"/>
        <w:jc w:val="left"/>
        <w:textAlignment w:val="auto"/>
        <w:rPr>
          <w:rFonts w:hint="eastAsia" w:ascii="Times New Roman" w:cs="Times New Roman" w:hAnsiTheme="minorEastAsia"/>
          <w:highlight w:val="none"/>
          <w:lang w:val="en-US" w:eastAsia="zh-CN"/>
        </w:rPr>
      </w:pPr>
      <w:r>
        <w:rPr>
          <w:rFonts w:hint="eastAsia" w:cs="Times New Roman" w:hAnsiTheme="minorEastAsia"/>
          <w:highlight w:val="none"/>
          <w:lang w:val="en-US" w:eastAsia="zh-CN"/>
        </w:rPr>
        <w:t>西</w:t>
      </w:r>
      <w:r>
        <w:rPr>
          <w:rFonts w:hint="eastAsia" w:ascii="Times New Roman" w:cs="Times New Roman" w:hAnsiTheme="minorEastAsia"/>
          <w:highlight w:val="none"/>
          <w:lang w:val="en-US" w:eastAsia="zh-CN"/>
        </w:rPr>
        <w:t>侧为哈尔滨市协辉金属材料加工有限责任公司</w:t>
      </w:r>
      <w:r>
        <w:rPr>
          <w:rFonts w:hint="eastAsia" w:cs="Times New Roman" w:hAnsiTheme="minorEastAsia"/>
          <w:highlight w:val="none"/>
          <w:lang w:val="en-US" w:eastAsia="zh-CN"/>
        </w:rPr>
        <w:t xml:space="preserve">  </w:t>
      </w:r>
      <w:r>
        <w:rPr>
          <w:rFonts w:hint="eastAsia" w:ascii="Times New Roman" w:cs="Times New Roman" w:hAnsiTheme="minorEastAsia"/>
          <w:highlight w:val="none"/>
          <w:lang w:val="en-US" w:eastAsia="zh-CN"/>
        </w:rPr>
        <w:t>南侧为</w:t>
      </w:r>
      <w:r>
        <w:rPr>
          <w:rFonts w:hint="eastAsia" w:cs="Times New Roman" w:hAnsiTheme="minorEastAsia"/>
          <w:highlight w:val="none"/>
          <w:lang w:val="en-US" w:eastAsia="zh-CN"/>
        </w:rPr>
        <w:t>乡道</w:t>
      </w:r>
    </w:p>
    <w:p w14:paraId="4658E213">
      <w:pPr>
        <w:keepNext w:val="0"/>
        <w:keepLines w:val="0"/>
        <w:pageBreakBefore w:val="0"/>
        <w:widowControl w:val="0"/>
        <w:kinsoku/>
        <w:wordWrap w:val="0"/>
        <w:overflowPunct/>
        <w:topLinePunct w:val="0"/>
        <w:autoSpaceDE/>
        <w:autoSpaceDN/>
        <w:bidi w:val="0"/>
        <w:adjustRightInd/>
        <w:snapToGrid w:val="0"/>
        <w:ind w:firstLine="0" w:firstLineChars="0"/>
        <w:jc w:val="left"/>
        <w:textAlignment w:val="auto"/>
        <w:rPr>
          <w:rFonts w:hint="eastAsia" w:eastAsia="宋体"/>
          <w:sz w:val="24"/>
          <w:highlight w:val="none"/>
          <w:lang w:eastAsia="zh-CN"/>
        </w:rPr>
      </w:pPr>
      <w:r>
        <w:rPr>
          <w:rFonts w:hint="eastAsia"/>
          <w:sz w:val="24"/>
          <w:highlight w:val="none"/>
          <w:lang w:val="en-US" w:eastAsia="zh-CN"/>
        </w:rPr>
        <w:t xml:space="preserve">  </w:t>
      </w:r>
      <w:r>
        <w:rPr>
          <w:rFonts w:hint="eastAsia" w:eastAsia="宋体"/>
          <w:sz w:val="24"/>
          <w:highlight w:val="none"/>
          <w:lang w:eastAsia="zh-CN"/>
        </w:rPr>
        <w:drawing>
          <wp:inline distT="0" distB="0" distL="114300" distR="114300">
            <wp:extent cx="1902460" cy="2536825"/>
            <wp:effectExtent l="0" t="0" r="15875" b="2540"/>
            <wp:docPr id="18" name="图片 18" descr="IMG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792"/>
                    <pic:cNvPicPr>
                      <a:picLocks noChangeAspect="1"/>
                    </pic:cNvPicPr>
                  </pic:nvPicPr>
                  <pic:blipFill>
                    <a:blip r:embed="rId31"/>
                    <a:stretch>
                      <a:fillRect/>
                    </a:stretch>
                  </pic:blipFill>
                  <pic:spPr>
                    <a:xfrm rot="16200000">
                      <a:off x="0" y="0"/>
                      <a:ext cx="1902460" cy="2536825"/>
                    </a:xfrm>
                    <a:prstGeom prst="rect">
                      <a:avLst/>
                    </a:prstGeom>
                  </pic:spPr>
                </pic:pic>
              </a:graphicData>
            </a:graphic>
          </wp:inline>
        </w:drawing>
      </w:r>
      <w:r>
        <w:rPr>
          <w:rFonts w:hint="eastAsia" w:eastAsia="宋体"/>
          <w:sz w:val="24"/>
          <w:highlight w:val="none"/>
          <w:lang w:eastAsia="zh-CN"/>
        </w:rPr>
        <w:drawing>
          <wp:inline distT="0" distB="0" distL="114300" distR="114300">
            <wp:extent cx="1888490" cy="2518410"/>
            <wp:effectExtent l="0" t="0" r="15240" b="16510"/>
            <wp:docPr id="58" name="图片 58" descr="IMG_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0788"/>
                    <pic:cNvPicPr>
                      <a:picLocks noChangeAspect="1"/>
                    </pic:cNvPicPr>
                  </pic:nvPicPr>
                  <pic:blipFill>
                    <a:blip r:embed="rId32"/>
                    <a:stretch>
                      <a:fillRect/>
                    </a:stretch>
                  </pic:blipFill>
                  <pic:spPr>
                    <a:xfrm rot="16200000">
                      <a:off x="0" y="0"/>
                      <a:ext cx="1888490" cy="2518410"/>
                    </a:xfrm>
                    <a:prstGeom prst="rect">
                      <a:avLst/>
                    </a:prstGeom>
                  </pic:spPr>
                </pic:pic>
              </a:graphicData>
            </a:graphic>
          </wp:inline>
        </w:drawing>
      </w:r>
    </w:p>
    <w:p w14:paraId="1F71B9DB">
      <w:pPr>
        <w:keepNext w:val="0"/>
        <w:keepLines w:val="0"/>
        <w:pageBreakBefore w:val="0"/>
        <w:widowControl w:val="0"/>
        <w:kinsoku/>
        <w:wordWrap w:val="0"/>
        <w:overflowPunct/>
        <w:topLinePunct w:val="0"/>
        <w:autoSpaceDE/>
        <w:autoSpaceDN/>
        <w:bidi w:val="0"/>
        <w:adjustRightInd w:val="0"/>
        <w:snapToGrid w:val="0"/>
        <w:spacing w:line="240" w:lineRule="auto"/>
        <w:ind w:left="1200" w:leftChars="500" w:firstLine="0" w:firstLineChars="0"/>
        <w:jc w:val="center"/>
        <w:textAlignment w:val="auto"/>
        <w:rPr>
          <w:rFonts w:hint="eastAsia" w:ascii="Times New Roman" w:cs="Times New Roman" w:hAnsiTheme="minorEastAsia" w:eastAsiaTheme="minorEastAsia"/>
          <w:szCs w:val="21"/>
          <w:highlight w:val="none"/>
          <w:lang w:val="en-US" w:eastAsia="zh-CN"/>
        </w:rPr>
      </w:pPr>
      <w:r>
        <w:rPr>
          <w:rFonts w:hint="eastAsia" w:cs="Times New Roman" w:hAnsiTheme="minorEastAsia"/>
          <w:highlight w:val="none"/>
          <w:lang w:val="en-US" w:eastAsia="zh-CN"/>
        </w:rPr>
        <w:t>东</w:t>
      </w:r>
      <w:r>
        <w:rPr>
          <w:rFonts w:hint="eastAsia" w:ascii="Times New Roman" w:cs="Times New Roman" w:hAnsiTheme="minorEastAsia"/>
          <w:highlight w:val="none"/>
          <w:lang w:val="en-US" w:eastAsia="zh-CN"/>
        </w:rPr>
        <w:t>侧</w:t>
      </w:r>
      <w:r>
        <w:rPr>
          <w:rFonts w:hint="eastAsia" w:eastAsiaTheme="minorEastAsia"/>
          <w:szCs w:val="21"/>
          <w:highlight w:val="none"/>
          <w:lang w:eastAsia="zh-CN"/>
        </w:rPr>
        <w:t>、</w:t>
      </w:r>
      <w:r>
        <w:rPr>
          <w:rFonts w:hint="eastAsia" w:ascii="Times New Roman" w:cs="Times New Roman" w:hAnsiTheme="minorEastAsia"/>
          <w:highlight w:val="none"/>
          <w:lang w:val="en-US" w:eastAsia="zh-CN"/>
        </w:rPr>
        <w:t>北侧为哈尔滨英明新型包装制品有限公司</w:t>
      </w:r>
    </w:p>
    <w:p w14:paraId="73BF44E9">
      <w:pPr>
        <w:pStyle w:val="7"/>
        <w:bidi w:val="0"/>
        <w:rPr>
          <w:highlight w:val="none"/>
        </w:rPr>
      </w:pPr>
      <w:r>
        <w:rPr>
          <w:highlight w:val="none"/>
        </w:rPr>
        <w:t>图4-1-1本项目周边环境图</w:t>
      </w:r>
    </w:p>
    <w:p w14:paraId="46D56F67">
      <w:pPr>
        <w:pStyle w:val="5"/>
        <w:bidi w:val="0"/>
        <w:rPr>
          <w:highlight w:val="none"/>
        </w:rPr>
      </w:pPr>
      <w:bookmarkStart w:id="274" w:name="_Toc9085"/>
      <w:bookmarkStart w:id="275" w:name="_Toc24108"/>
      <w:r>
        <w:rPr>
          <w:highlight w:val="none"/>
        </w:rPr>
        <w:t>4.1.2气候气象</w:t>
      </w:r>
      <w:bookmarkEnd w:id="274"/>
      <w:bookmarkEnd w:id="275"/>
    </w:p>
    <w:p w14:paraId="57A2FBD9">
      <w:pPr>
        <w:bidi w:val="0"/>
        <w:rPr>
          <w:highlight w:val="none"/>
        </w:rPr>
      </w:pPr>
      <w:bookmarkStart w:id="276" w:name="_Toc7582"/>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气候特征</w:t>
      </w:r>
      <w:bookmarkEnd w:id="276"/>
    </w:p>
    <w:p w14:paraId="20B640AB">
      <w:pPr>
        <w:bidi w:val="0"/>
        <w:rPr>
          <w:highlight w:val="none"/>
        </w:rPr>
      </w:pPr>
      <w:r>
        <w:rPr>
          <w:highlight w:val="none"/>
        </w:rPr>
        <w:t>哈尔滨市属于半湿润温带大陆性季风气候，冬天受蒙古西北气流控制，受东部鄂霍次克寒流影响，因此冬季漫长、寒冷而干燥。夏季多受太平洋西伸北跃西南气流的影响，炎热多雨。春秋两季短促，多风而干燥。一年中寒暑温差较大。</w:t>
      </w:r>
    </w:p>
    <w:p w14:paraId="57E9DEC6">
      <w:pPr>
        <w:bidi w:val="0"/>
        <w:rPr>
          <w:highlight w:val="none"/>
        </w:rPr>
      </w:pPr>
      <w:r>
        <w:rPr>
          <w:highlight w:val="none"/>
        </w:rPr>
        <w:t>近30年来，哈尔滨市年平均温度4.2℃，七月平均气温最高，为23.0℃，年极端最高温度为36.7℃，最冷为1月份，平均气温为-18.4℃，年极端最低气温-38.1℃；年平均风速为2.6m/s，年最大风速为26.0m/s，多年主导风向为南风和南南西风；最大冻土深度为1.99m；结冰期150d左右，采暖期180d；年平均降雨量为524.5mm；年最大降水量826.3mm，降水主要集中在七、八月；年平均蒸发量为1622.0mm；年平均气压997.2Pa；最大积雪深度41cm，年日照时长2474.4h；年平均相对湿度约65%。</w:t>
      </w:r>
    </w:p>
    <w:p w14:paraId="2E3D3BCF">
      <w:pPr>
        <w:bidi w:val="0"/>
        <w:rPr>
          <w:highlight w:val="none"/>
        </w:rPr>
      </w:pPr>
      <w:bookmarkStart w:id="277" w:name="_Toc8697"/>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风向、风频</w:t>
      </w:r>
      <w:bookmarkEnd w:id="277"/>
    </w:p>
    <w:p w14:paraId="37EA6FC2">
      <w:pPr>
        <w:bidi w:val="0"/>
        <w:rPr>
          <w:highlight w:val="none"/>
        </w:rPr>
      </w:pPr>
      <w:r>
        <w:rPr>
          <w:rFonts w:hint="eastAsia"/>
          <w:highlight w:val="none"/>
          <w:lang w:val="en-US" w:eastAsia="zh-CN"/>
        </w:rPr>
        <w:t>近20</w:t>
      </w:r>
      <w:r>
        <w:rPr>
          <w:highlight w:val="none"/>
        </w:rPr>
        <w:t>年每月、各季及长期平均各向风频变化情况分别见表4-1-1和表4-1-2，全年及四季风频玫瑰见图4-1-2。</w:t>
      </w:r>
    </w:p>
    <w:p w14:paraId="76380E26">
      <w:pPr>
        <w:pStyle w:val="8"/>
        <w:bidi w:val="0"/>
        <w:rPr>
          <w:highlight w:val="none"/>
        </w:rPr>
      </w:pPr>
    </w:p>
    <w:p w14:paraId="18C3751F">
      <w:pPr>
        <w:pStyle w:val="7"/>
        <w:bidi w:val="0"/>
        <w:rPr>
          <w:rFonts w:hint="eastAsia"/>
          <w:highlight w:val="none"/>
          <w:lang w:eastAsia="zh-CN"/>
        </w:rPr>
      </w:pPr>
      <w:r>
        <w:rPr>
          <w:highlight w:val="none"/>
        </w:rPr>
        <w:t>表4-1-1</w:t>
      </w:r>
      <w:r>
        <w:rPr>
          <w:rFonts w:hint="eastAsia"/>
          <w:highlight w:val="none"/>
          <w:lang w:val="en-US" w:eastAsia="zh-CN"/>
        </w:rPr>
        <w:t>近20</w:t>
      </w:r>
      <w:r>
        <w:rPr>
          <w:highlight w:val="none"/>
        </w:rPr>
        <w:t>年年均风频的月变化统计</w:t>
      </w:r>
      <w:r>
        <w:rPr>
          <w:rFonts w:hint="eastAsia"/>
          <w:highlight w:val="none"/>
          <w:lang w:eastAsia="zh-CN"/>
        </w:rPr>
        <w:t>（</w:t>
      </w:r>
      <w:r>
        <w:rPr>
          <w:highlight w:val="none"/>
        </w:rPr>
        <w:t>单位：%</w:t>
      </w:r>
      <w:r>
        <w:rPr>
          <w:rFonts w:hint="eastAsia"/>
          <w:highlight w:val="none"/>
          <w:lang w:eastAsia="zh-CN"/>
        </w:rPr>
        <w:t>）</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58"/>
        <w:gridCol w:w="394"/>
        <w:gridCol w:w="470"/>
        <w:gridCol w:w="470"/>
        <w:gridCol w:w="469"/>
        <w:gridCol w:w="469"/>
        <w:gridCol w:w="470"/>
        <w:gridCol w:w="470"/>
        <w:gridCol w:w="470"/>
        <w:gridCol w:w="471"/>
        <w:gridCol w:w="469"/>
        <w:gridCol w:w="468"/>
        <w:gridCol w:w="447"/>
        <w:gridCol w:w="447"/>
        <w:gridCol w:w="470"/>
        <w:gridCol w:w="470"/>
        <w:gridCol w:w="469"/>
        <w:gridCol w:w="471"/>
      </w:tblGrid>
      <w:tr w14:paraId="05DDDE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0075056A">
            <w:pPr>
              <w:pStyle w:val="8"/>
              <w:suppressLineNumbers w:val="0"/>
              <w:bidi w:val="0"/>
              <w:spacing w:before="0" w:beforeAutospacing="0" w:after="0" w:afterAutospacing="0"/>
              <w:ind w:left="0" w:right="0"/>
              <w:rPr>
                <w:rFonts w:hint="default"/>
                <w:highlight w:val="none"/>
              </w:rPr>
            </w:pPr>
            <w:r>
              <w:rPr>
                <w:rFonts w:hint="default"/>
                <w:highlight w:val="none"/>
              </w:rPr>
              <w:t>风向风频（%）</w:t>
            </w:r>
          </w:p>
        </w:tc>
        <w:tc>
          <w:tcPr>
            <w:tcW w:w="394" w:type="dxa"/>
            <w:shd w:val="clear" w:color="auto" w:fill="auto"/>
            <w:noWrap/>
            <w:vAlign w:val="center"/>
          </w:tcPr>
          <w:p w14:paraId="61828521">
            <w:pPr>
              <w:pStyle w:val="8"/>
              <w:suppressLineNumbers w:val="0"/>
              <w:bidi w:val="0"/>
              <w:spacing w:before="0" w:beforeAutospacing="0" w:after="0" w:afterAutospacing="0"/>
              <w:ind w:left="0" w:right="0"/>
              <w:rPr>
                <w:rFonts w:hint="default"/>
                <w:highlight w:val="none"/>
              </w:rPr>
            </w:pPr>
            <w:r>
              <w:rPr>
                <w:rFonts w:hint="default"/>
                <w:highlight w:val="none"/>
              </w:rPr>
              <w:t>N</w:t>
            </w:r>
          </w:p>
        </w:tc>
        <w:tc>
          <w:tcPr>
            <w:tcW w:w="470" w:type="dxa"/>
            <w:shd w:val="clear" w:color="auto" w:fill="auto"/>
            <w:noWrap/>
            <w:vAlign w:val="center"/>
          </w:tcPr>
          <w:p w14:paraId="6ABAD527">
            <w:pPr>
              <w:pStyle w:val="8"/>
              <w:suppressLineNumbers w:val="0"/>
              <w:bidi w:val="0"/>
              <w:spacing w:before="0" w:beforeAutospacing="0" w:after="0" w:afterAutospacing="0"/>
              <w:ind w:left="0" w:right="0"/>
              <w:rPr>
                <w:rFonts w:hint="default"/>
                <w:highlight w:val="none"/>
              </w:rPr>
            </w:pPr>
            <w:r>
              <w:rPr>
                <w:rFonts w:hint="default"/>
                <w:highlight w:val="none"/>
              </w:rPr>
              <w:t>NNE</w:t>
            </w:r>
          </w:p>
        </w:tc>
        <w:tc>
          <w:tcPr>
            <w:tcW w:w="470" w:type="dxa"/>
            <w:shd w:val="clear" w:color="auto" w:fill="auto"/>
            <w:noWrap/>
            <w:vAlign w:val="center"/>
          </w:tcPr>
          <w:p w14:paraId="56A30356">
            <w:pPr>
              <w:pStyle w:val="8"/>
              <w:suppressLineNumbers w:val="0"/>
              <w:bidi w:val="0"/>
              <w:spacing w:before="0" w:beforeAutospacing="0" w:after="0" w:afterAutospacing="0"/>
              <w:ind w:left="0" w:right="0"/>
              <w:rPr>
                <w:rFonts w:hint="default"/>
                <w:highlight w:val="none"/>
              </w:rPr>
            </w:pPr>
            <w:r>
              <w:rPr>
                <w:rFonts w:hint="default"/>
                <w:highlight w:val="none"/>
              </w:rPr>
              <w:t>NE</w:t>
            </w:r>
          </w:p>
        </w:tc>
        <w:tc>
          <w:tcPr>
            <w:tcW w:w="469" w:type="dxa"/>
            <w:shd w:val="clear" w:color="auto" w:fill="auto"/>
            <w:noWrap/>
            <w:vAlign w:val="center"/>
          </w:tcPr>
          <w:p w14:paraId="2D10B671">
            <w:pPr>
              <w:pStyle w:val="8"/>
              <w:suppressLineNumbers w:val="0"/>
              <w:bidi w:val="0"/>
              <w:spacing w:before="0" w:beforeAutospacing="0" w:after="0" w:afterAutospacing="0"/>
              <w:ind w:left="0" w:right="0"/>
              <w:rPr>
                <w:rFonts w:hint="default"/>
                <w:highlight w:val="none"/>
              </w:rPr>
            </w:pPr>
            <w:r>
              <w:rPr>
                <w:rFonts w:hint="default"/>
                <w:highlight w:val="none"/>
              </w:rPr>
              <w:t>ENE</w:t>
            </w:r>
          </w:p>
        </w:tc>
        <w:tc>
          <w:tcPr>
            <w:tcW w:w="469" w:type="dxa"/>
            <w:shd w:val="clear" w:color="auto" w:fill="auto"/>
            <w:noWrap/>
            <w:vAlign w:val="center"/>
          </w:tcPr>
          <w:p w14:paraId="38C561C0">
            <w:pPr>
              <w:pStyle w:val="8"/>
              <w:suppressLineNumbers w:val="0"/>
              <w:bidi w:val="0"/>
              <w:spacing w:before="0" w:beforeAutospacing="0" w:after="0" w:afterAutospacing="0"/>
              <w:ind w:left="0" w:right="0"/>
              <w:rPr>
                <w:rFonts w:hint="default"/>
                <w:highlight w:val="none"/>
              </w:rPr>
            </w:pPr>
            <w:r>
              <w:rPr>
                <w:rFonts w:hint="default"/>
                <w:highlight w:val="none"/>
              </w:rPr>
              <w:t>E</w:t>
            </w:r>
          </w:p>
        </w:tc>
        <w:tc>
          <w:tcPr>
            <w:tcW w:w="470" w:type="dxa"/>
            <w:shd w:val="clear" w:color="auto" w:fill="auto"/>
            <w:noWrap/>
            <w:vAlign w:val="center"/>
          </w:tcPr>
          <w:p w14:paraId="16EC9B4C">
            <w:pPr>
              <w:pStyle w:val="8"/>
              <w:suppressLineNumbers w:val="0"/>
              <w:bidi w:val="0"/>
              <w:spacing w:before="0" w:beforeAutospacing="0" w:after="0" w:afterAutospacing="0"/>
              <w:ind w:left="0" w:right="0"/>
              <w:rPr>
                <w:rFonts w:hint="default"/>
                <w:highlight w:val="none"/>
              </w:rPr>
            </w:pPr>
            <w:r>
              <w:rPr>
                <w:rFonts w:hint="default"/>
                <w:highlight w:val="none"/>
              </w:rPr>
              <w:t>ESE</w:t>
            </w:r>
          </w:p>
        </w:tc>
        <w:tc>
          <w:tcPr>
            <w:tcW w:w="470" w:type="dxa"/>
            <w:shd w:val="clear" w:color="auto" w:fill="auto"/>
            <w:noWrap/>
            <w:vAlign w:val="center"/>
          </w:tcPr>
          <w:p w14:paraId="39DABE57">
            <w:pPr>
              <w:pStyle w:val="8"/>
              <w:suppressLineNumbers w:val="0"/>
              <w:bidi w:val="0"/>
              <w:spacing w:before="0" w:beforeAutospacing="0" w:after="0" w:afterAutospacing="0"/>
              <w:ind w:left="0" w:right="0"/>
              <w:rPr>
                <w:rFonts w:hint="default"/>
                <w:highlight w:val="none"/>
              </w:rPr>
            </w:pPr>
            <w:r>
              <w:rPr>
                <w:rFonts w:hint="default"/>
                <w:highlight w:val="none"/>
              </w:rPr>
              <w:t>SE</w:t>
            </w:r>
          </w:p>
        </w:tc>
        <w:tc>
          <w:tcPr>
            <w:tcW w:w="470" w:type="dxa"/>
            <w:shd w:val="clear" w:color="auto" w:fill="auto"/>
            <w:noWrap/>
            <w:vAlign w:val="center"/>
          </w:tcPr>
          <w:p w14:paraId="32F56C0D">
            <w:pPr>
              <w:pStyle w:val="8"/>
              <w:suppressLineNumbers w:val="0"/>
              <w:bidi w:val="0"/>
              <w:spacing w:before="0" w:beforeAutospacing="0" w:after="0" w:afterAutospacing="0"/>
              <w:ind w:left="0" w:right="0"/>
              <w:rPr>
                <w:rFonts w:hint="default"/>
                <w:highlight w:val="none"/>
              </w:rPr>
            </w:pPr>
            <w:r>
              <w:rPr>
                <w:rFonts w:hint="default"/>
                <w:highlight w:val="none"/>
              </w:rPr>
              <w:t>SSE</w:t>
            </w:r>
          </w:p>
        </w:tc>
        <w:tc>
          <w:tcPr>
            <w:tcW w:w="471" w:type="dxa"/>
            <w:shd w:val="clear" w:color="auto" w:fill="auto"/>
            <w:noWrap/>
            <w:vAlign w:val="center"/>
          </w:tcPr>
          <w:p w14:paraId="666500FE">
            <w:pPr>
              <w:pStyle w:val="8"/>
              <w:suppressLineNumbers w:val="0"/>
              <w:bidi w:val="0"/>
              <w:spacing w:before="0" w:beforeAutospacing="0" w:after="0" w:afterAutospacing="0"/>
              <w:ind w:left="0" w:right="0"/>
              <w:rPr>
                <w:rFonts w:hint="default"/>
                <w:highlight w:val="none"/>
              </w:rPr>
            </w:pPr>
            <w:r>
              <w:rPr>
                <w:rFonts w:hint="default"/>
                <w:highlight w:val="none"/>
              </w:rPr>
              <w:t>S</w:t>
            </w:r>
          </w:p>
        </w:tc>
        <w:tc>
          <w:tcPr>
            <w:tcW w:w="469" w:type="dxa"/>
            <w:shd w:val="clear" w:color="auto" w:fill="auto"/>
            <w:noWrap/>
            <w:vAlign w:val="center"/>
          </w:tcPr>
          <w:p w14:paraId="52FB23C8">
            <w:pPr>
              <w:pStyle w:val="8"/>
              <w:suppressLineNumbers w:val="0"/>
              <w:bidi w:val="0"/>
              <w:spacing w:before="0" w:beforeAutospacing="0" w:after="0" w:afterAutospacing="0"/>
              <w:ind w:left="0" w:right="0"/>
              <w:rPr>
                <w:rFonts w:hint="default"/>
                <w:highlight w:val="none"/>
              </w:rPr>
            </w:pPr>
            <w:r>
              <w:rPr>
                <w:rFonts w:hint="default"/>
                <w:highlight w:val="none"/>
              </w:rPr>
              <w:t>SSW</w:t>
            </w:r>
          </w:p>
        </w:tc>
        <w:tc>
          <w:tcPr>
            <w:tcW w:w="468" w:type="dxa"/>
            <w:shd w:val="clear" w:color="auto" w:fill="auto"/>
            <w:noWrap/>
            <w:vAlign w:val="center"/>
          </w:tcPr>
          <w:p w14:paraId="7E213EE1">
            <w:pPr>
              <w:pStyle w:val="8"/>
              <w:suppressLineNumbers w:val="0"/>
              <w:bidi w:val="0"/>
              <w:spacing w:before="0" w:beforeAutospacing="0" w:after="0" w:afterAutospacing="0"/>
              <w:ind w:left="0" w:right="0"/>
              <w:rPr>
                <w:rFonts w:hint="default"/>
                <w:highlight w:val="none"/>
              </w:rPr>
            </w:pPr>
            <w:r>
              <w:rPr>
                <w:rFonts w:hint="default"/>
                <w:highlight w:val="none"/>
              </w:rPr>
              <w:t>SW</w:t>
            </w:r>
          </w:p>
        </w:tc>
        <w:tc>
          <w:tcPr>
            <w:tcW w:w="447" w:type="dxa"/>
            <w:shd w:val="clear" w:color="auto" w:fill="auto"/>
            <w:noWrap/>
            <w:vAlign w:val="center"/>
          </w:tcPr>
          <w:p w14:paraId="69E37AEE">
            <w:pPr>
              <w:pStyle w:val="8"/>
              <w:suppressLineNumbers w:val="0"/>
              <w:bidi w:val="0"/>
              <w:spacing w:before="0" w:beforeAutospacing="0" w:after="0" w:afterAutospacing="0"/>
              <w:ind w:left="0" w:right="0"/>
              <w:rPr>
                <w:rFonts w:hint="default"/>
                <w:highlight w:val="none"/>
              </w:rPr>
            </w:pPr>
            <w:r>
              <w:rPr>
                <w:rFonts w:hint="default"/>
                <w:highlight w:val="none"/>
              </w:rPr>
              <w:t>WSW</w:t>
            </w:r>
          </w:p>
        </w:tc>
        <w:tc>
          <w:tcPr>
            <w:tcW w:w="447" w:type="dxa"/>
            <w:shd w:val="clear" w:color="auto" w:fill="auto"/>
            <w:noWrap/>
            <w:vAlign w:val="center"/>
          </w:tcPr>
          <w:p w14:paraId="4FDF9295">
            <w:pPr>
              <w:pStyle w:val="8"/>
              <w:suppressLineNumbers w:val="0"/>
              <w:bidi w:val="0"/>
              <w:spacing w:before="0" w:beforeAutospacing="0" w:after="0" w:afterAutospacing="0"/>
              <w:ind w:left="0" w:right="0"/>
              <w:rPr>
                <w:rFonts w:hint="default"/>
                <w:highlight w:val="none"/>
              </w:rPr>
            </w:pPr>
            <w:r>
              <w:rPr>
                <w:rFonts w:hint="default"/>
                <w:highlight w:val="none"/>
              </w:rPr>
              <w:t>W</w:t>
            </w:r>
          </w:p>
        </w:tc>
        <w:tc>
          <w:tcPr>
            <w:tcW w:w="470" w:type="dxa"/>
            <w:shd w:val="clear" w:color="auto" w:fill="auto"/>
            <w:noWrap/>
            <w:vAlign w:val="center"/>
          </w:tcPr>
          <w:p w14:paraId="49CA0B76">
            <w:pPr>
              <w:pStyle w:val="8"/>
              <w:suppressLineNumbers w:val="0"/>
              <w:bidi w:val="0"/>
              <w:spacing w:before="0" w:beforeAutospacing="0" w:after="0" w:afterAutospacing="0"/>
              <w:ind w:left="0" w:right="0"/>
              <w:rPr>
                <w:rFonts w:hint="default"/>
                <w:highlight w:val="none"/>
              </w:rPr>
            </w:pPr>
            <w:r>
              <w:rPr>
                <w:rFonts w:hint="default"/>
                <w:highlight w:val="none"/>
              </w:rPr>
              <w:t>WNW</w:t>
            </w:r>
          </w:p>
        </w:tc>
        <w:tc>
          <w:tcPr>
            <w:tcW w:w="470" w:type="dxa"/>
            <w:shd w:val="clear" w:color="auto" w:fill="auto"/>
            <w:noWrap/>
            <w:vAlign w:val="center"/>
          </w:tcPr>
          <w:p w14:paraId="366085AB">
            <w:pPr>
              <w:pStyle w:val="8"/>
              <w:suppressLineNumbers w:val="0"/>
              <w:bidi w:val="0"/>
              <w:spacing w:before="0" w:beforeAutospacing="0" w:after="0" w:afterAutospacing="0"/>
              <w:ind w:left="0" w:right="0"/>
              <w:rPr>
                <w:rFonts w:hint="default"/>
                <w:highlight w:val="none"/>
              </w:rPr>
            </w:pPr>
            <w:r>
              <w:rPr>
                <w:rFonts w:hint="default"/>
                <w:highlight w:val="none"/>
              </w:rPr>
              <w:t>NW</w:t>
            </w:r>
          </w:p>
        </w:tc>
        <w:tc>
          <w:tcPr>
            <w:tcW w:w="469" w:type="dxa"/>
            <w:shd w:val="clear" w:color="auto" w:fill="auto"/>
            <w:noWrap/>
            <w:vAlign w:val="center"/>
          </w:tcPr>
          <w:p w14:paraId="438C5428">
            <w:pPr>
              <w:pStyle w:val="8"/>
              <w:suppressLineNumbers w:val="0"/>
              <w:bidi w:val="0"/>
              <w:spacing w:before="0" w:beforeAutospacing="0" w:after="0" w:afterAutospacing="0"/>
              <w:ind w:left="0" w:right="0"/>
              <w:rPr>
                <w:rFonts w:hint="default"/>
                <w:highlight w:val="none"/>
              </w:rPr>
            </w:pPr>
            <w:r>
              <w:rPr>
                <w:rFonts w:hint="default"/>
                <w:highlight w:val="none"/>
              </w:rPr>
              <w:t>NNW</w:t>
            </w:r>
          </w:p>
        </w:tc>
        <w:tc>
          <w:tcPr>
            <w:tcW w:w="471" w:type="dxa"/>
            <w:shd w:val="clear" w:color="auto" w:fill="auto"/>
            <w:noWrap/>
            <w:vAlign w:val="center"/>
          </w:tcPr>
          <w:p w14:paraId="22CE574E">
            <w:pPr>
              <w:pStyle w:val="8"/>
              <w:suppressLineNumbers w:val="0"/>
              <w:bidi w:val="0"/>
              <w:spacing w:before="0" w:beforeAutospacing="0" w:after="0" w:afterAutospacing="0"/>
              <w:ind w:left="0" w:right="0"/>
              <w:rPr>
                <w:rFonts w:hint="default"/>
                <w:highlight w:val="none"/>
              </w:rPr>
            </w:pPr>
            <w:r>
              <w:rPr>
                <w:rFonts w:hint="default"/>
                <w:highlight w:val="none"/>
              </w:rPr>
              <w:t>C</w:t>
            </w:r>
          </w:p>
        </w:tc>
      </w:tr>
      <w:tr w14:paraId="2489F3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23DB393F">
            <w:pPr>
              <w:pStyle w:val="8"/>
              <w:suppressLineNumbers w:val="0"/>
              <w:bidi w:val="0"/>
              <w:spacing w:before="0" w:beforeAutospacing="0" w:after="0" w:afterAutospacing="0"/>
              <w:ind w:left="0" w:right="0"/>
              <w:rPr>
                <w:rFonts w:hint="eastAsia" w:eastAsia="宋体"/>
                <w:highlight w:val="none"/>
                <w:lang w:eastAsia="zh-CN"/>
              </w:rPr>
            </w:pPr>
            <w:r>
              <w:rPr>
                <w:rFonts w:hint="default"/>
                <w:highlight w:val="none"/>
              </w:rPr>
              <w:t>1月</w:t>
            </w:r>
          </w:p>
        </w:tc>
        <w:tc>
          <w:tcPr>
            <w:tcW w:w="394" w:type="dxa"/>
            <w:shd w:val="clear" w:color="auto" w:fill="auto"/>
            <w:noWrap/>
            <w:vAlign w:val="center"/>
          </w:tcPr>
          <w:p w14:paraId="0A846F00">
            <w:pPr>
              <w:pStyle w:val="8"/>
              <w:suppressLineNumbers w:val="0"/>
              <w:bidi w:val="0"/>
              <w:spacing w:before="0" w:beforeAutospacing="0" w:after="0" w:afterAutospacing="0"/>
              <w:ind w:left="0" w:right="0"/>
              <w:rPr>
                <w:rFonts w:hint="default"/>
                <w:highlight w:val="none"/>
              </w:rPr>
            </w:pPr>
            <w:r>
              <w:rPr>
                <w:rFonts w:hint="default"/>
                <w:highlight w:val="none"/>
              </w:rPr>
              <w:t>5.11</w:t>
            </w:r>
          </w:p>
        </w:tc>
        <w:tc>
          <w:tcPr>
            <w:tcW w:w="470" w:type="dxa"/>
            <w:shd w:val="clear" w:color="auto" w:fill="auto"/>
            <w:noWrap/>
            <w:vAlign w:val="center"/>
          </w:tcPr>
          <w:p w14:paraId="47F7A8C9">
            <w:pPr>
              <w:pStyle w:val="8"/>
              <w:suppressLineNumbers w:val="0"/>
              <w:bidi w:val="0"/>
              <w:spacing w:before="0" w:beforeAutospacing="0" w:after="0" w:afterAutospacing="0"/>
              <w:ind w:left="0" w:right="0"/>
              <w:rPr>
                <w:rFonts w:hint="default"/>
                <w:highlight w:val="none"/>
              </w:rPr>
            </w:pPr>
            <w:r>
              <w:rPr>
                <w:rFonts w:hint="default"/>
                <w:highlight w:val="none"/>
              </w:rPr>
              <w:t>1.88</w:t>
            </w:r>
          </w:p>
        </w:tc>
        <w:tc>
          <w:tcPr>
            <w:tcW w:w="470" w:type="dxa"/>
            <w:shd w:val="clear" w:color="auto" w:fill="auto"/>
            <w:noWrap/>
            <w:vAlign w:val="center"/>
          </w:tcPr>
          <w:p w14:paraId="08E81758">
            <w:pPr>
              <w:pStyle w:val="8"/>
              <w:suppressLineNumbers w:val="0"/>
              <w:bidi w:val="0"/>
              <w:spacing w:before="0" w:beforeAutospacing="0" w:after="0" w:afterAutospacing="0"/>
              <w:ind w:left="0" w:right="0"/>
              <w:rPr>
                <w:rFonts w:hint="default"/>
                <w:highlight w:val="none"/>
              </w:rPr>
            </w:pPr>
            <w:r>
              <w:rPr>
                <w:rFonts w:hint="default"/>
                <w:highlight w:val="none"/>
              </w:rPr>
              <w:t>2.42</w:t>
            </w:r>
          </w:p>
        </w:tc>
        <w:tc>
          <w:tcPr>
            <w:tcW w:w="469" w:type="dxa"/>
            <w:shd w:val="clear" w:color="auto" w:fill="auto"/>
            <w:noWrap/>
            <w:vAlign w:val="center"/>
          </w:tcPr>
          <w:p w14:paraId="46A6893A">
            <w:pPr>
              <w:pStyle w:val="8"/>
              <w:suppressLineNumbers w:val="0"/>
              <w:bidi w:val="0"/>
              <w:spacing w:before="0" w:beforeAutospacing="0" w:after="0" w:afterAutospacing="0"/>
              <w:ind w:left="0" w:right="0"/>
              <w:rPr>
                <w:rFonts w:hint="default"/>
                <w:highlight w:val="none"/>
              </w:rPr>
            </w:pPr>
            <w:r>
              <w:rPr>
                <w:rFonts w:hint="default"/>
                <w:highlight w:val="none"/>
              </w:rPr>
              <w:t>2.15</w:t>
            </w:r>
          </w:p>
        </w:tc>
        <w:tc>
          <w:tcPr>
            <w:tcW w:w="469" w:type="dxa"/>
            <w:shd w:val="clear" w:color="auto" w:fill="auto"/>
            <w:noWrap/>
            <w:vAlign w:val="center"/>
          </w:tcPr>
          <w:p w14:paraId="7F5FAA42">
            <w:pPr>
              <w:pStyle w:val="8"/>
              <w:suppressLineNumbers w:val="0"/>
              <w:bidi w:val="0"/>
              <w:spacing w:before="0" w:beforeAutospacing="0" w:after="0" w:afterAutospacing="0"/>
              <w:ind w:left="0" w:right="0"/>
              <w:rPr>
                <w:rFonts w:hint="default"/>
                <w:highlight w:val="none"/>
              </w:rPr>
            </w:pPr>
            <w:r>
              <w:rPr>
                <w:rFonts w:hint="default"/>
                <w:highlight w:val="none"/>
              </w:rPr>
              <w:t>6.85</w:t>
            </w:r>
          </w:p>
        </w:tc>
        <w:tc>
          <w:tcPr>
            <w:tcW w:w="470" w:type="dxa"/>
            <w:shd w:val="clear" w:color="auto" w:fill="auto"/>
            <w:noWrap/>
            <w:vAlign w:val="center"/>
          </w:tcPr>
          <w:p w14:paraId="257BBE80">
            <w:pPr>
              <w:pStyle w:val="8"/>
              <w:suppressLineNumbers w:val="0"/>
              <w:bidi w:val="0"/>
              <w:spacing w:before="0" w:beforeAutospacing="0" w:after="0" w:afterAutospacing="0"/>
              <w:ind w:left="0" w:right="0"/>
              <w:rPr>
                <w:rFonts w:hint="default"/>
                <w:highlight w:val="none"/>
              </w:rPr>
            </w:pPr>
            <w:r>
              <w:rPr>
                <w:rFonts w:hint="default"/>
                <w:highlight w:val="none"/>
              </w:rPr>
              <w:t>2.82</w:t>
            </w:r>
          </w:p>
        </w:tc>
        <w:tc>
          <w:tcPr>
            <w:tcW w:w="470" w:type="dxa"/>
            <w:shd w:val="clear" w:color="auto" w:fill="auto"/>
            <w:noWrap/>
            <w:vAlign w:val="center"/>
          </w:tcPr>
          <w:p w14:paraId="3D1679F0">
            <w:pPr>
              <w:pStyle w:val="8"/>
              <w:suppressLineNumbers w:val="0"/>
              <w:bidi w:val="0"/>
              <w:spacing w:before="0" w:beforeAutospacing="0" w:after="0" w:afterAutospacing="0"/>
              <w:ind w:left="0" w:right="0"/>
              <w:rPr>
                <w:rFonts w:hint="default"/>
                <w:highlight w:val="none"/>
              </w:rPr>
            </w:pPr>
            <w:r>
              <w:rPr>
                <w:rFonts w:hint="default"/>
                <w:highlight w:val="none"/>
              </w:rPr>
              <w:t>1.88</w:t>
            </w:r>
          </w:p>
        </w:tc>
        <w:tc>
          <w:tcPr>
            <w:tcW w:w="470" w:type="dxa"/>
            <w:shd w:val="clear" w:color="auto" w:fill="auto"/>
            <w:noWrap/>
            <w:vAlign w:val="center"/>
          </w:tcPr>
          <w:p w14:paraId="50DF502E">
            <w:pPr>
              <w:pStyle w:val="8"/>
              <w:suppressLineNumbers w:val="0"/>
              <w:bidi w:val="0"/>
              <w:spacing w:before="0" w:beforeAutospacing="0" w:after="0" w:afterAutospacing="0"/>
              <w:ind w:left="0" w:right="0"/>
              <w:rPr>
                <w:rFonts w:hint="default"/>
                <w:highlight w:val="none"/>
              </w:rPr>
            </w:pPr>
            <w:r>
              <w:rPr>
                <w:rFonts w:hint="default"/>
                <w:highlight w:val="none"/>
              </w:rPr>
              <w:t>1.34</w:t>
            </w:r>
          </w:p>
        </w:tc>
        <w:tc>
          <w:tcPr>
            <w:tcW w:w="471" w:type="dxa"/>
            <w:shd w:val="clear" w:color="auto" w:fill="auto"/>
            <w:noWrap/>
            <w:vAlign w:val="center"/>
          </w:tcPr>
          <w:p w14:paraId="36D31F74">
            <w:pPr>
              <w:pStyle w:val="8"/>
              <w:suppressLineNumbers w:val="0"/>
              <w:bidi w:val="0"/>
              <w:spacing w:before="0" w:beforeAutospacing="0" w:after="0" w:afterAutospacing="0"/>
              <w:ind w:left="0" w:right="0"/>
              <w:rPr>
                <w:rFonts w:hint="default"/>
                <w:highlight w:val="none"/>
              </w:rPr>
            </w:pPr>
            <w:r>
              <w:rPr>
                <w:rFonts w:hint="default"/>
                <w:highlight w:val="none"/>
              </w:rPr>
              <w:t>1.75</w:t>
            </w:r>
          </w:p>
        </w:tc>
        <w:tc>
          <w:tcPr>
            <w:tcW w:w="469" w:type="dxa"/>
            <w:shd w:val="clear" w:color="auto" w:fill="auto"/>
            <w:noWrap/>
            <w:vAlign w:val="center"/>
          </w:tcPr>
          <w:p w14:paraId="23F6D7B8">
            <w:pPr>
              <w:pStyle w:val="8"/>
              <w:suppressLineNumbers w:val="0"/>
              <w:bidi w:val="0"/>
              <w:spacing w:before="0" w:beforeAutospacing="0" w:after="0" w:afterAutospacing="0"/>
              <w:ind w:left="0" w:right="0"/>
              <w:rPr>
                <w:rFonts w:hint="default"/>
                <w:highlight w:val="none"/>
              </w:rPr>
            </w:pPr>
            <w:r>
              <w:rPr>
                <w:rFonts w:hint="default"/>
                <w:highlight w:val="none"/>
              </w:rPr>
              <w:t>1.21</w:t>
            </w:r>
          </w:p>
        </w:tc>
        <w:tc>
          <w:tcPr>
            <w:tcW w:w="468" w:type="dxa"/>
            <w:shd w:val="clear" w:color="auto" w:fill="auto"/>
            <w:noWrap/>
            <w:vAlign w:val="center"/>
          </w:tcPr>
          <w:p w14:paraId="05F3E6A7">
            <w:pPr>
              <w:pStyle w:val="8"/>
              <w:suppressLineNumbers w:val="0"/>
              <w:bidi w:val="0"/>
              <w:spacing w:before="0" w:beforeAutospacing="0" w:after="0" w:afterAutospacing="0"/>
              <w:ind w:left="0" w:right="0"/>
              <w:rPr>
                <w:rFonts w:hint="default"/>
                <w:highlight w:val="none"/>
              </w:rPr>
            </w:pPr>
            <w:r>
              <w:rPr>
                <w:rFonts w:hint="default"/>
                <w:highlight w:val="none"/>
              </w:rPr>
              <w:t>5.38</w:t>
            </w:r>
          </w:p>
        </w:tc>
        <w:tc>
          <w:tcPr>
            <w:tcW w:w="447" w:type="dxa"/>
            <w:shd w:val="clear" w:color="auto" w:fill="auto"/>
            <w:noWrap/>
            <w:vAlign w:val="center"/>
          </w:tcPr>
          <w:p w14:paraId="6B3B3A17">
            <w:pPr>
              <w:pStyle w:val="8"/>
              <w:suppressLineNumbers w:val="0"/>
              <w:bidi w:val="0"/>
              <w:spacing w:before="0" w:beforeAutospacing="0" w:after="0" w:afterAutospacing="0"/>
              <w:ind w:left="0" w:right="0"/>
              <w:rPr>
                <w:rFonts w:hint="default"/>
                <w:highlight w:val="none"/>
              </w:rPr>
            </w:pPr>
            <w:r>
              <w:rPr>
                <w:rFonts w:hint="default"/>
                <w:highlight w:val="none"/>
              </w:rPr>
              <w:t>26.75</w:t>
            </w:r>
          </w:p>
        </w:tc>
        <w:tc>
          <w:tcPr>
            <w:tcW w:w="447" w:type="dxa"/>
            <w:shd w:val="clear" w:color="auto" w:fill="auto"/>
            <w:noWrap/>
            <w:vAlign w:val="center"/>
          </w:tcPr>
          <w:p w14:paraId="59F6AB07">
            <w:pPr>
              <w:pStyle w:val="8"/>
              <w:suppressLineNumbers w:val="0"/>
              <w:bidi w:val="0"/>
              <w:spacing w:before="0" w:beforeAutospacing="0" w:after="0" w:afterAutospacing="0"/>
              <w:ind w:left="0" w:right="0"/>
              <w:rPr>
                <w:rFonts w:hint="default"/>
                <w:highlight w:val="none"/>
              </w:rPr>
            </w:pPr>
            <w:r>
              <w:rPr>
                <w:rFonts w:hint="default"/>
                <w:highlight w:val="none"/>
              </w:rPr>
              <w:t>21.37</w:t>
            </w:r>
          </w:p>
        </w:tc>
        <w:tc>
          <w:tcPr>
            <w:tcW w:w="470" w:type="dxa"/>
            <w:shd w:val="clear" w:color="auto" w:fill="auto"/>
            <w:noWrap/>
            <w:vAlign w:val="center"/>
          </w:tcPr>
          <w:p w14:paraId="581412CC">
            <w:pPr>
              <w:pStyle w:val="8"/>
              <w:suppressLineNumbers w:val="0"/>
              <w:bidi w:val="0"/>
              <w:spacing w:before="0" w:beforeAutospacing="0" w:after="0" w:afterAutospacing="0"/>
              <w:ind w:left="0" w:right="0"/>
              <w:rPr>
                <w:rFonts w:hint="default"/>
                <w:highlight w:val="none"/>
              </w:rPr>
            </w:pPr>
            <w:r>
              <w:rPr>
                <w:rFonts w:hint="default"/>
                <w:highlight w:val="none"/>
              </w:rPr>
              <w:t>5.38</w:t>
            </w:r>
          </w:p>
        </w:tc>
        <w:tc>
          <w:tcPr>
            <w:tcW w:w="470" w:type="dxa"/>
            <w:shd w:val="clear" w:color="auto" w:fill="auto"/>
            <w:noWrap/>
            <w:vAlign w:val="center"/>
          </w:tcPr>
          <w:p w14:paraId="7AE083D6">
            <w:pPr>
              <w:pStyle w:val="8"/>
              <w:suppressLineNumbers w:val="0"/>
              <w:bidi w:val="0"/>
              <w:spacing w:before="0" w:beforeAutospacing="0" w:after="0" w:afterAutospacing="0"/>
              <w:ind w:left="0" w:right="0"/>
              <w:rPr>
                <w:rFonts w:hint="default"/>
                <w:highlight w:val="none"/>
              </w:rPr>
            </w:pPr>
            <w:r>
              <w:rPr>
                <w:rFonts w:hint="default"/>
                <w:highlight w:val="none"/>
              </w:rPr>
              <w:t>4.57</w:t>
            </w:r>
          </w:p>
        </w:tc>
        <w:tc>
          <w:tcPr>
            <w:tcW w:w="469" w:type="dxa"/>
            <w:shd w:val="clear" w:color="auto" w:fill="auto"/>
            <w:noWrap/>
            <w:vAlign w:val="center"/>
          </w:tcPr>
          <w:p w14:paraId="10431A0B">
            <w:pPr>
              <w:pStyle w:val="8"/>
              <w:suppressLineNumbers w:val="0"/>
              <w:bidi w:val="0"/>
              <w:spacing w:before="0" w:beforeAutospacing="0" w:after="0" w:afterAutospacing="0"/>
              <w:ind w:left="0" w:right="0"/>
              <w:rPr>
                <w:rFonts w:hint="default"/>
                <w:highlight w:val="none"/>
              </w:rPr>
            </w:pPr>
            <w:r>
              <w:rPr>
                <w:rFonts w:hint="default"/>
                <w:highlight w:val="none"/>
              </w:rPr>
              <w:t>6.18</w:t>
            </w:r>
          </w:p>
        </w:tc>
        <w:tc>
          <w:tcPr>
            <w:tcW w:w="471" w:type="dxa"/>
            <w:shd w:val="clear" w:color="auto" w:fill="auto"/>
            <w:noWrap/>
            <w:vAlign w:val="center"/>
          </w:tcPr>
          <w:p w14:paraId="0795210C">
            <w:pPr>
              <w:pStyle w:val="8"/>
              <w:suppressLineNumbers w:val="0"/>
              <w:bidi w:val="0"/>
              <w:spacing w:before="0" w:beforeAutospacing="0" w:after="0" w:afterAutospacing="0"/>
              <w:ind w:left="0" w:right="0"/>
              <w:rPr>
                <w:rFonts w:hint="default"/>
                <w:highlight w:val="none"/>
              </w:rPr>
            </w:pPr>
            <w:r>
              <w:rPr>
                <w:rFonts w:hint="default"/>
                <w:highlight w:val="none"/>
              </w:rPr>
              <w:t>2.96</w:t>
            </w:r>
          </w:p>
        </w:tc>
      </w:tr>
      <w:tr w14:paraId="4A09D2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38D46BC6">
            <w:pPr>
              <w:pStyle w:val="8"/>
              <w:suppressLineNumbers w:val="0"/>
              <w:bidi w:val="0"/>
              <w:spacing w:before="0" w:beforeAutospacing="0" w:after="0" w:afterAutospacing="0"/>
              <w:ind w:left="0" w:right="0"/>
              <w:rPr>
                <w:rFonts w:hint="default"/>
                <w:highlight w:val="none"/>
              </w:rPr>
            </w:pPr>
            <w:r>
              <w:rPr>
                <w:rFonts w:hint="default"/>
                <w:highlight w:val="none"/>
              </w:rPr>
              <w:t>2月</w:t>
            </w:r>
          </w:p>
        </w:tc>
        <w:tc>
          <w:tcPr>
            <w:tcW w:w="394" w:type="dxa"/>
            <w:shd w:val="clear" w:color="auto" w:fill="auto"/>
            <w:noWrap/>
            <w:vAlign w:val="center"/>
          </w:tcPr>
          <w:p w14:paraId="0D9B8695">
            <w:pPr>
              <w:pStyle w:val="8"/>
              <w:suppressLineNumbers w:val="0"/>
              <w:bidi w:val="0"/>
              <w:spacing w:before="0" w:beforeAutospacing="0" w:after="0" w:afterAutospacing="0"/>
              <w:ind w:left="0" w:right="0"/>
              <w:rPr>
                <w:rFonts w:hint="default"/>
                <w:highlight w:val="none"/>
              </w:rPr>
            </w:pPr>
            <w:r>
              <w:rPr>
                <w:rFonts w:hint="default"/>
                <w:highlight w:val="none"/>
              </w:rPr>
              <w:t>1.79</w:t>
            </w:r>
          </w:p>
        </w:tc>
        <w:tc>
          <w:tcPr>
            <w:tcW w:w="470" w:type="dxa"/>
            <w:shd w:val="clear" w:color="auto" w:fill="auto"/>
            <w:noWrap/>
            <w:vAlign w:val="center"/>
          </w:tcPr>
          <w:p w14:paraId="6AF979DF">
            <w:pPr>
              <w:pStyle w:val="8"/>
              <w:suppressLineNumbers w:val="0"/>
              <w:bidi w:val="0"/>
              <w:spacing w:before="0" w:beforeAutospacing="0" w:after="0" w:afterAutospacing="0"/>
              <w:ind w:left="0" w:right="0"/>
              <w:rPr>
                <w:rFonts w:hint="default"/>
                <w:highlight w:val="none"/>
              </w:rPr>
            </w:pPr>
            <w:r>
              <w:rPr>
                <w:rFonts w:hint="default"/>
                <w:highlight w:val="none"/>
              </w:rPr>
              <w:t>3.13</w:t>
            </w:r>
          </w:p>
        </w:tc>
        <w:tc>
          <w:tcPr>
            <w:tcW w:w="470" w:type="dxa"/>
            <w:shd w:val="clear" w:color="auto" w:fill="auto"/>
            <w:noWrap/>
            <w:vAlign w:val="center"/>
          </w:tcPr>
          <w:p w14:paraId="71FCA691">
            <w:pPr>
              <w:pStyle w:val="8"/>
              <w:suppressLineNumbers w:val="0"/>
              <w:bidi w:val="0"/>
              <w:spacing w:before="0" w:beforeAutospacing="0" w:after="0" w:afterAutospacing="0"/>
              <w:ind w:left="0" w:right="0"/>
              <w:rPr>
                <w:rFonts w:hint="default"/>
                <w:highlight w:val="none"/>
              </w:rPr>
            </w:pPr>
            <w:r>
              <w:rPr>
                <w:rFonts w:hint="default"/>
                <w:highlight w:val="none"/>
              </w:rPr>
              <w:t>2.23</w:t>
            </w:r>
          </w:p>
        </w:tc>
        <w:tc>
          <w:tcPr>
            <w:tcW w:w="469" w:type="dxa"/>
            <w:shd w:val="clear" w:color="auto" w:fill="auto"/>
            <w:noWrap/>
            <w:vAlign w:val="center"/>
          </w:tcPr>
          <w:p w14:paraId="4A88BA7D">
            <w:pPr>
              <w:pStyle w:val="8"/>
              <w:suppressLineNumbers w:val="0"/>
              <w:bidi w:val="0"/>
              <w:spacing w:before="0" w:beforeAutospacing="0" w:after="0" w:afterAutospacing="0"/>
              <w:ind w:left="0" w:right="0"/>
              <w:rPr>
                <w:rFonts w:hint="default"/>
                <w:highlight w:val="none"/>
              </w:rPr>
            </w:pPr>
            <w:r>
              <w:rPr>
                <w:rFonts w:hint="default"/>
                <w:highlight w:val="none"/>
              </w:rPr>
              <w:t>1.64</w:t>
            </w:r>
          </w:p>
        </w:tc>
        <w:tc>
          <w:tcPr>
            <w:tcW w:w="469" w:type="dxa"/>
            <w:shd w:val="clear" w:color="auto" w:fill="auto"/>
            <w:noWrap/>
            <w:vAlign w:val="center"/>
          </w:tcPr>
          <w:p w14:paraId="234A672B">
            <w:pPr>
              <w:pStyle w:val="8"/>
              <w:suppressLineNumbers w:val="0"/>
              <w:bidi w:val="0"/>
              <w:spacing w:before="0" w:beforeAutospacing="0" w:after="0" w:afterAutospacing="0"/>
              <w:ind w:left="0" w:right="0"/>
              <w:rPr>
                <w:rFonts w:hint="default"/>
                <w:highlight w:val="none"/>
              </w:rPr>
            </w:pPr>
            <w:r>
              <w:rPr>
                <w:rFonts w:hint="default"/>
                <w:highlight w:val="none"/>
              </w:rPr>
              <w:t>2.08</w:t>
            </w:r>
          </w:p>
        </w:tc>
        <w:tc>
          <w:tcPr>
            <w:tcW w:w="470" w:type="dxa"/>
            <w:shd w:val="clear" w:color="auto" w:fill="auto"/>
            <w:noWrap/>
            <w:vAlign w:val="center"/>
          </w:tcPr>
          <w:p w14:paraId="591CF29A">
            <w:pPr>
              <w:pStyle w:val="8"/>
              <w:suppressLineNumbers w:val="0"/>
              <w:bidi w:val="0"/>
              <w:spacing w:before="0" w:beforeAutospacing="0" w:after="0" w:afterAutospacing="0"/>
              <w:ind w:left="0" w:right="0"/>
              <w:rPr>
                <w:rFonts w:hint="default"/>
                <w:highlight w:val="none"/>
              </w:rPr>
            </w:pPr>
            <w:r>
              <w:rPr>
                <w:rFonts w:hint="default"/>
                <w:highlight w:val="none"/>
              </w:rPr>
              <w:t>1.04</w:t>
            </w:r>
          </w:p>
        </w:tc>
        <w:tc>
          <w:tcPr>
            <w:tcW w:w="470" w:type="dxa"/>
            <w:shd w:val="clear" w:color="auto" w:fill="auto"/>
            <w:noWrap/>
            <w:vAlign w:val="center"/>
          </w:tcPr>
          <w:p w14:paraId="17292FBA">
            <w:pPr>
              <w:pStyle w:val="8"/>
              <w:suppressLineNumbers w:val="0"/>
              <w:bidi w:val="0"/>
              <w:spacing w:before="0" w:beforeAutospacing="0" w:after="0" w:afterAutospacing="0"/>
              <w:ind w:left="0" w:right="0"/>
              <w:rPr>
                <w:rFonts w:hint="default"/>
                <w:highlight w:val="none"/>
              </w:rPr>
            </w:pPr>
            <w:r>
              <w:rPr>
                <w:rFonts w:hint="default"/>
                <w:highlight w:val="none"/>
              </w:rPr>
              <w:t>0.30</w:t>
            </w:r>
          </w:p>
        </w:tc>
        <w:tc>
          <w:tcPr>
            <w:tcW w:w="470" w:type="dxa"/>
            <w:shd w:val="clear" w:color="auto" w:fill="auto"/>
            <w:noWrap/>
            <w:vAlign w:val="center"/>
          </w:tcPr>
          <w:p w14:paraId="52B18690">
            <w:pPr>
              <w:pStyle w:val="8"/>
              <w:suppressLineNumbers w:val="0"/>
              <w:bidi w:val="0"/>
              <w:spacing w:before="0" w:beforeAutospacing="0" w:after="0" w:afterAutospacing="0"/>
              <w:ind w:left="0" w:right="0"/>
              <w:rPr>
                <w:rFonts w:hint="default"/>
                <w:highlight w:val="none"/>
              </w:rPr>
            </w:pPr>
            <w:r>
              <w:rPr>
                <w:rFonts w:hint="default"/>
                <w:highlight w:val="none"/>
              </w:rPr>
              <w:t>0.74</w:t>
            </w:r>
          </w:p>
        </w:tc>
        <w:tc>
          <w:tcPr>
            <w:tcW w:w="471" w:type="dxa"/>
            <w:shd w:val="clear" w:color="auto" w:fill="auto"/>
            <w:noWrap/>
            <w:vAlign w:val="center"/>
          </w:tcPr>
          <w:p w14:paraId="78304B18">
            <w:pPr>
              <w:pStyle w:val="8"/>
              <w:suppressLineNumbers w:val="0"/>
              <w:bidi w:val="0"/>
              <w:spacing w:before="0" w:beforeAutospacing="0" w:after="0" w:afterAutospacing="0"/>
              <w:ind w:left="0" w:right="0"/>
              <w:rPr>
                <w:rFonts w:hint="default"/>
                <w:highlight w:val="none"/>
              </w:rPr>
            </w:pPr>
            <w:r>
              <w:rPr>
                <w:rFonts w:hint="default"/>
                <w:highlight w:val="none"/>
              </w:rPr>
              <w:t>0.74</w:t>
            </w:r>
          </w:p>
        </w:tc>
        <w:tc>
          <w:tcPr>
            <w:tcW w:w="469" w:type="dxa"/>
            <w:shd w:val="clear" w:color="auto" w:fill="auto"/>
            <w:noWrap/>
            <w:vAlign w:val="center"/>
          </w:tcPr>
          <w:p w14:paraId="5D2B547E">
            <w:pPr>
              <w:pStyle w:val="8"/>
              <w:suppressLineNumbers w:val="0"/>
              <w:bidi w:val="0"/>
              <w:spacing w:before="0" w:beforeAutospacing="0" w:after="0" w:afterAutospacing="0"/>
              <w:ind w:left="0" w:right="0"/>
              <w:rPr>
                <w:rFonts w:hint="default"/>
                <w:highlight w:val="none"/>
              </w:rPr>
            </w:pPr>
            <w:r>
              <w:rPr>
                <w:rFonts w:hint="default"/>
                <w:highlight w:val="none"/>
              </w:rPr>
              <w:t>2.08</w:t>
            </w:r>
          </w:p>
        </w:tc>
        <w:tc>
          <w:tcPr>
            <w:tcW w:w="468" w:type="dxa"/>
            <w:shd w:val="clear" w:color="auto" w:fill="auto"/>
            <w:noWrap/>
            <w:vAlign w:val="center"/>
          </w:tcPr>
          <w:p w14:paraId="3C600C20">
            <w:pPr>
              <w:pStyle w:val="8"/>
              <w:suppressLineNumbers w:val="0"/>
              <w:bidi w:val="0"/>
              <w:spacing w:before="0" w:beforeAutospacing="0" w:after="0" w:afterAutospacing="0"/>
              <w:ind w:left="0" w:right="0"/>
              <w:rPr>
                <w:rFonts w:hint="default"/>
                <w:highlight w:val="none"/>
              </w:rPr>
            </w:pPr>
            <w:r>
              <w:rPr>
                <w:rFonts w:hint="default"/>
                <w:highlight w:val="none"/>
              </w:rPr>
              <w:t>15.03</w:t>
            </w:r>
          </w:p>
        </w:tc>
        <w:tc>
          <w:tcPr>
            <w:tcW w:w="447" w:type="dxa"/>
            <w:shd w:val="clear" w:color="auto" w:fill="auto"/>
            <w:noWrap/>
            <w:vAlign w:val="center"/>
          </w:tcPr>
          <w:p w14:paraId="54C5B9DB">
            <w:pPr>
              <w:pStyle w:val="8"/>
              <w:suppressLineNumbers w:val="0"/>
              <w:bidi w:val="0"/>
              <w:spacing w:before="0" w:beforeAutospacing="0" w:after="0" w:afterAutospacing="0"/>
              <w:ind w:left="0" w:right="0"/>
              <w:rPr>
                <w:rFonts w:hint="default"/>
                <w:highlight w:val="none"/>
              </w:rPr>
            </w:pPr>
            <w:r>
              <w:rPr>
                <w:rFonts w:hint="default"/>
                <w:highlight w:val="none"/>
              </w:rPr>
              <w:t>29.76</w:t>
            </w:r>
          </w:p>
        </w:tc>
        <w:tc>
          <w:tcPr>
            <w:tcW w:w="447" w:type="dxa"/>
            <w:shd w:val="clear" w:color="auto" w:fill="auto"/>
            <w:noWrap/>
            <w:vAlign w:val="center"/>
          </w:tcPr>
          <w:p w14:paraId="6C4C78F7">
            <w:pPr>
              <w:pStyle w:val="8"/>
              <w:suppressLineNumbers w:val="0"/>
              <w:bidi w:val="0"/>
              <w:spacing w:before="0" w:beforeAutospacing="0" w:after="0" w:afterAutospacing="0"/>
              <w:ind w:left="0" w:right="0"/>
              <w:rPr>
                <w:rFonts w:hint="default"/>
                <w:highlight w:val="none"/>
              </w:rPr>
            </w:pPr>
            <w:r>
              <w:rPr>
                <w:rFonts w:hint="default"/>
                <w:highlight w:val="none"/>
              </w:rPr>
              <w:t>26.93</w:t>
            </w:r>
          </w:p>
        </w:tc>
        <w:tc>
          <w:tcPr>
            <w:tcW w:w="470" w:type="dxa"/>
            <w:shd w:val="clear" w:color="auto" w:fill="auto"/>
            <w:noWrap/>
            <w:vAlign w:val="center"/>
          </w:tcPr>
          <w:p w14:paraId="31C1138C">
            <w:pPr>
              <w:pStyle w:val="8"/>
              <w:suppressLineNumbers w:val="0"/>
              <w:bidi w:val="0"/>
              <w:spacing w:before="0" w:beforeAutospacing="0" w:after="0" w:afterAutospacing="0"/>
              <w:ind w:left="0" w:right="0"/>
              <w:rPr>
                <w:rFonts w:hint="default"/>
                <w:highlight w:val="none"/>
              </w:rPr>
            </w:pPr>
            <w:r>
              <w:rPr>
                <w:rFonts w:hint="default"/>
                <w:highlight w:val="none"/>
              </w:rPr>
              <w:t>4.91</w:t>
            </w:r>
          </w:p>
        </w:tc>
        <w:tc>
          <w:tcPr>
            <w:tcW w:w="470" w:type="dxa"/>
            <w:shd w:val="clear" w:color="auto" w:fill="auto"/>
            <w:noWrap/>
            <w:vAlign w:val="center"/>
          </w:tcPr>
          <w:p w14:paraId="63376CB8">
            <w:pPr>
              <w:pStyle w:val="8"/>
              <w:suppressLineNumbers w:val="0"/>
              <w:bidi w:val="0"/>
              <w:spacing w:before="0" w:beforeAutospacing="0" w:after="0" w:afterAutospacing="0"/>
              <w:ind w:left="0" w:right="0"/>
              <w:rPr>
                <w:rFonts w:hint="default"/>
                <w:highlight w:val="none"/>
              </w:rPr>
            </w:pPr>
            <w:r>
              <w:rPr>
                <w:rFonts w:hint="default"/>
                <w:highlight w:val="none"/>
              </w:rPr>
              <w:t>2.23</w:t>
            </w:r>
          </w:p>
        </w:tc>
        <w:tc>
          <w:tcPr>
            <w:tcW w:w="469" w:type="dxa"/>
            <w:shd w:val="clear" w:color="auto" w:fill="auto"/>
            <w:noWrap/>
            <w:vAlign w:val="center"/>
          </w:tcPr>
          <w:p w14:paraId="53D9D004">
            <w:pPr>
              <w:pStyle w:val="8"/>
              <w:suppressLineNumbers w:val="0"/>
              <w:bidi w:val="0"/>
              <w:spacing w:before="0" w:beforeAutospacing="0" w:after="0" w:afterAutospacing="0"/>
              <w:ind w:left="0" w:right="0"/>
              <w:rPr>
                <w:rFonts w:hint="default"/>
                <w:highlight w:val="none"/>
              </w:rPr>
            </w:pPr>
            <w:r>
              <w:rPr>
                <w:rFonts w:hint="default"/>
                <w:highlight w:val="none"/>
              </w:rPr>
              <w:t>2.83</w:t>
            </w:r>
          </w:p>
        </w:tc>
        <w:tc>
          <w:tcPr>
            <w:tcW w:w="471" w:type="dxa"/>
            <w:shd w:val="clear" w:color="auto" w:fill="auto"/>
            <w:noWrap/>
            <w:vAlign w:val="center"/>
          </w:tcPr>
          <w:p w14:paraId="0A75BBAC">
            <w:pPr>
              <w:pStyle w:val="8"/>
              <w:suppressLineNumbers w:val="0"/>
              <w:bidi w:val="0"/>
              <w:spacing w:before="0" w:beforeAutospacing="0" w:after="0" w:afterAutospacing="0"/>
              <w:ind w:left="0" w:right="0"/>
              <w:rPr>
                <w:rFonts w:hint="default"/>
                <w:highlight w:val="none"/>
              </w:rPr>
            </w:pPr>
            <w:r>
              <w:rPr>
                <w:rFonts w:hint="default"/>
                <w:highlight w:val="none"/>
              </w:rPr>
              <w:t>2.53</w:t>
            </w:r>
          </w:p>
        </w:tc>
      </w:tr>
      <w:tr w14:paraId="4E452C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0A835E0F">
            <w:pPr>
              <w:pStyle w:val="8"/>
              <w:suppressLineNumbers w:val="0"/>
              <w:bidi w:val="0"/>
              <w:spacing w:before="0" w:beforeAutospacing="0" w:after="0" w:afterAutospacing="0"/>
              <w:ind w:left="0" w:right="0"/>
              <w:rPr>
                <w:rFonts w:hint="default"/>
                <w:highlight w:val="none"/>
              </w:rPr>
            </w:pPr>
            <w:r>
              <w:rPr>
                <w:rFonts w:hint="default"/>
                <w:highlight w:val="none"/>
              </w:rPr>
              <w:t>3月</w:t>
            </w:r>
          </w:p>
        </w:tc>
        <w:tc>
          <w:tcPr>
            <w:tcW w:w="394" w:type="dxa"/>
            <w:shd w:val="clear" w:color="auto" w:fill="auto"/>
            <w:noWrap/>
            <w:vAlign w:val="center"/>
          </w:tcPr>
          <w:p w14:paraId="0B6233FA">
            <w:pPr>
              <w:pStyle w:val="8"/>
              <w:suppressLineNumbers w:val="0"/>
              <w:bidi w:val="0"/>
              <w:spacing w:before="0" w:beforeAutospacing="0" w:after="0" w:afterAutospacing="0"/>
              <w:ind w:left="0" w:right="0"/>
              <w:rPr>
                <w:rFonts w:hint="default"/>
                <w:highlight w:val="none"/>
              </w:rPr>
            </w:pPr>
            <w:r>
              <w:rPr>
                <w:rFonts w:hint="default"/>
                <w:highlight w:val="none"/>
              </w:rPr>
              <w:t>4.70</w:t>
            </w:r>
          </w:p>
        </w:tc>
        <w:tc>
          <w:tcPr>
            <w:tcW w:w="470" w:type="dxa"/>
            <w:shd w:val="clear" w:color="auto" w:fill="auto"/>
            <w:noWrap/>
            <w:vAlign w:val="center"/>
          </w:tcPr>
          <w:p w14:paraId="12107E73">
            <w:pPr>
              <w:pStyle w:val="8"/>
              <w:suppressLineNumbers w:val="0"/>
              <w:bidi w:val="0"/>
              <w:spacing w:before="0" w:beforeAutospacing="0" w:after="0" w:afterAutospacing="0"/>
              <w:ind w:left="0" w:right="0"/>
              <w:rPr>
                <w:rFonts w:hint="default"/>
                <w:highlight w:val="none"/>
              </w:rPr>
            </w:pPr>
            <w:r>
              <w:rPr>
                <w:rFonts w:hint="default"/>
                <w:highlight w:val="none"/>
              </w:rPr>
              <w:t>3.36</w:t>
            </w:r>
          </w:p>
        </w:tc>
        <w:tc>
          <w:tcPr>
            <w:tcW w:w="470" w:type="dxa"/>
            <w:shd w:val="clear" w:color="auto" w:fill="auto"/>
            <w:noWrap/>
            <w:vAlign w:val="center"/>
          </w:tcPr>
          <w:p w14:paraId="2CA073B4">
            <w:pPr>
              <w:pStyle w:val="8"/>
              <w:suppressLineNumbers w:val="0"/>
              <w:bidi w:val="0"/>
              <w:spacing w:before="0" w:beforeAutospacing="0" w:after="0" w:afterAutospacing="0"/>
              <w:ind w:left="0" w:right="0"/>
              <w:rPr>
                <w:rFonts w:hint="default"/>
                <w:highlight w:val="none"/>
              </w:rPr>
            </w:pPr>
            <w:r>
              <w:rPr>
                <w:rFonts w:hint="default"/>
                <w:highlight w:val="none"/>
              </w:rPr>
              <w:t>3.76</w:t>
            </w:r>
          </w:p>
        </w:tc>
        <w:tc>
          <w:tcPr>
            <w:tcW w:w="469" w:type="dxa"/>
            <w:shd w:val="clear" w:color="auto" w:fill="auto"/>
            <w:noWrap/>
            <w:vAlign w:val="center"/>
          </w:tcPr>
          <w:p w14:paraId="50C0BCB4">
            <w:pPr>
              <w:pStyle w:val="8"/>
              <w:suppressLineNumbers w:val="0"/>
              <w:bidi w:val="0"/>
              <w:spacing w:before="0" w:beforeAutospacing="0" w:after="0" w:afterAutospacing="0"/>
              <w:ind w:left="0" w:right="0"/>
              <w:rPr>
                <w:rFonts w:hint="default"/>
                <w:highlight w:val="none"/>
              </w:rPr>
            </w:pPr>
            <w:r>
              <w:rPr>
                <w:rFonts w:hint="default"/>
                <w:highlight w:val="none"/>
              </w:rPr>
              <w:t>2.28</w:t>
            </w:r>
          </w:p>
        </w:tc>
        <w:tc>
          <w:tcPr>
            <w:tcW w:w="469" w:type="dxa"/>
            <w:shd w:val="clear" w:color="auto" w:fill="auto"/>
            <w:noWrap/>
            <w:vAlign w:val="center"/>
          </w:tcPr>
          <w:p w14:paraId="352B2B82">
            <w:pPr>
              <w:pStyle w:val="8"/>
              <w:suppressLineNumbers w:val="0"/>
              <w:bidi w:val="0"/>
              <w:spacing w:before="0" w:beforeAutospacing="0" w:after="0" w:afterAutospacing="0"/>
              <w:ind w:left="0" w:right="0"/>
              <w:rPr>
                <w:rFonts w:hint="default"/>
                <w:highlight w:val="none"/>
              </w:rPr>
            </w:pPr>
            <w:r>
              <w:rPr>
                <w:rFonts w:hint="default"/>
                <w:highlight w:val="none"/>
              </w:rPr>
              <w:t>2.55</w:t>
            </w:r>
          </w:p>
        </w:tc>
        <w:tc>
          <w:tcPr>
            <w:tcW w:w="470" w:type="dxa"/>
            <w:shd w:val="clear" w:color="auto" w:fill="auto"/>
            <w:noWrap/>
            <w:vAlign w:val="center"/>
          </w:tcPr>
          <w:p w14:paraId="527AA48A">
            <w:pPr>
              <w:pStyle w:val="8"/>
              <w:suppressLineNumbers w:val="0"/>
              <w:bidi w:val="0"/>
              <w:spacing w:before="0" w:beforeAutospacing="0" w:after="0" w:afterAutospacing="0"/>
              <w:ind w:left="0" w:right="0"/>
              <w:rPr>
                <w:rFonts w:hint="default"/>
                <w:highlight w:val="none"/>
              </w:rPr>
            </w:pPr>
            <w:r>
              <w:rPr>
                <w:rFonts w:hint="default"/>
                <w:highlight w:val="none"/>
              </w:rPr>
              <w:t>2.55</w:t>
            </w:r>
          </w:p>
        </w:tc>
        <w:tc>
          <w:tcPr>
            <w:tcW w:w="470" w:type="dxa"/>
            <w:shd w:val="clear" w:color="auto" w:fill="auto"/>
            <w:noWrap/>
            <w:vAlign w:val="center"/>
          </w:tcPr>
          <w:p w14:paraId="31859F34">
            <w:pPr>
              <w:pStyle w:val="8"/>
              <w:suppressLineNumbers w:val="0"/>
              <w:bidi w:val="0"/>
              <w:spacing w:before="0" w:beforeAutospacing="0" w:after="0" w:afterAutospacing="0"/>
              <w:ind w:left="0" w:right="0"/>
              <w:rPr>
                <w:rFonts w:hint="default"/>
                <w:highlight w:val="none"/>
              </w:rPr>
            </w:pPr>
            <w:r>
              <w:rPr>
                <w:rFonts w:hint="default"/>
                <w:highlight w:val="none"/>
              </w:rPr>
              <w:t>3.23</w:t>
            </w:r>
          </w:p>
        </w:tc>
        <w:tc>
          <w:tcPr>
            <w:tcW w:w="470" w:type="dxa"/>
            <w:shd w:val="clear" w:color="auto" w:fill="auto"/>
            <w:noWrap/>
            <w:vAlign w:val="center"/>
          </w:tcPr>
          <w:p w14:paraId="2678A04F">
            <w:pPr>
              <w:pStyle w:val="8"/>
              <w:suppressLineNumbers w:val="0"/>
              <w:bidi w:val="0"/>
              <w:spacing w:before="0" w:beforeAutospacing="0" w:after="0" w:afterAutospacing="0"/>
              <w:ind w:left="0" w:right="0"/>
              <w:rPr>
                <w:rFonts w:hint="default"/>
                <w:highlight w:val="none"/>
              </w:rPr>
            </w:pPr>
            <w:r>
              <w:rPr>
                <w:rFonts w:hint="default"/>
                <w:highlight w:val="none"/>
              </w:rPr>
              <w:t>2.02</w:t>
            </w:r>
          </w:p>
        </w:tc>
        <w:tc>
          <w:tcPr>
            <w:tcW w:w="471" w:type="dxa"/>
            <w:shd w:val="clear" w:color="auto" w:fill="auto"/>
            <w:noWrap/>
            <w:vAlign w:val="center"/>
          </w:tcPr>
          <w:p w14:paraId="13C37B0D">
            <w:pPr>
              <w:pStyle w:val="8"/>
              <w:suppressLineNumbers w:val="0"/>
              <w:bidi w:val="0"/>
              <w:spacing w:before="0" w:beforeAutospacing="0" w:after="0" w:afterAutospacing="0"/>
              <w:ind w:left="0" w:right="0"/>
              <w:rPr>
                <w:rFonts w:hint="default"/>
                <w:highlight w:val="none"/>
              </w:rPr>
            </w:pPr>
            <w:r>
              <w:rPr>
                <w:rFonts w:hint="default"/>
                <w:highlight w:val="none"/>
              </w:rPr>
              <w:t>3.23</w:t>
            </w:r>
          </w:p>
        </w:tc>
        <w:tc>
          <w:tcPr>
            <w:tcW w:w="469" w:type="dxa"/>
            <w:shd w:val="clear" w:color="auto" w:fill="auto"/>
            <w:noWrap/>
            <w:vAlign w:val="center"/>
          </w:tcPr>
          <w:p w14:paraId="11D0E665">
            <w:pPr>
              <w:pStyle w:val="8"/>
              <w:suppressLineNumbers w:val="0"/>
              <w:bidi w:val="0"/>
              <w:spacing w:before="0" w:beforeAutospacing="0" w:after="0" w:afterAutospacing="0"/>
              <w:ind w:left="0" w:right="0"/>
              <w:rPr>
                <w:rFonts w:hint="default"/>
                <w:highlight w:val="none"/>
              </w:rPr>
            </w:pPr>
            <w:r>
              <w:rPr>
                <w:rFonts w:hint="default"/>
                <w:highlight w:val="none"/>
              </w:rPr>
              <w:t>6.05</w:t>
            </w:r>
          </w:p>
        </w:tc>
        <w:tc>
          <w:tcPr>
            <w:tcW w:w="468" w:type="dxa"/>
            <w:shd w:val="clear" w:color="auto" w:fill="auto"/>
            <w:noWrap/>
            <w:vAlign w:val="center"/>
          </w:tcPr>
          <w:p w14:paraId="6FCB0FE3">
            <w:pPr>
              <w:pStyle w:val="8"/>
              <w:suppressLineNumbers w:val="0"/>
              <w:bidi w:val="0"/>
              <w:spacing w:before="0" w:beforeAutospacing="0" w:after="0" w:afterAutospacing="0"/>
              <w:ind w:left="0" w:right="0"/>
              <w:rPr>
                <w:rFonts w:hint="default"/>
                <w:highlight w:val="none"/>
              </w:rPr>
            </w:pPr>
            <w:r>
              <w:rPr>
                <w:rFonts w:hint="default"/>
                <w:highlight w:val="none"/>
              </w:rPr>
              <w:t>9.68</w:t>
            </w:r>
          </w:p>
        </w:tc>
        <w:tc>
          <w:tcPr>
            <w:tcW w:w="447" w:type="dxa"/>
            <w:shd w:val="clear" w:color="auto" w:fill="auto"/>
            <w:noWrap/>
            <w:vAlign w:val="center"/>
          </w:tcPr>
          <w:p w14:paraId="27440DD8">
            <w:pPr>
              <w:pStyle w:val="8"/>
              <w:suppressLineNumbers w:val="0"/>
              <w:bidi w:val="0"/>
              <w:spacing w:before="0" w:beforeAutospacing="0" w:after="0" w:afterAutospacing="0"/>
              <w:ind w:left="0" w:right="0"/>
              <w:rPr>
                <w:rFonts w:hint="default"/>
                <w:highlight w:val="none"/>
              </w:rPr>
            </w:pPr>
            <w:r>
              <w:rPr>
                <w:rFonts w:hint="default"/>
                <w:highlight w:val="none"/>
              </w:rPr>
              <w:t>16.53</w:t>
            </w:r>
          </w:p>
        </w:tc>
        <w:tc>
          <w:tcPr>
            <w:tcW w:w="447" w:type="dxa"/>
            <w:shd w:val="clear" w:color="auto" w:fill="auto"/>
            <w:noWrap/>
            <w:vAlign w:val="center"/>
          </w:tcPr>
          <w:p w14:paraId="038C001F">
            <w:pPr>
              <w:pStyle w:val="8"/>
              <w:suppressLineNumbers w:val="0"/>
              <w:bidi w:val="0"/>
              <w:spacing w:before="0" w:beforeAutospacing="0" w:after="0" w:afterAutospacing="0"/>
              <w:ind w:left="0" w:right="0"/>
              <w:rPr>
                <w:rFonts w:hint="default"/>
                <w:highlight w:val="none"/>
              </w:rPr>
            </w:pPr>
            <w:r>
              <w:rPr>
                <w:rFonts w:hint="default"/>
                <w:highlight w:val="none"/>
              </w:rPr>
              <w:t>16.94</w:t>
            </w:r>
          </w:p>
        </w:tc>
        <w:tc>
          <w:tcPr>
            <w:tcW w:w="470" w:type="dxa"/>
            <w:shd w:val="clear" w:color="auto" w:fill="auto"/>
            <w:noWrap/>
            <w:vAlign w:val="center"/>
          </w:tcPr>
          <w:p w14:paraId="6C575E93">
            <w:pPr>
              <w:pStyle w:val="8"/>
              <w:suppressLineNumbers w:val="0"/>
              <w:bidi w:val="0"/>
              <w:spacing w:before="0" w:beforeAutospacing="0" w:after="0" w:afterAutospacing="0"/>
              <w:ind w:left="0" w:right="0"/>
              <w:rPr>
                <w:rFonts w:hint="default"/>
                <w:highlight w:val="none"/>
              </w:rPr>
            </w:pPr>
            <w:r>
              <w:rPr>
                <w:rFonts w:hint="default"/>
                <w:highlight w:val="none"/>
              </w:rPr>
              <w:t>12.77</w:t>
            </w:r>
          </w:p>
        </w:tc>
        <w:tc>
          <w:tcPr>
            <w:tcW w:w="470" w:type="dxa"/>
            <w:shd w:val="clear" w:color="auto" w:fill="auto"/>
            <w:noWrap/>
            <w:vAlign w:val="center"/>
          </w:tcPr>
          <w:p w14:paraId="6495B189">
            <w:pPr>
              <w:pStyle w:val="8"/>
              <w:suppressLineNumbers w:val="0"/>
              <w:bidi w:val="0"/>
              <w:spacing w:before="0" w:beforeAutospacing="0" w:after="0" w:afterAutospacing="0"/>
              <w:ind w:left="0" w:right="0"/>
              <w:rPr>
                <w:rFonts w:hint="default"/>
                <w:highlight w:val="none"/>
              </w:rPr>
            </w:pPr>
            <w:r>
              <w:rPr>
                <w:rFonts w:hint="default"/>
                <w:highlight w:val="none"/>
              </w:rPr>
              <w:t>1.88</w:t>
            </w:r>
          </w:p>
        </w:tc>
        <w:tc>
          <w:tcPr>
            <w:tcW w:w="469" w:type="dxa"/>
            <w:shd w:val="clear" w:color="auto" w:fill="auto"/>
            <w:noWrap/>
            <w:vAlign w:val="center"/>
          </w:tcPr>
          <w:p w14:paraId="37811719">
            <w:pPr>
              <w:pStyle w:val="8"/>
              <w:suppressLineNumbers w:val="0"/>
              <w:bidi w:val="0"/>
              <w:spacing w:before="0" w:beforeAutospacing="0" w:after="0" w:afterAutospacing="0"/>
              <w:ind w:left="0" w:right="0"/>
              <w:rPr>
                <w:rFonts w:hint="default"/>
                <w:highlight w:val="none"/>
              </w:rPr>
            </w:pPr>
            <w:r>
              <w:rPr>
                <w:rFonts w:hint="default"/>
                <w:highlight w:val="none"/>
              </w:rPr>
              <w:t>4.44</w:t>
            </w:r>
          </w:p>
        </w:tc>
        <w:tc>
          <w:tcPr>
            <w:tcW w:w="471" w:type="dxa"/>
            <w:shd w:val="clear" w:color="auto" w:fill="auto"/>
            <w:noWrap/>
            <w:vAlign w:val="center"/>
          </w:tcPr>
          <w:p w14:paraId="3517C2AF">
            <w:pPr>
              <w:pStyle w:val="8"/>
              <w:suppressLineNumbers w:val="0"/>
              <w:bidi w:val="0"/>
              <w:spacing w:before="0" w:beforeAutospacing="0" w:after="0" w:afterAutospacing="0"/>
              <w:ind w:left="0" w:right="0"/>
              <w:rPr>
                <w:rFonts w:hint="default"/>
                <w:highlight w:val="none"/>
              </w:rPr>
            </w:pPr>
            <w:r>
              <w:rPr>
                <w:rFonts w:hint="default"/>
                <w:highlight w:val="none"/>
              </w:rPr>
              <w:t>4.03</w:t>
            </w:r>
          </w:p>
        </w:tc>
      </w:tr>
      <w:tr w14:paraId="43AC7D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36B603BD">
            <w:pPr>
              <w:pStyle w:val="8"/>
              <w:suppressLineNumbers w:val="0"/>
              <w:bidi w:val="0"/>
              <w:spacing w:before="0" w:beforeAutospacing="0" w:after="0" w:afterAutospacing="0"/>
              <w:ind w:left="0" w:right="0"/>
              <w:rPr>
                <w:rFonts w:hint="default"/>
                <w:highlight w:val="none"/>
              </w:rPr>
            </w:pPr>
            <w:r>
              <w:rPr>
                <w:rFonts w:hint="default"/>
                <w:highlight w:val="none"/>
              </w:rPr>
              <w:t>4月</w:t>
            </w:r>
          </w:p>
        </w:tc>
        <w:tc>
          <w:tcPr>
            <w:tcW w:w="394" w:type="dxa"/>
            <w:shd w:val="clear" w:color="auto" w:fill="auto"/>
            <w:noWrap/>
            <w:vAlign w:val="center"/>
          </w:tcPr>
          <w:p w14:paraId="3518D79D">
            <w:pPr>
              <w:pStyle w:val="8"/>
              <w:suppressLineNumbers w:val="0"/>
              <w:bidi w:val="0"/>
              <w:spacing w:before="0" w:beforeAutospacing="0" w:after="0" w:afterAutospacing="0"/>
              <w:ind w:left="0" w:right="0"/>
              <w:rPr>
                <w:rFonts w:hint="default"/>
                <w:highlight w:val="none"/>
              </w:rPr>
            </w:pPr>
            <w:r>
              <w:rPr>
                <w:rFonts w:hint="default"/>
                <w:highlight w:val="none"/>
              </w:rPr>
              <w:t>8.61</w:t>
            </w:r>
          </w:p>
        </w:tc>
        <w:tc>
          <w:tcPr>
            <w:tcW w:w="470" w:type="dxa"/>
            <w:shd w:val="clear" w:color="auto" w:fill="auto"/>
            <w:noWrap/>
            <w:vAlign w:val="center"/>
          </w:tcPr>
          <w:p w14:paraId="170C16CD">
            <w:pPr>
              <w:pStyle w:val="8"/>
              <w:suppressLineNumbers w:val="0"/>
              <w:bidi w:val="0"/>
              <w:spacing w:before="0" w:beforeAutospacing="0" w:after="0" w:afterAutospacing="0"/>
              <w:ind w:left="0" w:right="0"/>
              <w:rPr>
                <w:rFonts w:hint="default"/>
                <w:highlight w:val="none"/>
              </w:rPr>
            </w:pPr>
            <w:r>
              <w:rPr>
                <w:rFonts w:hint="default"/>
                <w:highlight w:val="none"/>
              </w:rPr>
              <w:t>2.92</w:t>
            </w:r>
          </w:p>
        </w:tc>
        <w:tc>
          <w:tcPr>
            <w:tcW w:w="470" w:type="dxa"/>
            <w:shd w:val="clear" w:color="auto" w:fill="auto"/>
            <w:noWrap/>
            <w:vAlign w:val="center"/>
          </w:tcPr>
          <w:p w14:paraId="2FCB75DD">
            <w:pPr>
              <w:pStyle w:val="8"/>
              <w:suppressLineNumbers w:val="0"/>
              <w:bidi w:val="0"/>
              <w:spacing w:before="0" w:beforeAutospacing="0" w:after="0" w:afterAutospacing="0"/>
              <w:ind w:left="0" w:right="0"/>
              <w:rPr>
                <w:rFonts w:hint="default"/>
                <w:highlight w:val="none"/>
              </w:rPr>
            </w:pPr>
            <w:r>
              <w:rPr>
                <w:rFonts w:hint="default"/>
                <w:highlight w:val="none"/>
              </w:rPr>
              <w:t>3.61</w:t>
            </w:r>
          </w:p>
        </w:tc>
        <w:tc>
          <w:tcPr>
            <w:tcW w:w="469" w:type="dxa"/>
            <w:shd w:val="clear" w:color="auto" w:fill="auto"/>
            <w:noWrap/>
            <w:vAlign w:val="center"/>
          </w:tcPr>
          <w:p w14:paraId="46E0C02D">
            <w:pPr>
              <w:pStyle w:val="8"/>
              <w:suppressLineNumbers w:val="0"/>
              <w:bidi w:val="0"/>
              <w:spacing w:before="0" w:beforeAutospacing="0" w:after="0" w:afterAutospacing="0"/>
              <w:ind w:left="0" w:right="0"/>
              <w:rPr>
                <w:rFonts w:hint="default"/>
                <w:highlight w:val="none"/>
              </w:rPr>
            </w:pPr>
            <w:r>
              <w:rPr>
                <w:rFonts w:hint="default"/>
                <w:highlight w:val="none"/>
              </w:rPr>
              <w:t>1.81</w:t>
            </w:r>
          </w:p>
        </w:tc>
        <w:tc>
          <w:tcPr>
            <w:tcW w:w="469" w:type="dxa"/>
            <w:shd w:val="clear" w:color="auto" w:fill="auto"/>
            <w:noWrap/>
            <w:vAlign w:val="center"/>
          </w:tcPr>
          <w:p w14:paraId="15C6075C">
            <w:pPr>
              <w:pStyle w:val="8"/>
              <w:suppressLineNumbers w:val="0"/>
              <w:bidi w:val="0"/>
              <w:spacing w:before="0" w:beforeAutospacing="0" w:after="0" w:afterAutospacing="0"/>
              <w:ind w:left="0" w:right="0"/>
              <w:rPr>
                <w:rFonts w:hint="default"/>
                <w:highlight w:val="none"/>
              </w:rPr>
            </w:pPr>
            <w:r>
              <w:rPr>
                <w:rFonts w:hint="default"/>
                <w:highlight w:val="none"/>
              </w:rPr>
              <w:t>1.94</w:t>
            </w:r>
          </w:p>
        </w:tc>
        <w:tc>
          <w:tcPr>
            <w:tcW w:w="470" w:type="dxa"/>
            <w:shd w:val="clear" w:color="auto" w:fill="auto"/>
            <w:noWrap/>
            <w:vAlign w:val="center"/>
          </w:tcPr>
          <w:p w14:paraId="67055199">
            <w:pPr>
              <w:pStyle w:val="8"/>
              <w:suppressLineNumbers w:val="0"/>
              <w:bidi w:val="0"/>
              <w:spacing w:before="0" w:beforeAutospacing="0" w:after="0" w:afterAutospacing="0"/>
              <w:ind w:left="0" w:right="0"/>
              <w:rPr>
                <w:rFonts w:hint="default"/>
                <w:highlight w:val="none"/>
              </w:rPr>
            </w:pPr>
            <w:r>
              <w:rPr>
                <w:rFonts w:hint="default"/>
                <w:highlight w:val="none"/>
              </w:rPr>
              <w:t>0.83</w:t>
            </w:r>
          </w:p>
        </w:tc>
        <w:tc>
          <w:tcPr>
            <w:tcW w:w="470" w:type="dxa"/>
            <w:shd w:val="clear" w:color="auto" w:fill="auto"/>
            <w:noWrap/>
            <w:vAlign w:val="center"/>
          </w:tcPr>
          <w:p w14:paraId="5CF7B301">
            <w:pPr>
              <w:pStyle w:val="8"/>
              <w:suppressLineNumbers w:val="0"/>
              <w:bidi w:val="0"/>
              <w:spacing w:before="0" w:beforeAutospacing="0" w:after="0" w:afterAutospacing="0"/>
              <w:ind w:left="0" w:right="0"/>
              <w:rPr>
                <w:rFonts w:hint="default"/>
                <w:highlight w:val="none"/>
              </w:rPr>
            </w:pPr>
            <w:r>
              <w:rPr>
                <w:rFonts w:hint="default"/>
                <w:highlight w:val="none"/>
              </w:rPr>
              <w:t>1.11</w:t>
            </w:r>
          </w:p>
        </w:tc>
        <w:tc>
          <w:tcPr>
            <w:tcW w:w="470" w:type="dxa"/>
            <w:shd w:val="clear" w:color="auto" w:fill="auto"/>
            <w:noWrap/>
            <w:vAlign w:val="center"/>
          </w:tcPr>
          <w:p w14:paraId="1589772B">
            <w:pPr>
              <w:pStyle w:val="8"/>
              <w:suppressLineNumbers w:val="0"/>
              <w:bidi w:val="0"/>
              <w:spacing w:before="0" w:beforeAutospacing="0" w:after="0" w:afterAutospacing="0"/>
              <w:ind w:left="0" w:right="0"/>
              <w:rPr>
                <w:rFonts w:hint="default"/>
                <w:highlight w:val="none"/>
              </w:rPr>
            </w:pPr>
            <w:r>
              <w:rPr>
                <w:rFonts w:hint="default"/>
                <w:highlight w:val="none"/>
              </w:rPr>
              <w:t>1.25</w:t>
            </w:r>
          </w:p>
        </w:tc>
        <w:tc>
          <w:tcPr>
            <w:tcW w:w="471" w:type="dxa"/>
            <w:shd w:val="clear" w:color="auto" w:fill="auto"/>
            <w:noWrap/>
            <w:vAlign w:val="center"/>
          </w:tcPr>
          <w:p w14:paraId="30995B27">
            <w:pPr>
              <w:pStyle w:val="8"/>
              <w:suppressLineNumbers w:val="0"/>
              <w:bidi w:val="0"/>
              <w:spacing w:before="0" w:beforeAutospacing="0" w:after="0" w:afterAutospacing="0"/>
              <w:ind w:left="0" w:right="0"/>
              <w:rPr>
                <w:rFonts w:hint="default"/>
                <w:highlight w:val="none"/>
              </w:rPr>
            </w:pPr>
            <w:r>
              <w:rPr>
                <w:rFonts w:hint="default"/>
                <w:highlight w:val="none"/>
              </w:rPr>
              <w:t>2.64</w:t>
            </w:r>
          </w:p>
        </w:tc>
        <w:tc>
          <w:tcPr>
            <w:tcW w:w="469" w:type="dxa"/>
            <w:shd w:val="clear" w:color="auto" w:fill="auto"/>
            <w:noWrap/>
            <w:vAlign w:val="center"/>
          </w:tcPr>
          <w:p w14:paraId="3BB8DCD1">
            <w:pPr>
              <w:pStyle w:val="8"/>
              <w:suppressLineNumbers w:val="0"/>
              <w:bidi w:val="0"/>
              <w:spacing w:before="0" w:beforeAutospacing="0" w:after="0" w:afterAutospacing="0"/>
              <w:ind w:left="0" w:right="0"/>
              <w:rPr>
                <w:rFonts w:hint="default"/>
                <w:highlight w:val="none"/>
              </w:rPr>
            </w:pPr>
            <w:r>
              <w:rPr>
                <w:rFonts w:hint="default"/>
                <w:highlight w:val="none"/>
              </w:rPr>
              <w:t>12.92</w:t>
            </w:r>
          </w:p>
        </w:tc>
        <w:tc>
          <w:tcPr>
            <w:tcW w:w="468" w:type="dxa"/>
            <w:shd w:val="clear" w:color="auto" w:fill="auto"/>
            <w:noWrap/>
            <w:vAlign w:val="center"/>
          </w:tcPr>
          <w:p w14:paraId="0881ABF5">
            <w:pPr>
              <w:pStyle w:val="8"/>
              <w:suppressLineNumbers w:val="0"/>
              <w:bidi w:val="0"/>
              <w:spacing w:before="0" w:beforeAutospacing="0" w:after="0" w:afterAutospacing="0"/>
              <w:ind w:left="0" w:right="0"/>
              <w:rPr>
                <w:rFonts w:hint="default"/>
                <w:highlight w:val="none"/>
              </w:rPr>
            </w:pPr>
            <w:r>
              <w:rPr>
                <w:rFonts w:hint="default"/>
                <w:highlight w:val="none"/>
              </w:rPr>
              <w:t>17.78</w:t>
            </w:r>
          </w:p>
        </w:tc>
        <w:tc>
          <w:tcPr>
            <w:tcW w:w="447" w:type="dxa"/>
            <w:shd w:val="clear" w:color="auto" w:fill="auto"/>
            <w:noWrap/>
            <w:vAlign w:val="center"/>
          </w:tcPr>
          <w:p w14:paraId="5260431E">
            <w:pPr>
              <w:pStyle w:val="8"/>
              <w:suppressLineNumbers w:val="0"/>
              <w:bidi w:val="0"/>
              <w:spacing w:before="0" w:beforeAutospacing="0" w:after="0" w:afterAutospacing="0"/>
              <w:ind w:left="0" w:right="0"/>
              <w:rPr>
                <w:rFonts w:hint="default"/>
                <w:highlight w:val="none"/>
              </w:rPr>
            </w:pPr>
            <w:r>
              <w:rPr>
                <w:rFonts w:hint="default"/>
                <w:highlight w:val="none"/>
              </w:rPr>
              <w:t>12.36</w:t>
            </w:r>
          </w:p>
        </w:tc>
        <w:tc>
          <w:tcPr>
            <w:tcW w:w="447" w:type="dxa"/>
            <w:shd w:val="clear" w:color="auto" w:fill="auto"/>
            <w:noWrap/>
            <w:vAlign w:val="center"/>
          </w:tcPr>
          <w:p w14:paraId="34F1CB66">
            <w:pPr>
              <w:pStyle w:val="8"/>
              <w:suppressLineNumbers w:val="0"/>
              <w:bidi w:val="0"/>
              <w:spacing w:before="0" w:beforeAutospacing="0" w:after="0" w:afterAutospacing="0"/>
              <w:ind w:left="0" w:right="0"/>
              <w:rPr>
                <w:rFonts w:hint="default"/>
                <w:highlight w:val="none"/>
              </w:rPr>
            </w:pPr>
            <w:r>
              <w:rPr>
                <w:rFonts w:hint="default"/>
                <w:highlight w:val="none"/>
              </w:rPr>
              <w:t>7.92</w:t>
            </w:r>
          </w:p>
        </w:tc>
        <w:tc>
          <w:tcPr>
            <w:tcW w:w="470" w:type="dxa"/>
            <w:shd w:val="clear" w:color="auto" w:fill="auto"/>
            <w:noWrap/>
            <w:vAlign w:val="center"/>
          </w:tcPr>
          <w:p w14:paraId="2E802358">
            <w:pPr>
              <w:pStyle w:val="8"/>
              <w:suppressLineNumbers w:val="0"/>
              <w:bidi w:val="0"/>
              <w:spacing w:before="0" w:beforeAutospacing="0" w:after="0" w:afterAutospacing="0"/>
              <w:ind w:left="0" w:right="0"/>
              <w:rPr>
                <w:rFonts w:hint="default"/>
                <w:highlight w:val="none"/>
              </w:rPr>
            </w:pPr>
            <w:r>
              <w:rPr>
                <w:rFonts w:hint="default"/>
                <w:highlight w:val="none"/>
              </w:rPr>
              <w:t>9.58</w:t>
            </w:r>
          </w:p>
        </w:tc>
        <w:tc>
          <w:tcPr>
            <w:tcW w:w="470" w:type="dxa"/>
            <w:shd w:val="clear" w:color="auto" w:fill="auto"/>
            <w:noWrap/>
            <w:vAlign w:val="center"/>
          </w:tcPr>
          <w:p w14:paraId="1215A599">
            <w:pPr>
              <w:pStyle w:val="8"/>
              <w:suppressLineNumbers w:val="0"/>
              <w:bidi w:val="0"/>
              <w:spacing w:before="0" w:beforeAutospacing="0" w:after="0" w:afterAutospacing="0"/>
              <w:ind w:left="0" w:right="0"/>
              <w:rPr>
                <w:rFonts w:hint="default"/>
                <w:highlight w:val="none"/>
              </w:rPr>
            </w:pPr>
            <w:r>
              <w:rPr>
                <w:rFonts w:hint="default"/>
                <w:highlight w:val="none"/>
              </w:rPr>
              <w:t>3.47</w:t>
            </w:r>
          </w:p>
        </w:tc>
        <w:tc>
          <w:tcPr>
            <w:tcW w:w="469" w:type="dxa"/>
            <w:shd w:val="clear" w:color="auto" w:fill="auto"/>
            <w:noWrap/>
            <w:vAlign w:val="center"/>
          </w:tcPr>
          <w:p w14:paraId="754849A0">
            <w:pPr>
              <w:pStyle w:val="8"/>
              <w:suppressLineNumbers w:val="0"/>
              <w:bidi w:val="0"/>
              <w:spacing w:before="0" w:beforeAutospacing="0" w:after="0" w:afterAutospacing="0"/>
              <w:ind w:left="0" w:right="0"/>
              <w:rPr>
                <w:rFonts w:hint="default"/>
                <w:highlight w:val="none"/>
              </w:rPr>
            </w:pPr>
            <w:r>
              <w:rPr>
                <w:rFonts w:hint="default"/>
                <w:highlight w:val="none"/>
              </w:rPr>
              <w:t>7.78</w:t>
            </w:r>
          </w:p>
        </w:tc>
        <w:tc>
          <w:tcPr>
            <w:tcW w:w="471" w:type="dxa"/>
            <w:shd w:val="clear" w:color="auto" w:fill="auto"/>
            <w:noWrap/>
            <w:vAlign w:val="center"/>
          </w:tcPr>
          <w:p w14:paraId="7DDF1D2D">
            <w:pPr>
              <w:pStyle w:val="8"/>
              <w:suppressLineNumbers w:val="0"/>
              <w:bidi w:val="0"/>
              <w:spacing w:before="0" w:beforeAutospacing="0" w:after="0" w:afterAutospacing="0"/>
              <w:ind w:left="0" w:right="0"/>
              <w:rPr>
                <w:rFonts w:hint="default"/>
                <w:highlight w:val="none"/>
              </w:rPr>
            </w:pPr>
            <w:r>
              <w:rPr>
                <w:rFonts w:hint="default"/>
                <w:highlight w:val="none"/>
              </w:rPr>
              <w:t>3.47</w:t>
            </w:r>
          </w:p>
        </w:tc>
      </w:tr>
      <w:tr w14:paraId="2C067E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10A92E4D">
            <w:pPr>
              <w:pStyle w:val="8"/>
              <w:suppressLineNumbers w:val="0"/>
              <w:bidi w:val="0"/>
              <w:spacing w:before="0" w:beforeAutospacing="0" w:after="0" w:afterAutospacing="0"/>
              <w:ind w:left="0" w:right="0"/>
              <w:rPr>
                <w:rFonts w:hint="default"/>
                <w:highlight w:val="none"/>
              </w:rPr>
            </w:pPr>
            <w:r>
              <w:rPr>
                <w:rFonts w:hint="default"/>
                <w:highlight w:val="none"/>
              </w:rPr>
              <w:t>5月</w:t>
            </w:r>
          </w:p>
        </w:tc>
        <w:tc>
          <w:tcPr>
            <w:tcW w:w="394" w:type="dxa"/>
            <w:shd w:val="clear" w:color="auto" w:fill="auto"/>
            <w:noWrap/>
            <w:vAlign w:val="center"/>
          </w:tcPr>
          <w:p w14:paraId="19220F6A">
            <w:pPr>
              <w:pStyle w:val="8"/>
              <w:suppressLineNumbers w:val="0"/>
              <w:bidi w:val="0"/>
              <w:spacing w:before="0" w:beforeAutospacing="0" w:after="0" w:afterAutospacing="0"/>
              <w:ind w:left="0" w:right="0"/>
              <w:rPr>
                <w:rFonts w:hint="default"/>
                <w:highlight w:val="none"/>
              </w:rPr>
            </w:pPr>
            <w:r>
              <w:rPr>
                <w:rFonts w:hint="default"/>
                <w:highlight w:val="none"/>
              </w:rPr>
              <w:t>7.80</w:t>
            </w:r>
          </w:p>
        </w:tc>
        <w:tc>
          <w:tcPr>
            <w:tcW w:w="470" w:type="dxa"/>
            <w:shd w:val="clear" w:color="auto" w:fill="auto"/>
            <w:noWrap/>
            <w:vAlign w:val="center"/>
          </w:tcPr>
          <w:p w14:paraId="509A72D5">
            <w:pPr>
              <w:pStyle w:val="8"/>
              <w:suppressLineNumbers w:val="0"/>
              <w:bidi w:val="0"/>
              <w:spacing w:before="0" w:beforeAutospacing="0" w:after="0" w:afterAutospacing="0"/>
              <w:ind w:left="0" w:right="0"/>
              <w:rPr>
                <w:rFonts w:hint="default"/>
                <w:highlight w:val="none"/>
              </w:rPr>
            </w:pPr>
            <w:r>
              <w:rPr>
                <w:rFonts w:hint="default"/>
                <w:highlight w:val="none"/>
              </w:rPr>
              <w:t>5.91</w:t>
            </w:r>
          </w:p>
        </w:tc>
        <w:tc>
          <w:tcPr>
            <w:tcW w:w="470" w:type="dxa"/>
            <w:shd w:val="clear" w:color="auto" w:fill="auto"/>
            <w:noWrap/>
            <w:vAlign w:val="center"/>
          </w:tcPr>
          <w:p w14:paraId="56890E84">
            <w:pPr>
              <w:pStyle w:val="8"/>
              <w:suppressLineNumbers w:val="0"/>
              <w:bidi w:val="0"/>
              <w:spacing w:before="0" w:beforeAutospacing="0" w:after="0" w:afterAutospacing="0"/>
              <w:ind w:left="0" w:right="0"/>
              <w:rPr>
                <w:rFonts w:hint="default"/>
                <w:highlight w:val="none"/>
              </w:rPr>
            </w:pPr>
            <w:r>
              <w:rPr>
                <w:rFonts w:hint="default"/>
                <w:highlight w:val="none"/>
              </w:rPr>
              <w:t>2.69</w:t>
            </w:r>
          </w:p>
        </w:tc>
        <w:tc>
          <w:tcPr>
            <w:tcW w:w="469" w:type="dxa"/>
            <w:shd w:val="clear" w:color="auto" w:fill="auto"/>
            <w:noWrap/>
            <w:vAlign w:val="center"/>
          </w:tcPr>
          <w:p w14:paraId="5B8BFD95">
            <w:pPr>
              <w:pStyle w:val="8"/>
              <w:suppressLineNumbers w:val="0"/>
              <w:bidi w:val="0"/>
              <w:spacing w:before="0" w:beforeAutospacing="0" w:after="0" w:afterAutospacing="0"/>
              <w:ind w:left="0" w:right="0"/>
              <w:rPr>
                <w:rFonts w:hint="default"/>
                <w:highlight w:val="none"/>
              </w:rPr>
            </w:pPr>
            <w:r>
              <w:rPr>
                <w:rFonts w:hint="default"/>
                <w:highlight w:val="none"/>
              </w:rPr>
              <w:t>1.21</w:t>
            </w:r>
          </w:p>
        </w:tc>
        <w:tc>
          <w:tcPr>
            <w:tcW w:w="469" w:type="dxa"/>
            <w:shd w:val="clear" w:color="auto" w:fill="auto"/>
            <w:noWrap/>
            <w:vAlign w:val="center"/>
          </w:tcPr>
          <w:p w14:paraId="587F1C07">
            <w:pPr>
              <w:pStyle w:val="8"/>
              <w:suppressLineNumbers w:val="0"/>
              <w:bidi w:val="0"/>
              <w:spacing w:before="0" w:beforeAutospacing="0" w:after="0" w:afterAutospacing="0"/>
              <w:ind w:left="0" w:right="0"/>
              <w:rPr>
                <w:rFonts w:hint="default"/>
                <w:highlight w:val="none"/>
              </w:rPr>
            </w:pPr>
            <w:r>
              <w:rPr>
                <w:rFonts w:hint="default"/>
                <w:highlight w:val="none"/>
              </w:rPr>
              <w:t>4.57</w:t>
            </w:r>
          </w:p>
        </w:tc>
        <w:tc>
          <w:tcPr>
            <w:tcW w:w="470" w:type="dxa"/>
            <w:shd w:val="clear" w:color="auto" w:fill="auto"/>
            <w:noWrap/>
            <w:vAlign w:val="center"/>
          </w:tcPr>
          <w:p w14:paraId="4C986C7A">
            <w:pPr>
              <w:pStyle w:val="8"/>
              <w:suppressLineNumbers w:val="0"/>
              <w:bidi w:val="0"/>
              <w:spacing w:before="0" w:beforeAutospacing="0" w:after="0" w:afterAutospacing="0"/>
              <w:ind w:left="0" w:right="0"/>
              <w:rPr>
                <w:rFonts w:hint="default"/>
                <w:highlight w:val="none"/>
              </w:rPr>
            </w:pPr>
            <w:r>
              <w:rPr>
                <w:rFonts w:hint="default"/>
                <w:highlight w:val="none"/>
              </w:rPr>
              <w:t>2.82</w:t>
            </w:r>
          </w:p>
        </w:tc>
        <w:tc>
          <w:tcPr>
            <w:tcW w:w="470" w:type="dxa"/>
            <w:shd w:val="clear" w:color="auto" w:fill="auto"/>
            <w:noWrap/>
            <w:vAlign w:val="center"/>
          </w:tcPr>
          <w:p w14:paraId="7E8D6F6C">
            <w:pPr>
              <w:pStyle w:val="8"/>
              <w:suppressLineNumbers w:val="0"/>
              <w:bidi w:val="0"/>
              <w:spacing w:before="0" w:beforeAutospacing="0" w:after="0" w:afterAutospacing="0"/>
              <w:ind w:left="0" w:right="0"/>
              <w:rPr>
                <w:rFonts w:hint="default"/>
                <w:highlight w:val="none"/>
              </w:rPr>
            </w:pPr>
            <w:r>
              <w:rPr>
                <w:rFonts w:hint="default"/>
                <w:highlight w:val="none"/>
              </w:rPr>
              <w:t>3.09</w:t>
            </w:r>
          </w:p>
        </w:tc>
        <w:tc>
          <w:tcPr>
            <w:tcW w:w="470" w:type="dxa"/>
            <w:shd w:val="clear" w:color="auto" w:fill="auto"/>
            <w:noWrap/>
            <w:vAlign w:val="center"/>
          </w:tcPr>
          <w:p w14:paraId="51F32ED5">
            <w:pPr>
              <w:pStyle w:val="8"/>
              <w:suppressLineNumbers w:val="0"/>
              <w:bidi w:val="0"/>
              <w:spacing w:before="0" w:beforeAutospacing="0" w:after="0" w:afterAutospacing="0"/>
              <w:ind w:left="0" w:right="0"/>
              <w:rPr>
                <w:rFonts w:hint="default"/>
                <w:highlight w:val="none"/>
              </w:rPr>
            </w:pPr>
            <w:r>
              <w:rPr>
                <w:rFonts w:hint="default"/>
                <w:highlight w:val="none"/>
              </w:rPr>
              <w:t>5.91</w:t>
            </w:r>
          </w:p>
        </w:tc>
        <w:tc>
          <w:tcPr>
            <w:tcW w:w="471" w:type="dxa"/>
            <w:shd w:val="clear" w:color="auto" w:fill="auto"/>
            <w:noWrap/>
            <w:vAlign w:val="center"/>
          </w:tcPr>
          <w:p w14:paraId="4F28010F">
            <w:pPr>
              <w:pStyle w:val="8"/>
              <w:suppressLineNumbers w:val="0"/>
              <w:bidi w:val="0"/>
              <w:spacing w:before="0" w:beforeAutospacing="0" w:after="0" w:afterAutospacing="0"/>
              <w:ind w:left="0" w:right="0"/>
              <w:rPr>
                <w:rFonts w:hint="default"/>
                <w:highlight w:val="none"/>
              </w:rPr>
            </w:pPr>
            <w:r>
              <w:rPr>
                <w:rFonts w:hint="default"/>
                <w:highlight w:val="none"/>
              </w:rPr>
              <w:t>6.72</w:t>
            </w:r>
          </w:p>
        </w:tc>
        <w:tc>
          <w:tcPr>
            <w:tcW w:w="469" w:type="dxa"/>
            <w:shd w:val="clear" w:color="auto" w:fill="auto"/>
            <w:noWrap/>
            <w:vAlign w:val="center"/>
          </w:tcPr>
          <w:p w14:paraId="3298CD05">
            <w:pPr>
              <w:pStyle w:val="8"/>
              <w:suppressLineNumbers w:val="0"/>
              <w:bidi w:val="0"/>
              <w:spacing w:before="0" w:beforeAutospacing="0" w:after="0" w:afterAutospacing="0"/>
              <w:ind w:left="0" w:right="0"/>
              <w:rPr>
                <w:rFonts w:hint="default"/>
                <w:highlight w:val="none"/>
              </w:rPr>
            </w:pPr>
            <w:r>
              <w:rPr>
                <w:rFonts w:hint="default"/>
                <w:highlight w:val="none"/>
              </w:rPr>
              <w:t>10.89</w:t>
            </w:r>
          </w:p>
        </w:tc>
        <w:tc>
          <w:tcPr>
            <w:tcW w:w="468" w:type="dxa"/>
            <w:shd w:val="clear" w:color="auto" w:fill="auto"/>
            <w:noWrap/>
            <w:vAlign w:val="center"/>
          </w:tcPr>
          <w:p w14:paraId="4B04275E">
            <w:pPr>
              <w:pStyle w:val="8"/>
              <w:suppressLineNumbers w:val="0"/>
              <w:bidi w:val="0"/>
              <w:spacing w:before="0" w:beforeAutospacing="0" w:after="0" w:afterAutospacing="0"/>
              <w:ind w:left="0" w:right="0"/>
              <w:rPr>
                <w:rFonts w:hint="default"/>
                <w:highlight w:val="none"/>
              </w:rPr>
            </w:pPr>
            <w:r>
              <w:rPr>
                <w:rFonts w:hint="default"/>
                <w:highlight w:val="none"/>
              </w:rPr>
              <w:t>12.23</w:t>
            </w:r>
          </w:p>
        </w:tc>
        <w:tc>
          <w:tcPr>
            <w:tcW w:w="447" w:type="dxa"/>
            <w:shd w:val="clear" w:color="auto" w:fill="auto"/>
            <w:noWrap/>
            <w:vAlign w:val="center"/>
          </w:tcPr>
          <w:p w14:paraId="1E98560B">
            <w:pPr>
              <w:pStyle w:val="8"/>
              <w:suppressLineNumbers w:val="0"/>
              <w:bidi w:val="0"/>
              <w:spacing w:before="0" w:beforeAutospacing="0" w:after="0" w:afterAutospacing="0"/>
              <w:ind w:left="0" w:right="0"/>
              <w:rPr>
                <w:rFonts w:hint="default"/>
                <w:highlight w:val="none"/>
              </w:rPr>
            </w:pPr>
            <w:r>
              <w:rPr>
                <w:rFonts w:hint="default"/>
                <w:highlight w:val="none"/>
              </w:rPr>
              <w:t>10.48</w:t>
            </w:r>
          </w:p>
        </w:tc>
        <w:tc>
          <w:tcPr>
            <w:tcW w:w="447" w:type="dxa"/>
            <w:shd w:val="clear" w:color="auto" w:fill="auto"/>
            <w:noWrap/>
            <w:vAlign w:val="center"/>
          </w:tcPr>
          <w:p w14:paraId="5A30ADC3">
            <w:pPr>
              <w:pStyle w:val="8"/>
              <w:suppressLineNumbers w:val="0"/>
              <w:bidi w:val="0"/>
              <w:spacing w:before="0" w:beforeAutospacing="0" w:after="0" w:afterAutospacing="0"/>
              <w:ind w:left="0" w:right="0"/>
              <w:rPr>
                <w:rFonts w:hint="default"/>
                <w:highlight w:val="none"/>
              </w:rPr>
            </w:pPr>
            <w:r>
              <w:rPr>
                <w:rFonts w:hint="default"/>
                <w:highlight w:val="none"/>
              </w:rPr>
              <w:t>7.66</w:t>
            </w:r>
          </w:p>
        </w:tc>
        <w:tc>
          <w:tcPr>
            <w:tcW w:w="470" w:type="dxa"/>
            <w:shd w:val="clear" w:color="auto" w:fill="auto"/>
            <w:noWrap/>
            <w:vAlign w:val="center"/>
          </w:tcPr>
          <w:p w14:paraId="2D6CD29F">
            <w:pPr>
              <w:pStyle w:val="8"/>
              <w:suppressLineNumbers w:val="0"/>
              <w:bidi w:val="0"/>
              <w:spacing w:before="0" w:beforeAutospacing="0" w:after="0" w:afterAutospacing="0"/>
              <w:ind w:left="0" w:right="0"/>
              <w:rPr>
                <w:rFonts w:hint="default"/>
                <w:highlight w:val="none"/>
              </w:rPr>
            </w:pPr>
            <w:r>
              <w:rPr>
                <w:rFonts w:hint="default"/>
                <w:highlight w:val="none"/>
              </w:rPr>
              <w:t>6.32</w:t>
            </w:r>
          </w:p>
        </w:tc>
        <w:tc>
          <w:tcPr>
            <w:tcW w:w="470" w:type="dxa"/>
            <w:shd w:val="clear" w:color="auto" w:fill="auto"/>
            <w:noWrap/>
            <w:vAlign w:val="center"/>
          </w:tcPr>
          <w:p w14:paraId="780DA7BD">
            <w:pPr>
              <w:pStyle w:val="8"/>
              <w:suppressLineNumbers w:val="0"/>
              <w:bidi w:val="0"/>
              <w:spacing w:before="0" w:beforeAutospacing="0" w:after="0" w:afterAutospacing="0"/>
              <w:ind w:left="0" w:right="0"/>
              <w:rPr>
                <w:rFonts w:hint="default"/>
                <w:highlight w:val="none"/>
              </w:rPr>
            </w:pPr>
            <w:r>
              <w:rPr>
                <w:rFonts w:hint="default"/>
                <w:highlight w:val="none"/>
              </w:rPr>
              <w:t>3.23</w:t>
            </w:r>
          </w:p>
        </w:tc>
        <w:tc>
          <w:tcPr>
            <w:tcW w:w="469" w:type="dxa"/>
            <w:shd w:val="clear" w:color="auto" w:fill="auto"/>
            <w:noWrap/>
            <w:vAlign w:val="center"/>
          </w:tcPr>
          <w:p w14:paraId="3D606772">
            <w:pPr>
              <w:pStyle w:val="8"/>
              <w:suppressLineNumbers w:val="0"/>
              <w:bidi w:val="0"/>
              <w:spacing w:before="0" w:beforeAutospacing="0" w:after="0" w:afterAutospacing="0"/>
              <w:ind w:left="0" w:right="0"/>
              <w:rPr>
                <w:rFonts w:hint="default"/>
                <w:highlight w:val="none"/>
              </w:rPr>
            </w:pPr>
            <w:r>
              <w:rPr>
                <w:rFonts w:hint="default"/>
                <w:highlight w:val="none"/>
              </w:rPr>
              <w:t>5.24</w:t>
            </w:r>
          </w:p>
        </w:tc>
        <w:tc>
          <w:tcPr>
            <w:tcW w:w="471" w:type="dxa"/>
            <w:shd w:val="clear" w:color="auto" w:fill="auto"/>
            <w:noWrap/>
            <w:vAlign w:val="center"/>
          </w:tcPr>
          <w:p w14:paraId="36C997AF">
            <w:pPr>
              <w:pStyle w:val="8"/>
              <w:suppressLineNumbers w:val="0"/>
              <w:bidi w:val="0"/>
              <w:spacing w:before="0" w:beforeAutospacing="0" w:after="0" w:afterAutospacing="0"/>
              <w:ind w:left="0" w:right="0"/>
              <w:rPr>
                <w:rFonts w:hint="default"/>
                <w:highlight w:val="none"/>
              </w:rPr>
            </w:pPr>
            <w:r>
              <w:rPr>
                <w:rFonts w:hint="default"/>
                <w:highlight w:val="none"/>
              </w:rPr>
              <w:t>3.23</w:t>
            </w:r>
          </w:p>
        </w:tc>
      </w:tr>
      <w:tr w14:paraId="089B1E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4C5F343F">
            <w:pPr>
              <w:pStyle w:val="8"/>
              <w:suppressLineNumbers w:val="0"/>
              <w:bidi w:val="0"/>
              <w:spacing w:before="0" w:beforeAutospacing="0" w:after="0" w:afterAutospacing="0"/>
              <w:ind w:left="0" w:right="0"/>
              <w:rPr>
                <w:rFonts w:hint="default"/>
                <w:highlight w:val="none"/>
              </w:rPr>
            </w:pPr>
            <w:r>
              <w:rPr>
                <w:rFonts w:hint="default"/>
                <w:highlight w:val="none"/>
              </w:rPr>
              <w:t>6月</w:t>
            </w:r>
          </w:p>
        </w:tc>
        <w:tc>
          <w:tcPr>
            <w:tcW w:w="394" w:type="dxa"/>
            <w:shd w:val="clear" w:color="auto" w:fill="auto"/>
            <w:noWrap/>
            <w:vAlign w:val="center"/>
          </w:tcPr>
          <w:p w14:paraId="136A6830">
            <w:pPr>
              <w:pStyle w:val="8"/>
              <w:suppressLineNumbers w:val="0"/>
              <w:bidi w:val="0"/>
              <w:spacing w:before="0" w:beforeAutospacing="0" w:after="0" w:afterAutospacing="0"/>
              <w:ind w:left="0" w:right="0"/>
              <w:rPr>
                <w:rFonts w:hint="default"/>
                <w:highlight w:val="none"/>
              </w:rPr>
            </w:pPr>
            <w:r>
              <w:rPr>
                <w:rFonts w:hint="default"/>
                <w:highlight w:val="none"/>
              </w:rPr>
              <w:t>4.44</w:t>
            </w:r>
          </w:p>
        </w:tc>
        <w:tc>
          <w:tcPr>
            <w:tcW w:w="470" w:type="dxa"/>
            <w:shd w:val="clear" w:color="auto" w:fill="auto"/>
            <w:noWrap/>
            <w:vAlign w:val="center"/>
          </w:tcPr>
          <w:p w14:paraId="0F6D1F0B">
            <w:pPr>
              <w:pStyle w:val="8"/>
              <w:suppressLineNumbers w:val="0"/>
              <w:bidi w:val="0"/>
              <w:spacing w:before="0" w:beforeAutospacing="0" w:after="0" w:afterAutospacing="0"/>
              <w:ind w:left="0" w:right="0"/>
              <w:rPr>
                <w:rFonts w:hint="default"/>
                <w:highlight w:val="none"/>
              </w:rPr>
            </w:pPr>
            <w:r>
              <w:rPr>
                <w:rFonts w:hint="default"/>
                <w:highlight w:val="none"/>
              </w:rPr>
              <w:t>4.86</w:t>
            </w:r>
          </w:p>
        </w:tc>
        <w:tc>
          <w:tcPr>
            <w:tcW w:w="470" w:type="dxa"/>
            <w:shd w:val="clear" w:color="auto" w:fill="auto"/>
            <w:noWrap/>
            <w:vAlign w:val="center"/>
          </w:tcPr>
          <w:p w14:paraId="52C9F430">
            <w:pPr>
              <w:pStyle w:val="8"/>
              <w:suppressLineNumbers w:val="0"/>
              <w:bidi w:val="0"/>
              <w:spacing w:before="0" w:beforeAutospacing="0" w:after="0" w:afterAutospacing="0"/>
              <w:ind w:left="0" w:right="0"/>
              <w:rPr>
                <w:rFonts w:hint="default"/>
                <w:highlight w:val="none"/>
              </w:rPr>
            </w:pPr>
            <w:r>
              <w:rPr>
                <w:rFonts w:hint="default"/>
                <w:highlight w:val="none"/>
              </w:rPr>
              <w:t>3.75</w:t>
            </w:r>
          </w:p>
        </w:tc>
        <w:tc>
          <w:tcPr>
            <w:tcW w:w="469" w:type="dxa"/>
            <w:shd w:val="clear" w:color="auto" w:fill="auto"/>
            <w:noWrap/>
            <w:vAlign w:val="center"/>
          </w:tcPr>
          <w:p w14:paraId="5ADE25BD">
            <w:pPr>
              <w:pStyle w:val="8"/>
              <w:suppressLineNumbers w:val="0"/>
              <w:bidi w:val="0"/>
              <w:spacing w:before="0" w:beforeAutospacing="0" w:after="0" w:afterAutospacing="0"/>
              <w:ind w:left="0" w:right="0"/>
              <w:rPr>
                <w:rFonts w:hint="default"/>
                <w:highlight w:val="none"/>
              </w:rPr>
            </w:pPr>
            <w:r>
              <w:rPr>
                <w:rFonts w:hint="default"/>
                <w:highlight w:val="none"/>
              </w:rPr>
              <w:t>10.28</w:t>
            </w:r>
          </w:p>
        </w:tc>
        <w:tc>
          <w:tcPr>
            <w:tcW w:w="469" w:type="dxa"/>
            <w:shd w:val="clear" w:color="auto" w:fill="auto"/>
            <w:noWrap/>
            <w:vAlign w:val="center"/>
          </w:tcPr>
          <w:p w14:paraId="44616CE3">
            <w:pPr>
              <w:pStyle w:val="8"/>
              <w:suppressLineNumbers w:val="0"/>
              <w:bidi w:val="0"/>
              <w:spacing w:before="0" w:beforeAutospacing="0" w:after="0" w:afterAutospacing="0"/>
              <w:ind w:left="0" w:right="0"/>
              <w:rPr>
                <w:rFonts w:hint="default"/>
                <w:highlight w:val="none"/>
              </w:rPr>
            </w:pPr>
            <w:r>
              <w:rPr>
                <w:rFonts w:hint="default"/>
                <w:highlight w:val="none"/>
              </w:rPr>
              <w:t>21.11</w:t>
            </w:r>
          </w:p>
        </w:tc>
        <w:tc>
          <w:tcPr>
            <w:tcW w:w="470" w:type="dxa"/>
            <w:shd w:val="clear" w:color="auto" w:fill="auto"/>
            <w:noWrap/>
            <w:vAlign w:val="center"/>
          </w:tcPr>
          <w:p w14:paraId="403C7D4D">
            <w:pPr>
              <w:pStyle w:val="8"/>
              <w:suppressLineNumbers w:val="0"/>
              <w:bidi w:val="0"/>
              <w:spacing w:before="0" w:beforeAutospacing="0" w:after="0" w:afterAutospacing="0"/>
              <w:ind w:left="0" w:right="0"/>
              <w:rPr>
                <w:rFonts w:hint="default"/>
                <w:highlight w:val="none"/>
              </w:rPr>
            </w:pPr>
            <w:r>
              <w:rPr>
                <w:rFonts w:hint="default"/>
                <w:highlight w:val="none"/>
              </w:rPr>
              <w:t>5.69</w:t>
            </w:r>
          </w:p>
        </w:tc>
        <w:tc>
          <w:tcPr>
            <w:tcW w:w="470" w:type="dxa"/>
            <w:shd w:val="clear" w:color="auto" w:fill="auto"/>
            <w:noWrap/>
            <w:vAlign w:val="center"/>
          </w:tcPr>
          <w:p w14:paraId="0AF83813">
            <w:pPr>
              <w:pStyle w:val="8"/>
              <w:suppressLineNumbers w:val="0"/>
              <w:bidi w:val="0"/>
              <w:spacing w:before="0" w:beforeAutospacing="0" w:after="0" w:afterAutospacing="0"/>
              <w:ind w:left="0" w:right="0"/>
              <w:rPr>
                <w:rFonts w:hint="default"/>
                <w:highlight w:val="none"/>
              </w:rPr>
            </w:pPr>
            <w:r>
              <w:rPr>
                <w:rFonts w:hint="default"/>
                <w:highlight w:val="none"/>
              </w:rPr>
              <w:t>5.28</w:t>
            </w:r>
          </w:p>
        </w:tc>
        <w:tc>
          <w:tcPr>
            <w:tcW w:w="470" w:type="dxa"/>
            <w:shd w:val="clear" w:color="auto" w:fill="auto"/>
            <w:noWrap/>
            <w:vAlign w:val="center"/>
          </w:tcPr>
          <w:p w14:paraId="03A57B52">
            <w:pPr>
              <w:pStyle w:val="8"/>
              <w:suppressLineNumbers w:val="0"/>
              <w:bidi w:val="0"/>
              <w:spacing w:before="0" w:beforeAutospacing="0" w:after="0" w:afterAutospacing="0"/>
              <w:ind w:left="0" w:right="0"/>
              <w:rPr>
                <w:rFonts w:hint="default"/>
                <w:highlight w:val="none"/>
              </w:rPr>
            </w:pPr>
            <w:r>
              <w:rPr>
                <w:rFonts w:hint="default"/>
                <w:highlight w:val="none"/>
              </w:rPr>
              <w:t>5.28</w:t>
            </w:r>
          </w:p>
        </w:tc>
        <w:tc>
          <w:tcPr>
            <w:tcW w:w="471" w:type="dxa"/>
            <w:shd w:val="clear" w:color="auto" w:fill="auto"/>
            <w:noWrap/>
            <w:vAlign w:val="center"/>
          </w:tcPr>
          <w:p w14:paraId="6607C0A1">
            <w:pPr>
              <w:pStyle w:val="8"/>
              <w:suppressLineNumbers w:val="0"/>
              <w:bidi w:val="0"/>
              <w:spacing w:before="0" w:beforeAutospacing="0" w:after="0" w:afterAutospacing="0"/>
              <w:ind w:left="0" w:right="0"/>
              <w:rPr>
                <w:rFonts w:hint="default"/>
                <w:highlight w:val="none"/>
              </w:rPr>
            </w:pPr>
            <w:r>
              <w:rPr>
                <w:rFonts w:hint="default"/>
                <w:highlight w:val="none"/>
              </w:rPr>
              <w:t>4.72</w:t>
            </w:r>
          </w:p>
        </w:tc>
        <w:tc>
          <w:tcPr>
            <w:tcW w:w="469" w:type="dxa"/>
            <w:shd w:val="clear" w:color="auto" w:fill="auto"/>
            <w:noWrap/>
            <w:vAlign w:val="center"/>
          </w:tcPr>
          <w:p w14:paraId="503850C0">
            <w:pPr>
              <w:pStyle w:val="8"/>
              <w:suppressLineNumbers w:val="0"/>
              <w:bidi w:val="0"/>
              <w:spacing w:before="0" w:beforeAutospacing="0" w:after="0" w:afterAutospacing="0"/>
              <w:ind w:left="0" w:right="0"/>
              <w:rPr>
                <w:rFonts w:hint="default"/>
                <w:highlight w:val="none"/>
              </w:rPr>
            </w:pPr>
            <w:r>
              <w:rPr>
                <w:rFonts w:hint="default"/>
                <w:highlight w:val="none"/>
              </w:rPr>
              <w:t>5.56</w:t>
            </w:r>
          </w:p>
        </w:tc>
        <w:tc>
          <w:tcPr>
            <w:tcW w:w="468" w:type="dxa"/>
            <w:shd w:val="clear" w:color="auto" w:fill="auto"/>
            <w:noWrap/>
            <w:vAlign w:val="center"/>
          </w:tcPr>
          <w:p w14:paraId="41690986">
            <w:pPr>
              <w:pStyle w:val="8"/>
              <w:suppressLineNumbers w:val="0"/>
              <w:bidi w:val="0"/>
              <w:spacing w:before="0" w:beforeAutospacing="0" w:after="0" w:afterAutospacing="0"/>
              <w:ind w:left="0" w:right="0"/>
              <w:rPr>
                <w:rFonts w:hint="default"/>
                <w:highlight w:val="none"/>
              </w:rPr>
            </w:pPr>
            <w:r>
              <w:rPr>
                <w:rFonts w:hint="default"/>
                <w:highlight w:val="none"/>
              </w:rPr>
              <w:t>7.78</w:t>
            </w:r>
          </w:p>
        </w:tc>
        <w:tc>
          <w:tcPr>
            <w:tcW w:w="447" w:type="dxa"/>
            <w:shd w:val="clear" w:color="auto" w:fill="auto"/>
            <w:noWrap/>
            <w:vAlign w:val="center"/>
          </w:tcPr>
          <w:p w14:paraId="1A27A1B9">
            <w:pPr>
              <w:pStyle w:val="8"/>
              <w:suppressLineNumbers w:val="0"/>
              <w:bidi w:val="0"/>
              <w:spacing w:before="0" w:beforeAutospacing="0" w:after="0" w:afterAutospacing="0"/>
              <w:ind w:left="0" w:right="0"/>
              <w:rPr>
                <w:rFonts w:hint="default"/>
                <w:highlight w:val="none"/>
              </w:rPr>
            </w:pPr>
            <w:r>
              <w:rPr>
                <w:rFonts w:hint="default"/>
                <w:highlight w:val="none"/>
              </w:rPr>
              <w:t>8.33</w:t>
            </w:r>
          </w:p>
        </w:tc>
        <w:tc>
          <w:tcPr>
            <w:tcW w:w="447" w:type="dxa"/>
            <w:shd w:val="clear" w:color="auto" w:fill="auto"/>
            <w:noWrap/>
            <w:vAlign w:val="center"/>
          </w:tcPr>
          <w:p w14:paraId="2EE29165">
            <w:pPr>
              <w:pStyle w:val="8"/>
              <w:suppressLineNumbers w:val="0"/>
              <w:bidi w:val="0"/>
              <w:spacing w:before="0" w:beforeAutospacing="0" w:after="0" w:afterAutospacing="0"/>
              <w:ind w:left="0" w:right="0"/>
              <w:rPr>
                <w:rFonts w:hint="default"/>
                <w:highlight w:val="none"/>
              </w:rPr>
            </w:pPr>
            <w:r>
              <w:rPr>
                <w:rFonts w:hint="default"/>
                <w:highlight w:val="none"/>
              </w:rPr>
              <w:t>5.97</w:t>
            </w:r>
          </w:p>
        </w:tc>
        <w:tc>
          <w:tcPr>
            <w:tcW w:w="470" w:type="dxa"/>
            <w:shd w:val="clear" w:color="auto" w:fill="auto"/>
            <w:noWrap/>
            <w:vAlign w:val="center"/>
          </w:tcPr>
          <w:p w14:paraId="7D4197A3">
            <w:pPr>
              <w:pStyle w:val="8"/>
              <w:suppressLineNumbers w:val="0"/>
              <w:bidi w:val="0"/>
              <w:spacing w:before="0" w:beforeAutospacing="0" w:after="0" w:afterAutospacing="0"/>
              <w:ind w:left="0" w:right="0"/>
              <w:rPr>
                <w:rFonts w:hint="default"/>
                <w:highlight w:val="none"/>
              </w:rPr>
            </w:pPr>
            <w:r>
              <w:rPr>
                <w:rFonts w:hint="default"/>
                <w:highlight w:val="none"/>
              </w:rPr>
              <w:t>2.22</w:t>
            </w:r>
          </w:p>
        </w:tc>
        <w:tc>
          <w:tcPr>
            <w:tcW w:w="470" w:type="dxa"/>
            <w:shd w:val="clear" w:color="auto" w:fill="auto"/>
            <w:noWrap/>
            <w:vAlign w:val="center"/>
          </w:tcPr>
          <w:p w14:paraId="27770CA8">
            <w:pPr>
              <w:pStyle w:val="8"/>
              <w:suppressLineNumbers w:val="0"/>
              <w:bidi w:val="0"/>
              <w:spacing w:before="0" w:beforeAutospacing="0" w:after="0" w:afterAutospacing="0"/>
              <w:ind w:left="0" w:right="0"/>
              <w:rPr>
                <w:rFonts w:hint="default"/>
                <w:highlight w:val="none"/>
              </w:rPr>
            </w:pPr>
            <w:r>
              <w:rPr>
                <w:rFonts w:hint="default"/>
                <w:highlight w:val="none"/>
              </w:rPr>
              <w:t>0.56</w:t>
            </w:r>
          </w:p>
        </w:tc>
        <w:tc>
          <w:tcPr>
            <w:tcW w:w="469" w:type="dxa"/>
            <w:shd w:val="clear" w:color="auto" w:fill="auto"/>
            <w:noWrap/>
            <w:vAlign w:val="center"/>
          </w:tcPr>
          <w:p w14:paraId="2FEAFF1E">
            <w:pPr>
              <w:pStyle w:val="8"/>
              <w:suppressLineNumbers w:val="0"/>
              <w:bidi w:val="0"/>
              <w:spacing w:before="0" w:beforeAutospacing="0" w:after="0" w:afterAutospacing="0"/>
              <w:ind w:left="0" w:right="0"/>
              <w:rPr>
                <w:rFonts w:hint="default"/>
                <w:highlight w:val="none"/>
              </w:rPr>
            </w:pPr>
            <w:r>
              <w:rPr>
                <w:rFonts w:hint="default"/>
                <w:highlight w:val="none"/>
              </w:rPr>
              <w:t>2.36</w:t>
            </w:r>
          </w:p>
        </w:tc>
        <w:tc>
          <w:tcPr>
            <w:tcW w:w="471" w:type="dxa"/>
            <w:shd w:val="clear" w:color="auto" w:fill="auto"/>
            <w:noWrap/>
            <w:vAlign w:val="center"/>
          </w:tcPr>
          <w:p w14:paraId="3997AA73">
            <w:pPr>
              <w:pStyle w:val="8"/>
              <w:suppressLineNumbers w:val="0"/>
              <w:bidi w:val="0"/>
              <w:spacing w:before="0" w:beforeAutospacing="0" w:after="0" w:afterAutospacing="0"/>
              <w:ind w:left="0" w:right="0"/>
              <w:rPr>
                <w:rFonts w:hint="default"/>
                <w:highlight w:val="none"/>
              </w:rPr>
            </w:pPr>
            <w:r>
              <w:rPr>
                <w:rFonts w:hint="default"/>
                <w:highlight w:val="none"/>
              </w:rPr>
              <w:t>1.81</w:t>
            </w:r>
          </w:p>
        </w:tc>
      </w:tr>
      <w:tr w14:paraId="3421F1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14677C88">
            <w:pPr>
              <w:pStyle w:val="8"/>
              <w:suppressLineNumbers w:val="0"/>
              <w:bidi w:val="0"/>
              <w:spacing w:before="0" w:beforeAutospacing="0" w:after="0" w:afterAutospacing="0"/>
              <w:ind w:left="0" w:right="0"/>
              <w:rPr>
                <w:rFonts w:hint="default"/>
                <w:highlight w:val="none"/>
              </w:rPr>
            </w:pPr>
            <w:r>
              <w:rPr>
                <w:rFonts w:hint="default"/>
                <w:highlight w:val="none"/>
              </w:rPr>
              <w:t>7月</w:t>
            </w:r>
          </w:p>
        </w:tc>
        <w:tc>
          <w:tcPr>
            <w:tcW w:w="394" w:type="dxa"/>
            <w:shd w:val="clear" w:color="auto" w:fill="auto"/>
            <w:noWrap/>
            <w:vAlign w:val="center"/>
          </w:tcPr>
          <w:p w14:paraId="613C6504">
            <w:pPr>
              <w:pStyle w:val="8"/>
              <w:suppressLineNumbers w:val="0"/>
              <w:bidi w:val="0"/>
              <w:spacing w:before="0" w:beforeAutospacing="0" w:after="0" w:afterAutospacing="0"/>
              <w:ind w:left="0" w:right="0"/>
              <w:rPr>
                <w:rFonts w:hint="default"/>
                <w:highlight w:val="none"/>
              </w:rPr>
            </w:pPr>
            <w:r>
              <w:rPr>
                <w:rFonts w:hint="default"/>
                <w:highlight w:val="none"/>
              </w:rPr>
              <w:t>4.44</w:t>
            </w:r>
          </w:p>
        </w:tc>
        <w:tc>
          <w:tcPr>
            <w:tcW w:w="470" w:type="dxa"/>
            <w:shd w:val="clear" w:color="auto" w:fill="auto"/>
            <w:noWrap/>
            <w:vAlign w:val="center"/>
          </w:tcPr>
          <w:p w14:paraId="4E5BC209">
            <w:pPr>
              <w:pStyle w:val="8"/>
              <w:suppressLineNumbers w:val="0"/>
              <w:bidi w:val="0"/>
              <w:spacing w:before="0" w:beforeAutospacing="0" w:after="0" w:afterAutospacing="0"/>
              <w:ind w:left="0" w:right="0"/>
              <w:rPr>
                <w:rFonts w:hint="default"/>
                <w:highlight w:val="none"/>
              </w:rPr>
            </w:pPr>
            <w:r>
              <w:rPr>
                <w:rFonts w:hint="default"/>
                <w:highlight w:val="none"/>
              </w:rPr>
              <w:t>3.76</w:t>
            </w:r>
          </w:p>
        </w:tc>
        <w:tc>
          <w:tcPr>
            <w:tcW w:w="470" w:type="dxa"/>
            <w:shd w:val="clear" w:color="auto" w:fill="auto"/>
            <w:noWrap/>
            <w:vAlign w:val="center"/>
          </w:tcPr>
          <w:p w14:paraId="37E18ABF">
            <w:pPr>
              <w:pStyle w:val="8"/>
              <w:suppressLineNumbers w:val="0"/>
              <w:bidi w:val="0"/>
              <w:spacing w:before="0" w:beforeAutospacing="0" w:after="0" w:afterAutospacing="0"/>
              <w:ind w:left="0" w:right="0"/>
              <w:rPr>
                <w:rFonts w:hint="default"/>
                <w:highlight w:val="none"/>
              </w:rPr>
            </w:pPr>
            <w:r>
              <w:rPr>
                <w:rFonts w:hint="default"/>
                <w:highlight w:val="none"/>
              </w:rPr>
              <w:t>4.70</w:t>
            </w:r>
          </w:p>
        </w:tc>
        <w:tc>
          <w:tcPr>
            <w:tcW w:w="469" w:type="dxa"/>
            <w:shd w:val="clear" w:color="auto" w:fill="auto"/>
            <w:noWrap/>
            <w:vAlign w:val="center"/>
          </w:tcPr>
          <w:p w14:paraId="1C14CB60">
            <w:pPr>
              <w:pStyle w:val="8"/>
              <w:suppressLineNumbers w:val="0"/>
              <w:bidi w:val="0"/>
              <w:spacing w:before="0" w:beforeAutospacing="0" w:after="0" w:afterAutospacing="0"/>
              <w:ind w:left="0" w:right="0"/>
              <w:rPr>
                <w:rFonts w:hint="default"/>
                <w:highlight w:val="none"/>
              </w:rPr>
            </w:pPr>
            <w:r>
              <w:rPr>
                <w:rFonts w:hint="default"/>
                <w:highlight w:val="none"/>
              </w:rPr>
              <w:t>7.53</w:t>
            </w:r>
          </w:p>
        </w:tc>
        <w:tc>
          <w:tcPr>
            <w:tcW w:w="469" w:type="dxa"/>
            <w:shd w:val="clear" w:color="auto" w:fill="auto"/>
            <w:noWrap/>
            <w:vAlign w:val="center"/>
          </w:tcPr>
          <w:p w14:paraId="3CA6E49F">
            <w:pPr>
              <w:pStyle w:val="8"/>
              <w:suppressLineNumbers w:val="0"/>
              <w:bidi w:val="0"/>
              <w:spacing w:before="0" w:beforeAutospacing="0" w:after="0" w:afterAutospacing="0"/>
              <w:ind w:left="0" w:right="0"/>
              <w:rPr>
                <w:rFonts w:hint="default"/>
                <w:highlight w:val="none"/>
              </w:rPr>
            </w:pPr>
            <w:r>
              <w:rPr>
                <w:rFonts w:hint="default"/>
                <w:highlight w:val="none"/>
              </w:rPr>
              <w:t>15.73</w:t>
            </w:r>
          </w:p>
        </w:tc>
        <w:tc>
          <w:tcPr>
            <w:tcW w:w="470" w:type="dxa"/>
            <w:shd w:val="clear" w:color="auto" w:fill="auto"/>
            <w:noWrap/>
            <w:vAlign w:val="center"/>
          </w:tcPr>
          <w:p w14:paraId="7A546E10">
            <w:pPr>
              <w:pStyle w:val="8"/>
              <w:suppressLineNumbers w:val="0"/>
              <w:bidi w:val="0"/>
              <w:spacing w:before="0" w:beforeAutospacing="0" w:after="0" w:afterAutospacing="0"/>
              <w:ind w:left="0" w:right="0"/>
              <w:rPr>
                <w:rFonts w:hint="default"/>
                <w:highlight w:val="none"/>
              </w:rPr>
            </w:pPr>
            <w:r>
              <w:rPr>
                <w:rFonts w:hint="default"/>
                <w:highlight w:val="none"/>
              </w:rPr>
              <w:t>9.14</w:t>
            </w:r>
          </w:p>
        </w:tc>
        <w:tc>
          <w:tcPr>
            <w:tcW w:w="470" w:type="dxa"/>
            <w:shd w:val="clear" w:color="auto" w:fill="auto"/>
            <w:noWrap/>
            <w:vAlign w:val="center"/>
          </w:tcPr>
          <w:p w14:paraId="7205A3AB">
            <w:pPr>
              <w:pStyle w:val="8"/>
              <w:suppressLineNumbers w:val="0"/>
              <w:bidi w:val="0"/>
              <w:spacing w:before="0" w:beforeAutospacing="0" w:after="0" w:afterAutospacing="0"/>
              <w:ind w:left="0" w:right="0"/>
              <w:rPr>
                <w:rFonts w:hint="default"/>
                <w:highlight w:val="none"/>
              </w:rPr>
            </w:pPr>
            <w:r>
              <w:rPr>
                <w:rFonts w:hint="default"/>
                <w:highlight w:val="none"/>
              </w:rPr>
              <w:t>8.74</w:t>
            </w:r>
          </w:p>
        </w:tc>
        <w:tc>
          <w:tcPr>
            <w:tcW w:w="470" w:type="dxa"/>
            <w:shd w:val="clear" w:color="auto" w:fill="auto"/>
            <w:noWrap/>
            <w:vAlign w:val="center"/>
          </w:tcPr>
          <w:p w14:paraId="3B49F6EE">
            <w:pPr>
              <w:pStyle w:val="8"/>
              <w:suppressLineNumbers w:val="0"/>
              <w:bidi w:val="0"/>
              <w:spacing w:before="0" w:beforeAutospacing="0" w:after="0" w:afterAutospacing="0"/>
              <w:ind w:left="0" w:right="0"/>
              <w:rPr>
                <w:rFonts w:hint="default"/>
                <w:highlight w:val="none"/>
              </w:rPr>
            </w:pPr>
            <w:r>
              <w:rPr>
                <w:rFonts w:hint="default"/>
                <w:highlight w:val="none"/>
              </w:rPr>
              <w:t>4.57</w:t>
            </w:r>
          </w:p>
        </w:tc>
        <w:tc>
          <w:tcPr>
            <w:tcW w:w="471" w:type="dxa"/>
            <w:shd w:val="clear" w:color="auto" w:fill="auto"/>
            <w:noWrap/>
            <w:vAlign w:val="center"/>
          </w:tcPr>
          <w:p w14:paraId="7FBA63DA">
            <w:pPr>
              <w:pStyle w:val="8"/>
              <w:suppressLineNumbers w:val="0"/>
              <w:bidi w:val="0"/>
              <w:spacing w:before="0" w:beforeAutospacing="0" w:after="0" w:afterAutospacing="0"/>
              <w:ind w:left="0" w:right="0"/>
              <w:rPr>
                <w:rFonts w:hint="default"/>
                <w:highlight w:val="none"/>
              </w:rPr>
            </w:pPr>
            <w:r>
              <w:rPr>
                <w:rFonts w:hint="default"/>
                <w:highlight w:val="none"/>
              </w:rPr>
              <w:t>8.06</w:t>
            </w:r>
          </w:p>
        </w:tc>
        <w:tc>
          <w:tcPr>
            <w:tcW w:w="469" w:type="dxa"/>
            <w:shd w:val="clear" w:color="auto" w:fill="auto"/>
            <w:noWrap/>
            <w:vAlign w:val="center"/>
          </w:tcPr>
          <w:p w14:paraId="3DEDDDA6">
            <w:pPr>
              <w:pStyle w:val="8"/>
              <w:suppressLineNumbers w:val="0"/>
              <w:bidi w:val="0"/>
              <w:spacing w:before="0" w:beforeAutospacing="0" w:after="0" w:afterAutospacing="0"/>
              <w:ind w:left="0" w:right="0"/>
              <w:rPr>
                <w:rFonts w:hint="default"/>
                <w:highlight w:val="none"/>
              </w:rPr>
            </w:pPr>
            <w:r>
              <w:rPr>
                <w:rFonts w:hint="default"/>
                <w:highlight w:val="none"/>
              </w:rPr>
              <w:t>10.35</w:t>
            </w:r>
          </w:p>
        </w:tc>
        <w:tc>
          <w:tcPr>
            <w:tcW w:w="468" w:type="dxa"/>
            <w:shd w:val="clear" w:color="auto" w:fill="auto"/>
            <w:noWrap/>
            <w:vAlign w:val="center"/>
          </w:tcPr>
          <w:p w14:paraId="0277B716">
            <w:pPr>
              <w:pStyle w:val="8"/>
              <w:suppressLineNumbers w:val="0"/>
              <w:bidi w:val="0"/>
              <w:spacing w:before="0" w:beforeAutospacing="0" w:after="0" w:afterAutospacing="0"/>
              <w:ind w:left="0" w:right="0"/>
              <w:rPr>
                <w:rFonts w:hint="default"/>
                <w:highlight w:val="none"/>
              </w:rPr>
            </w:pPr>
            <w:r>
              <w:rPr>
                <w:rFonts w:hint="default"/>
                <w:highlight w:val="none"/>
              </w:rPr>
              <w:t>9.68</w:t>
            </w:r>
          </w:p>
        </w:tc>
        <w:tc>
          <w:tcPr>
            <w:tcW w:w="447" w:type="dxa"/>
            <w:shd w:val="clear" w:color="auto" w:fill="auto"/>
            <w:noWrap/>
            <w:vAlign w:val="center"/>
          </w:tcPr>
          <w:p w14:paraId="37BAA012">
            <w:pPr>
              <w:pStyle w:val="8"/>
              <w:suppressLineNumbers w:val="0"/>
              <w:bidi w:val="0"/>
              <w:spacing w:before="0" w:beforeAutospacing="0" w:after="0" w:afterAutospacing="0"/>
              <w:ind w:left="0" w:right="0"/>
              <w:rPr>
                <w:rFonts w:hint="default"/>
                <w:highlight w:val="none"/>
              </w:rPr>
            </w:pPr>
            <w:r>
              <w:rPr>
                <w:rFonts w:hint="default"/>
                <w:highlight w:val="none"/>
              </w:rPr>
              <w:t>4.57</w:t>
            </w:r>
          </w:p>
        </w:tc>
        <w:tc>
          <w:tcPr>
            <w:tcW w:w="447" w:type="dxa"/>
            <w:shd w:val="clear" w:color="auto" w:fill="auto"/>
            <w:noWrap/>
            <w:vAlign w:val="center"/>
          </w:tcPr>
          <w:p w14:paraId="0895D1FF">
            <w:pPr>
              <w:pStyle w:val="8"/>
              <w:suppressLineNumbers w:val="0"/>
              <w:bidi w:val="0"/>
              <w:spacing w:before="0" w:beforeAutospacing="0" w:after="0" w:afterAutospacing="0"/>
              <w:ind w:left="0" w:right="0"/>
              <w:rPr>
                <w:rFonts w:hint="default"/>
                <w:highlight w:val="none"/>
              </w:rPr>
            </w:pPr>
            <w:r>
              <w:rPr>
                <w:rFonts w:hint="default"/>
                <w:highlight w:val="none"/>
              </w:rPr>
              <w:t>2.96</w:t>
            </w:r>
          </w:p>
        </w:tc>
        <w:tc>
          <w:tcPr>
            <w:tcW w:w="470" w:type="dxa"/>
            <w:shd w:val="clear" w:color="auto" w:fill="auto"/>
            <w:noWrap/>
            <w:vAlign w:val="center"/>
          </w:tcPr>
          <w:p w14:paraId="009491B5">
            <w:pPr>
              <w:pStyle w:val="8"/>
              <w:suppressLineNumbers w:val="0"/>
              <w:bidi w:val="0"/>
              <w:spacing w:before="0" w:beforeAutospacing="0" w:after="0" w:afterAutospacing="0"/>
              <w:ind w:left="0" w:right="0"/>
              <w:rPr>
                <w:rFonts w:hint="default"/>
                <w:highlight w:val="none"/>
              </w:rPr>
            </w:pPr>
            <w:r>
              <w:rPr>
                <w:rFonts w:hint="default"/>
                <w:highlight w:val="none"/>
              </w:rPr>
              <w:t>0.94</w:t>
            </w:r>
          </w:p>
        </w:tc>
        <w:tc>
          <w:tcPr>
            <w:tcW w:w="470" w:type="dxa"/>
            <w:shd w:val="clear" w:color="auto" w:fill="auto"/>
            <w:noWrap/>
            <w:vAlign w:val="center"/>
          </w:tcPr>
          <w:p w14:paraId="01E079A9">
            <w:pPr>
              <w:pStyle w:val="8"/>
              <w:suppressLineNumbers w:val="0"/>
              <w:bidi w:val="0"/>
              <w:spacing w:before="0" w:beforeAutospacing="0" w:after="0" w:afterAutospacing="0"/>
              <w:ind w:left="0" w:right="0"/>
              <w:rPr>
                <w:rFonts w:hint="default"/>
                <w:highlight w:val="none"/>
              </w:rPr>
            </w:pPr>
            <w:r>
              <w:rPr>
                <w:rFonts w:hint="default"/>
                <w:highlight w:val="none"/>
              </w:rPr>
              <w:t>0.40</w:t>
            </w:r>
          </w:p>
        </w:tc>
        <w:tc>
          <w:tcPr>
            <w:tcW w:w="469" w:type="dxa"/>
            <w:shd w:val="clear" w:color="auto" w:fill="auto"/>
            <w:noWrap/>
            <w:vAlign w:val="center"/>
          </w:tcPr>
          <w:p w14:paraId="495225A0">
            <w:pPr>
              <w:pStyle w:val="8"/>
              <w:suppressLineNumbers w:val="0"/>
              <w:bidi w:val="0"/>
              <w:spacing w:before="0" w:beforeAutospacing="0" w:after="0" w:afterAutospacing="0"/>
              <w:ind w:left="0" w:right="0"/>
              <w:rPr>
                <w:rFonts w:hint="default"/>
                <w:highlight w:val="none"/>
              </w:rPr>
            </w:pPr>
            <w:r>
              <w:rPr>
                <w:rFonts w:hint="default"/>
                <w:highlight w:val="none"/>
              </w:rPr>
              <w:t>1.75</w:t>
            </w:r>
          </w:p>
        </w:tc>
        <w:tc>
          <w:tcPr>
            <w:tcW w:w="471" w:type="dxa"/>
            <w:shd w:val="clear" w:color="auto" w:fill="auto"/>
            <w:noWrap/>
            <w:vAlign w:val="center"/>
          </w:tcPr>
          <w:p w14:paraId="0753831C">
            <w:pPr>
              <w:pStyle w:val="8"/>
              <w:suppressLineNumbers w:val="0"/>
              <w:bidi w:val="0"/>
              <w:spacing w:before="0" w:beforeAutospacing="0" w:after="0" w:afterAutospacing="0"/>
              <w:ind w:left="0" w:right="0"/>
              <w:rPr>
                <w:rFonts w:hint="default"/>
                <w:highlight w:val="none"/>
              </w:rPr>
            </w:pPr>
            <w:r>
              <w:rPr>
                <w:rFonts w:hint="default"/>
                <w:highlight w:val="none"/>
              </w:rPr>
              <w:t>2.69</w:t>
            </w:r>
          </w:p>
        </w:tc>
      </w:tr>
      <w:tr w14:paraId="633288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0B98C66F">
            <w:pPr>
              <w:pStyle w:val="8"/>
              <w:suppressLineNumbers w:val="0"/>
              <w:bidi w:val="0"/>
              <w:spacing w:before="0" w:beforeAutospacing="0" w:after="0" w:afterAutospacing="0"/>
              <w:ind w:left="0" w:right="0"/>
              <w:rPr>
                <w:rFonts w:hint="default"/>
                <w:highlight w:val="none"/>
              </w:rPr>
            </w:pPr>
            <w:r>
              <w:rPr>
                <w:rFonts w:hint="default"/>
                <w:highlight w:val="none"/>
              </w:rPr>
              <w:t>8月</w:t>
            </w:r>
          </w:p>
        </w:tc>
        <w:tc>
          <w:tcPr>
            <w:tcW w:w="394" w:type="dxa"/>
            <w:shd w:val="clear" w:color="auto" w:fill="auto"/>
            <w:noWrap/>
            <w:vAlign w:val="center"/>
          </w:tcPr>
          <w:p w14:paraId="40078DBF">
            <w:pPr>
              <w:pStyle w:val="8"/>
              <w:suppressLineNumbers w:val="0"/>
              <w:bidi w:val="0"/>
              <w:spacing w:before="0" w:beforeAutospacing="0" w:after="0" w:afterAutospacing="0"/>
              <w:ind w:left="0" w:right="0"/>
              <w:rPr>
                <w:rFonts w:hint="default"/>
                <w:highlight w:val="none"/>
              </w:rPr>
            </w:pPr>
            <w:r>
              <w:rPr>
                <w:rFonts w:hint="default"/>
                <w:highlight w:val="none"/>
              </w:rPr>
              <w:t>2.42</w:t>
            </w:r>
          </w:p>
        </w:tc>
        <w:tc>
          <w:tcPr>
            <w:tcW w:w="470" w:type="dxa"/>
            <w:shd w:val="clear" w:color="auto" w:fill="auto"/>
            <w:noWrap/>
            <w:vAlign w:val="center"/>
          </w:tcPr>
          <w:p w14:paraId="7B500FEC">
            <w:pPr>
              <w:pStyle w:val="8"/>
              <w:suppressLineNumbers w:val="0"/>
              <w:bidi w:val="0"/>
              <w:spacing w:before="0" w:beforeAutospacing="0" w:after="0" w:afterAutospacing="0"/>
              <w:ind w:left="0" w:right="0"/>
              <w:rPr>
                <w:rFonts w:hint="default"/>
                <w:highlight w:val="none"/>
              </w:rPr>
            </w:pPr>
            <w:r>
              <w:rPr>
                <w:rFonts w:hint="default"/>
                <w:highlight w:val="none"/>
              </w:rPr>
              <w:t>2.15</w:t>
            </w:r>
          </w:p>
        </w:tc>
        <w:tc>
          <w:tcPr>
            <w:tcW w:w="470" w:type="dxa"/>
            <w:shd w:val="clear" w:color="auto" w:fill="auto"/>
            <w:noWrap/>
            <w:vAlign w:val="center"/>
          </w:tcPr>
          <w:p w14:paraId="655D8F0D">
            <w:pPr>
              <w:pStyle w:val="8"/>
              <w:suppressLineNumbers w:val="0"/>
              <w:bidi w:val="0"/>
              <w:spacing w:before="0" w:beforeAutospacing="0" w:after="0" w:afterAutospacing="0"/>
              <w:ind w:left="0" w:right="0"/>
              <w:rPr>
                <w:rFonts w:hint="default"/>
                <w:highlight w:val="none"/>
              </w:rPr>
            </w:pPr>
            <w:r>
              <w:rPr>
                <w:rFonts w:hint="default"/>
                <w:highlight w:val="none"/>
              </w:rPr>
              <w:t>2.28</w:t>
            </w:r>
          </w:p>
        </w:tc>
        <w:tc>
          <w:tcPr>
            <w:tcW w:w="469" w:type="dxa"/>
            <w:shd w:val="clear" w:color="auto" w:fill="auto"/>
            <w:noWrap/>
            <w:vAlign w:val="center"/>
          </w:tcPr>
          <w:p w14:paraId="6D8E53D0">
            <w:pPr>
              <w:pStyle w:val="8"/>
              <w:suppressLineNumbers w:val="0"/>
              <w:bidi w:val="0"/>
              <w:spacing w:before="0" w:beforeAutospacing="0" w:after="0" w:afterAutospacing="0"/>
              <w:ind w:left="0" w:right="0"/>
              <w:rPr>
                <w:rFonts w:hint="default"/>
                <w:highlight w:val="none"/>
              </w:rPr>
            </w:pPr>
            <w:r>
              <w:rPr>
                <w:rFonts w:hint="default"/>
                <w:highlight w:val="none"/>
              </w:rPr>
              <w:t>2.15</w:t>
            </w:r>
          </w:p>
        </w:tc>
        <w:tc>
          <w:tcPr>
            <w:tcW w:w="469" w:type="dxa"/>
            <w:shd w:val="clear" w:color="auto" w:fill="auto"/>
            <w:noWrap/>
            <w:vAlign w:val="center"/>
          </w:tcPr>
          <w:p w14:paraId="1498BB90">
            <w:pPr>
              <w:pStyle w:val="8"/>
              <w:suppressLineNumbers w:val="0"/>
              <w:bidi w:val="0"/>
              <w:spacing w:before="0" w:beforeAutospacing="0" w:after="0" w:afterAutospacing="0"/>
              <w:ind w:left="0" w:right="0"/>
              <w:rPr>
                <w:rFonts w:hint="default"/>
                <w:highlight w:val="none"/>
              </w:rPr>
            </w:pPr>
            <w:r>
              <w:rPr>
                <w:rFonts w:hint="default"/>
                <w:highlight w:val="none"/>
              </w:rPr>
              <w:t>2.82</w:t>
            </w:r>
          </w:p>
        </w:tc>
        <w:tc>
          <w:tcPr>
            <w:tcW w:w="470" w:type="dxa"/>
            <w:shd w:val="clear" w:color="auto" w:fill="auto"/>
            <w:noWrap/>
            <w:vAlign w:val="center"/>
          </w:tcPr>
          <w:p w14:paraId="6D74B1CF">
            <w:pPr>
              <w:pStyle w:val="8"/>
              <w:suppressLineNumbers w:val="0"/>
              <w:bidi w:val="0"/>
              <w:spacing w:before="0" w:beforeAutospacing="0" w:after="0" w:afterAutospacing="0"/>
              <w:ind w:left="0" w:right="0"/>
              <w:rPr>
                <w:rFonts w:hint="default"/>
                <w:highlight w:val="none"/>
              </w:rPr>
            </w:pPr>
            <w:r>
              <w:rPr>
                <w:rFonts w:hint="default"/>
                <w:highlight w:val="none"/>
              </w:rPr>
              <w:t>1.88</w:t>
            </w:r>
          </w:p>
        </w:tc>
        <w:tc>
          <w:tcPr>
            <w:tcW w:w="470" w:type="dxa"/>
            <w:shd w:val="clear" w:color="auto" w:fill="auto"/>
            <w:noWrap/>
            <w:vAlign w:val="center"/>
          </w:tcPr>
          <w:p w14:paraId="4646B9EB">
            <w:pPr>
              <w:pStyle w:val="8"/>
              <w:suppressLineNumbers w:val="0"/>
              <w:bidi w:val="0"/>
              <w:spacing w:before="0" w:beforeAutospacing="0" w:after="0" w:afterAutospacing="0"/>
              <w:ind w:left="0" w:right="0"/>
              <w:rPr>
                <w:rFonts w:hint="default"/>
                <w:highlight w:val="none"/>
              </w:rPr>
            </w:pPr>
            <w:r>
              <w:rPr>
                <w:rFonts w:hint="default"/>
                <w:highlight w:val="none"/>
              </w:rPr>
              <w:t>3.36</w:t>
            </w:r>
          </w:p>
        </w:tc>
        <w:tc>
          <w:tcPr>
            <w:tcW w:w="470" w:type="dxa"/>
            <w:shd w:val="clear" w:color="auto" w:fill="auto"/>
            <w:noWrap/>
            <w:vAlign w:val="center"/>
          </w:tcPr>
          <w:p w14:paraId="3C9443E1">
            <w:pPr>
              <w:pStyle w:val="8"/>
              <w:suppressLineNumbers w:val="0"/>
              <w:bidi w:val="0"/>
              <w:spacing w:before="0" w:beforeAutospacing="0" w:after="0" w:afterAutospacing="0"/>
              <w:ind w:left="0" w:right="0"/>
              <w:rPr>
                <w:rFonts w:hint="default"/>
                <w:highlight w:val="none"/>
              </w:rPr>
            </w:pPr>
            <w:r>
              <w:rPr>
                <w:rFonts w:hint="default"/>
                <w:highlight w:val="none"/>
              </w:rPr>
              <w:t>4.17</w:t>
            </w:r>
          </w:p>
        </w:tc>
        <w:tc>
          <w:tcPr>
            <w:tcW w:w="471" w:type="dxa"/>
            <w:shd w:val="clear" w:color="auto" w:fill="auto"/>
            <w:noWrap/>
            <w:vAlign w:val="center"/>
          </w:tcPr>
          <w:p w14:paraId="4656AB23">
            <w:pPr>
              <w:pStyle w:val="8"/>
              <w:suppressLineNumbers w:val="0"/>
              <w:bidi w:val="0"/>
              <w:spacing w:before="0" w:beforeAutospacing="0" w:after="0" w:afterAutospacing="0"/>
              <w:ind w:left="0" w:right="0"/>
              <w:rPr>
                <w:rFonts w:hint="default"/>
                <w:highlight w:val="none"/>
              </w:rPr>
            </w:pPr>
            <w:r>
              <w:rPr>
                <w:rFonts w:hint="default"/>
                <w:highlight w:val="none"/>
              </w:rPr>
              <w:t>6.18</w:t>
            </w:r>
          </w:p>
        </w:tc>
        <w:tc>
          <w:tcPr>
            <w:tcW w:w="469" w:type="dxa"/>
            <w:shd w:val="clear" w:color="auto" w:fill="auto"/>
            <w:noWrap/>
            <w:vAlign w:val="center"/>
          </w:tcPr>
          <w:p w14:paraId="447E6D37">
            <w:pPr>
              <w:pStyle w:val="8"/>
              <w:suppressLineNumbers w:val="0"/>
              <w:bidi w:val="0"/>
              <w:spacing w:before="0" w:beforeAutospacing="0" w:after="0" w:afterAutospacing="0"/>
              <w:ind w:left="0" w:right="0"/>
              <w:rPr>
                <w:rFonts w:hint="default"/>
                <w:highlight w:val="none"/>
              </w:rPr>
            </w:pPr>
            <w:r>
              <w:rPr>
                <w:rFonts w:hint="default"/>
                <w:highlight w:val="none"/>
              </w:rPr>
              <w:t>9.41</w:t>
            </w:r>
          </w:p>
        </w:tc>
        <w:tc>
          <w:tcPr>
            <w:tcW w:w="468" w:type="dxa"/>
            <w:shd w:val="clear" w:color="auto" w:fill="auto"/>
            <w:noWrap/>
            <w:vAlign w:val="center"/>
          </w:tcPr>
          <w:p w14:paraId="7A62AB36">
            <w:pPr>
              <w:pStyle w:val="8"/>
              <w:suppressLineNumbers w:val="0"/>
              <w:bidi w:val="0"/>
              <w:spacing w:before="0" w:beforeAutospacing="0" w:after="0" w:afterAutospacing="0"/>
              <w:ind w:left="0" w:right="0"/>
              <w:rPr>
                <w:rFonts w:hint="default"/>
                <w:highlight w:val="none"/>
              </w:rPr>
            </w:pPr>
            <w:r>
              <w:rPr>
                <w:rFonts w:hint="default"/>
                <w:highlight w:val="none"/>
              </w:rPr>
              <w:t>12.90</w:t>
            </w:r>
          </w:p>
        </w:tc>
        <w:tc>
          <w:tcPr>
            <w:tcW w:w="447" w:type="dxa"/>
            <w:shd w:val="clear" w:color="auto" w:fill="auto"/>
            <w:noWrap/>
            <w:vAlign w:val="center"/>
          </w:tcPr>
          <w:p w14:paraId="03EFD2C9">
            <w:pPr>
              <w:pStyle w:val="8"/>
              <w:suppressLineNumbers w:val="0"/>
              <w:bidi w:val="0"/>
              <w:spacing w:before="0" w:beforeAutospacing="0" w:after="0" w:afterAutospacing="0"/>
              <w:ind w:left="0" w:right="0"/>
              <w:rPr>
                <w:rFonts w:hint="default"/>
                <w:highlight w:val="none"/>
              </w:rPr>
            </w:pPr>
            <w:r>
              <w:rPr>
                <w:rFonts w:hint="default"/>
                <w:highlight w:val="none"/>
              </w:rPr>
              <w:t>22.18</w:t>
            </w:r>
          </w:p>
        </w:tc>
        <w:tc>
          <w:tcPr>
            <w:tcW w:w="447" w:type="dxa"/>
            <w:shd w:val="clear" w:color="auto" w:fill="auto"/>
            <w:noWrap/>
            <w:vAlign w:val="center"/>
          </w:tcPr>
          <w:p w14:paraId="0DE9C5D6">
            <w:pPr>
              <w:pStyle w:val="8"/>
              <w:suppressLineNumbers w:val="0"/>
              <w:bidi w:val="0"/>
              <w:spacing w:before="0" w:beforeAutospacing="0" w:after="0" w:afterAutospacing="0"/>
              <w:ind w:left="0" w:right="0"/>
              <w:rPr>
                <w:rFonts w:hint="default"/>
                <w:highlight w:val="none"/>
              </w:rPr>
            </w:pPr>
            <w:r>
              <w:rPr>
                <w:rFonts w:hint="default"/>
                <w:highlight w:val="none"/>
              </w:rPr>
              <w:t>14.25</w:t>
            </w:r>
          </w:p>
        </w:tc>
        <w:tc>
          <w:tcPr>
            <w:tcW w:w="470" w:type="dxa"/>
            <w:shd w:val="clear" w:color="auto" w:fill="auto"/>
            <w:noWrap/>
            <w:vAlign w:val="center"/>
          </w:tcPr>
          <w:p w14:paraId="03028F9B">
            <w:pPr>
              <w:pStyle w:val="8"/>
              <w:suppressLineNumbers w:val="0"/>
              <w:bidi w:val="0"/>
              <w:spacing w:before="0" w:beforeAutospacing="0" w:after="0" w:afterAutospacing="0"/>
              <w:ind w:left="0" w:right="0"/>
              <w:rPr>
                <w:rFonts w:hint="default"/>
                <w:highlight w:val="none"/>
              </w:rPr>
            </w:pPr>
            <w:r>
              <w:rPr>
                <w:rFonts w:hint="default"/>
                <w:highlight w:val="none"/>
              </w:rPr>
              <w:t>4.70</w:t>
            </w:r>
          </w:p>
        </w:tc>
        <w:tc>
          <w:tcPr>
            <w:tcW w:w="470" w:type="dxa"/>
            <w:shd w:val="clear" w:color="auto" w:fill="auto"/>
            <w:noWrap/>
            <w:vAlign w:val="center"/>
          </w:tcPr>
          <w:p w14:paraId="740157D7">
            <w:pPr>
              <w:pStyle w:val="8"/>
              <w:suppressLineNumbers w:val="0"/>
              <w:bidi w:val="0"/>
              <w:spacing w:before="0" w:beforeAutospacing="0" w:after="0" w:afterAutospacing="0"/>
              <w:ind w:left="0" w:right="0"/>
              <w:rPr>
                <w:rFonts w:hint="default"/>
                <w:highlight w:val="none"/>
              </w:rPr>
            </w:pPr>
            <w:r>
              <w:rPr>
                <w:rFonts w:hint="default"/>
                <w:highlight w:val="none"/>
              </w:rPr>
              <w:t>1.61</w:t>
            </w:r>
          </w:p>
        </w:tc>
        <w:tc>
          <w:tcPr>
            <w:tcW w:w="469" w:type="dxa"/>
            <w:shd w:val="clear" w:color="auto" w:fill="auto"/>
            <w:noWrap/>
            <w:vAlign w:val="center"/>
          </w:tcPr>
          <w:p w14:paraId="5AEAEC3E">
            <w:pPr>
              <w:pStyle w:val="8"/>
              <w:suppressLineNumbers w:val="0"/>
              <w:bidi w:val="0"/>
              <w:spacing w:before="0" w:beforeAutospacing="0" w:after="0" w:afterAutospacing="0"/>
              <w:ind w:left="0" w:right="0"/>
              <w:rPr>
                <w:rFonts w:hint="default"/>
                <w:highlight w:val="none"/>
              </w:rPr>
            </w:pPr>
            <w:r>
              <w:rPr>
                <w:rFonts w:hint="default"/>
                <w:highlight w:val="none"/>
              </w:rPr>
              <w:t>3.23</w:t>
            </w:r>
          </w:p>
        </w:tc>
        <w:tc>
          <w:tcPr>
            <w:tcW w:w="471" w:type="dxa"/>
            <w:shd w:val="clear" w:color="auto" w:fill="auto"/>
            <w:noWrap/>
            <w:vAlign w:val="center"/>
          </w:tcPr>
          <w:p w14:paraId="4C3E6C90">
            <w:pPr>
              <w:pStyle w:val="8"/>
              <w:suppressLineNumbers w:val="0"/>
              <w:bidi w:val="0"/>
              <w:spacing w:before="0" w:beforeAutospacing="0" w:after="0" w:afterAutospacing="0"/>
              <w:ind w:left="0" w:right="0"/>
              <w:rPr>
                <w:rFonts w:hint="default"/>
                <w:highlight w:val="none"/>
              </w:rPr>
            </w:pPr>
            <w:r>
              <w:rPr>
                <w:rFonts w:hint="default"/>
                <w:highlight w:val="none"/>
              </w:rPr>
              <w:t>4.30</w:t>
            </w:r>
          </w:p>
        </w:tc>
      </w:tr>
      <w:tr w14:paraId="2080C8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53722642">
            <w:pPr>
              <w:pStyle w:val="8"/>
              <w:suppressLineNumbers w:val="0"/>
              <w:bidi w:val="0"/>
              <w:spacing w:before="0" w:beforeAutospacing="0" w:after="0" w:afterAutospacing="0"/>
              <w:ind w:left="0" w:right="0"/>
              <w:rPr>
                <w:rFonts w:hint="default"/>
                <w:highlight w:val="none"/>
              </w:rPr>
            </w:pPr>
            <w:r>
              <w:rPr>
                <w:rFonts w:hint="default"/>
                <w:highlight w:val="none"/>
              </w:rPr>
              <w:t>9月</w:t>
            </w:r>
          </w:p>
        </w:tc>
        <w:tc>
          <w:tcPr>
            <w:tcW w:w="394" w:type="dxa"/>
            <w:shd w:val="clear" w:color="auto" w:fill="auto"/>
            <w:noWrap/>
            <w:vAlign w:val="center"/>
          </w:tcPr>
          <w:p w14:paraId="437A94FA">
            <w:pPr>
              <w:pStyle w:val="8"/>
              <w:suppressLineNumbers w:val="0"/>
              <w:bidi w:val="0"/>
              <w:spacing w:before="0" w:beforeAutospacing="0" w:after="0" w:afterAutospacing="0"/>
              <w:ind w:left="0" w:right="0"/>
              <w:rPr>
                <w:rFonts w:hint="default"/>
                <w:highlight w:val="none"/>
              </w:rPr>
            </w:pPr>
            <w:r>
              <w:rPr>
                <w:rFonts w:hint="default"/>
                <w:highlight w:val="none"/>
              </w:rPr>
              <w:t>6.39</w:t>
            </w:r>
          </w:p>
        </w:tc>
        <w:tc>
          <w:tcPr>
            <w:tcW w:w="470" w:type="dxa"/>
            <w:shd w:val="clear" w:color="auto" w:fill="auto"/>
            <w:noWrap/>
            <w:vAlign w:val="center"/>
          </w:tcPr>
          <w:p w14:paraId="52682E24">
            <w:pPr>
              <w:pStyle w:val="8"/>
              <w:suppressLineNumbers w:val="0"/>
              <w:bidi w:val="0"/>
              <w:spacing w:before="0" w:beforeAutospacing="0" w:after="0" w:afterAutospacing="0"/>
              <w:ind w:left="0" w:right="0"/>
              <w:rPr>
                <w:rFonts w:hint="default"/>
                <w:highlight w:val="none"/>
              </w:rPr>
            </w:pPr>
            <w:r>
              <w:rPr>
                <w:rFonts w:hint="default"/>
                <w:highlight w:val="none"/>
              </w:rPr>
              <w:t>3.33</w:t>
            </w:r>
          </w:p>
        </w:tc>
        <w:tc>
          <w:tcPr>
            <w:tcW w:w="470" w:type="dxa"/>
            <w:shd w:val="clear" w:color="auto" w:fill="auto"/>
            <w:noWrap/>
            <w:vAlign w:val="center"/>
          </w:tcPr>
          <w:p w14:paraId="20E6CCE3">
            <w:pPr>
              <w:pStyle w:val="8"/>
              <w:suppressLineNumbers w:val="0"/>
              <w:bidi w:val="0"/>
              <w:spacing w:before="0" w:beforeAutospacing="0" w:after="0" w:afterAutospacing="0"/>
              <w:ind w:left="0" w:right="0"/>
              <w:rPr>
                <w:rFonts w:hint="default"/>
                <w:highlight w:val="none"/>
              </w:rPr>
            </w:pPr>
            <w:r>
              <w:rPr>
                <w:rFonts w:hint="default"/>
                <w:highlight w:val="none"/>
              </w:rPr>
              <w:t>2.08</w:t>
            </w:r>
          </w:p>
        </w:tc>
        <w:tc>
          <w:tcPr>
            <w:tcW w:w="469" w:type="dxa"/>
            <w:shd w:val="clear" w:color="auto" w:fill="auto"/>
            <w:noWrap/>
            <w:vAlign w:val="center"/>
          </w:tcPr>
          <w:p w14:paraId="3EAD481F">
            <w:pPr>
              <w:pStyle w:val="8"/>
              <w:suppressLineNumbers w:val="0"/>
              <w:bidi w:val="0"/>
              <w:spacing w:before="0" w:beforeAutospacing="0" w:after="0" w:afterAutospacing="0"/>
              <w:ind w:left="0" w:right="0"/>
              <w:rPr>
                <w:rFonts w:hint="default"/>
                <w:highlight w:val="none"/>
              </w:rPr>
            </w:pPr>
            <w:r>
              <w:rPr>
                <w:rFonts w:hint="default"/>
                <w:highlight w:val="none"/>
              </w:rPr>
              <w:t>5.00</w:t>
            </w:r>
          </w:p>
        </w:tc>
        <w:tc>
          <w:tcPr>
            <w:tcW w:w="469" w:type="dxa"/>
            <w:shd w:val="clear" w:color="auto" w:fill="auto"/>
            <w:noWrap/>
            <w:vAlign w:val="center"/>
          </w:tcPr>
          <w:p w14:paraId="51451A51">
            <w:pPr>
              <w:pStyle w:val="8"/>
              <w:suppressLineNumbers w:val="0"/>
              <w:bidi w:val="0"/>
              <w:spacing w:before="0" w:beforeAutospacing="0" w:after="0" w:afterAutospacing="0"/>
              <w:ind w:left="0" w:right="0"/>
              <w:rPr>
                <w:rFonts w:hint="default"/>
                <w:highlight w:val="none"/>
              </w:rPr>
            </w:pPr>
            <w:r>
              <w:rPr>
                <w:rFonts w:hint="default"/>
                <w:highlight w:val="none"/>
              </w:rPr>
              <w:t>5.69</w:t>
            </w:r>
          </w:p>
        </w:tc>
        <w:tc>
          <w:tcPr>
            <w:tcW w:w="470" w:type="dxa"/>
            <w:shd w:val="clear" w:color="auto" w:fill="auto"/>
            <w:noWrap/>
            <w:vAlign w:val="center"/>
          </w:tcPr>
          <w:p w14:paraId="75E0C8A1">
            <w:pPr>
              <w:pStyle w:val="8"/>
              <w:suppressLineNumbers w:val="0"/>
              <w:bidi w:val="0"/>
              <w:spacing w:before="0" w:beforeAutospacing="0" w:after="0" w:afterAutospacing="0"/>
              <w:ind w:left="0" w:right="0"/>
              <w:rPr>
                <w:rFonts w:hint="default"/>
                <w:highlight w:val="none"/>
              </w:rPr>
            </w:pPr>
            <w:r>
              <w:rPr>
                <w:rFonts w:hint="default"/>
                <w:highlight w:val="none"/>
              </w:rPr>
              <w:t>3.06</w:t>
            </w:r>
          </w:p>
        </w:tc>
        <w:tc>
          <w:tcPr>
            <w:tcW w:w="470" w:type="dxa"/>
            <w:shd w:val="clear" w:color="auto" w:fill="auto"/>
            <w:noWrap/>
            <w:vAlign w:val="center"/>
          </w:tcPr>
          <w:p w14:paraId="43946779">
            <w:pPr>
              <w:pStyle w:val="8"/>
              <w:suppressLineNumbers w:val="0"/>
              <w:bidi w:val="0"/>
              <w:spacing w:before="0" w:beforeAutospacing="0" w:after="0" w:afterAutospacing="0"/>
              <w:ind w:left="0" w:right="0"/>
              <w:rPr>
                <w:rFonts w:hint="default"/>
                <w:highlight w:val="none"/>
              </w:rPr>
            </w:pPr>
            <w:r>
              <w:rPr>
                <w:rFonts w:hint="default"/>
                <w:highlight w:val="none"/>
              </w:rPr>
              <w:t>3.61</w:t>
            </w:r>
          </w:p>
        </w:tc>
        <w:tc>
          <w:tcPr>
            <w:tcW w:w="470" w:type="dxa"/>
            <w:shd w:val="clear" w:color="auto" w:fill="auto"/>
            <w:noWrap/>
            <w:vAlign w:val="center"/>
          </w:tcPr>
          <w:p w14:paraId="4473CAA8">
            <w:pPr>
              <w:pStyle w:val="8"/>
              <w:suppressLineNumbers w:val="0"/>
              <w:bidi w:val="0"/>
              <w:spacing w:before="0" w:beforeAutospacing="0" w:after="0" w:afterAutospacing="0"/>
              <w:ind w:left="0" w:right="0"/>
              <w:rPr>
                <w:rFonts w:hint="default"/>
                <w:highlight w:val="none"/>
              </w:rPr>
            </w:pPr>
            <w:r>
              <w:rPr>
                <w:rFonts w:hint="default"/>
                <w:highlight w:val="none"/>
              </w:rPr>
              <w:t>3.47</w:t>
            </w:r>
          </w:p>
        </w:tc>
        <w:tc>
          <w:tcPr>
            <w:tcW w:w="471" w:type="dxa"/>
            <w:shd w:val="clear" w:color="auto" w:fill="auto"/>
            <w:noWrap/>
            <w:vAlign w:val="center"/>
          </w:tcPr>
          <w:p w14:paraId="0CE28C5B">
            <w:pPr>
              <w:pStyle w:val="8"/>
              <w:suppressLineNumbers w:val="0"/>
              <w:bidi w:val="0"/>
              <w:spacing w:before="0" w:beforeAutospacing="0" w:after="0" w:afterAutospacing="0"/>
              <w:ind w:left="0" w:right="0"/>
              <w:rPr>
                <w:rFonts w:hint="default"/>
                <w:highlight w:val="none"/>
              </w:rPr>
            </w:pPr>
            <w:r>
              <w:rPr>
                <w:rFonts w:hint="default"/>
                <w:highlight w:val="none"/>
              </w:rPr>
              <w:t>9.72</w:t>
            </w:r>
          </w:p>
        </w:tc>
        <w:tc>
          <w:tcPr>
            <w:tcW w:w="469" w:type="dxa"/>
            <w:shd w:val="clear" w:color="auto" w:fill="auto"/>
            <w:noWrap/>
            <w:vAlign w:val="center"/>
          </w:tcPr>
          <w:p w14:paraId="06787EDE">
            <w:pPr>
              <w:pStyle w:val="8"/>
              <w:suppressLineNumbers w:val="0"/>
              <w:bidi w:val="0"/>
              <w:spacing w:before="0" w:beforeAutospacing="0" w:after="0" w:afterAutospacing="0"/>
              <w:ind w:left="0" w:right="0"/>
              <w:rPr>
                <w:rFonts w:hint="default"/>
                <w:highlight w:val="none"/>
              </w:rPr>
            </w:pPr>
            <w:r>
              <w:rPr>
                <w:rFonts w:hint="default"/>
                <w:highlight w:val="none"/>
              </w:rPr>
              <w:t>14.72</w:t>
            </w:r>
          </w:p>
        </w:tc>
        <w:tc>
          <w:tcPr>
            <w:tcW w:w="468" w:type="dxa"/>
            <w:shd w:val="clear" w:color="auto" w:fill="auto"/>
            <w:noWrap/>
            <w:vAlign w:val="center"/>
          </w:tcPr>
          <w:p w14:paraId="62A32D9A">
            <w:pPr>
              <w:pStyle w:val="8"/>
              <w:suppressLineNumbers w:val="0"/>
              <w:bidi w:val="0"/>
              <w:spacing w:before="0" w:beforeAutospacing="0" w:after="0" w:afterAutospacing="0"/>
              <w:ind w:left="0" w:right="0"/>
              <w:rPr>
                <w:rFonts w:hint="default"/>
                <w:highlight w:val="none"/>
              </w:rPr>
            </w:pPr>
            <w:r>
              <w:rPr>
                <w:rFonts w:hint="default"/>
                <w:highlight w:val="none"/>
              </w:rPr>
              <w:t>10.83</w:t>
            </w:r>
          </w:p>
        </w:tc>
        <w:tc>
          <w:tcPr>
            <w:tcW w:w="447" w:type="dxa"/>
            <w:shd w:val="clear" w:color="auto" w:fill="auto"/>
            <w:noWrap/>
            <w:vAlign w:val="center"/>
          </w:tcPr>
          <w:p w14:paraId="789688AC">
            <w:pPr>
              <w:pStyle w:val="8"/>
              <w:suppressLineNumbers w:val="0"/>
              <w:bidi w:val="0"/>
              <w:spacing w:before="0" w:beforeAutospacing="0" w:after="0" w:afterAutospacing="0"/>
              <w:ind w:left="0" w:right="0"/>
              <w:rPr>
                <w:rFonts w:hint="default"/>
                <w:highlight w:val="none"/>
              </w:rPr>
            </w:pPr>
            <w:r>
              <w:rPr>
                <w:rFonts w:hint="default"/>
                <w:highlight w:val="none"/>
              </w:rPr>
              <w:t>9.72</w:t>
            </w:r>
          </w:p>
        </w:tc>
        <w:tc>
          <w:tcPr>
            <w:tcW w:w="447" w:type="dxa"/>
            <w:shd w:val="clear" w:color="auto" w:fill="auto"/>
            <w:noWrap/>
            <w:vAlign w:val="center"/>
          </w:tcPr>
          <w:p w14:paraId="7AD9A3AF">
            <w:pPr>
              <w:pStyle w:val="8"/>
              <w:suppressLineNumbers w:val="0"/>
              <w:bidi w:val="0"/>
              <w:spacing w:before="0" w:beforeAutospacing="0" w:after="0" w:afterAutospacing="0"/>
              <w:ind w:left="0" w:right="0"/>
              <w:rPr>
                <w:rFonts w:hint="default"/>
                <w:highlight w:val="none"/>
              </w:rPr>
            </w:pPr>
            <w:r>
              <w:rPr>
                <w:rFonts w:hint="default"/>
                <w:highlight w:val="none"/>
              </w:rPr>
              <w:t>8.75</w:t>
            </w:r>
          </w:p>
        </w:tc>
        <w:tc>
          <w:tcPr>
            <w:tcW w:w="470" w:type="dxa"/>
            <w:shd w:val="clear" w:color="auto" w:fill="auto"/>
            <w:noWrap/>
            <w:vAlign w:val="center"/>
          </w:tcPr>
          <w:p w14:paraId="2923A6B5">
            <w:pPr>
              <w:pStyle w:val="8"/>
              <w:suppressLineNumbers w:val="0"/>
              <w:bidi w:val="0"/>
              <w:spacing w:before="0" w:beforeAutospacing="0" w:after="0" w:afterAutospacing="0"/>
              <w:ind w:left="0" w:right="0"/>
              <w:rPr>
                <w:rFonts w:hint="default"/>
                <w:highlight w:val="none"/>
              </w:rPr>
            </w:pPr>
            <w:r>
              <w:rPr>
                <w:rFonts w:hint="default"/>
                <w:highlight w:val="none"/>
              </w:rPr>
              <w:t>4.58</w:t>
            </w:r>
          </w:p>
        </w:tc>
        <w:tc>
          <w:tcPr>
            <w:tcW w:w="470" w:type="dxa"/>
            <w:shd w:val="clear" w:color="auto" w:fill="auto"/>
            <w:noWrap/>
            <w:vAlign w:val="center"/>
          </w:tcPr>
          <w:p w14:paraId="02CA7462">
            <w:pPr>
              <w:pStyle w:val="8"/>
              <w:suppressLineNumbers w:val="0"/>
              <w:bidi w:val="0"/>
              <w:spacing w:before="0" w:beforeAutospacing="0" w:after="0" w:afterAutospacing="0"/>
              <w:ind w:left="0" w:right="0"/>
              <w:rPr>
                <w:rFonts w:hint="default"/>
                <w:highlight w:val="none"/>
              </w:rPr>
            </w:pPr>
            <w:r>
              <w:rPr>
                <w:rFonts w:hint="default"/>
                <w:highlight w:val="none"/>
              </w:rPr>
              <w:t>1.25</w:t>
            </w:r>
          </w:p>
        </w:tc>
        <w:tc>
          <w:tcPr>
            <w:tcW w:w="469" w:type="dxa"/>
            <w:shd w:val="clear" w:color="auto" w:fill="auto"/>
            <w:noWrap/>
            <w:vAlign w:val="center"/>
          </w:tcPr>
          <w:p w14:paraId="3FA1F448">
            <w:pPr>
              <w:pStyle w:val="8"/>
              <w:suppressLineNumbers w:val="0"/>
              <w:bidi w:val="0"/>
              <w:spacing w:before="0" w:beforeAutospacing="0" w:after="0" w:afterAutospacing="0"/>
              <w:ind w:left="0" w:right="0"/>
              <w:rPr>
                <w:rFonts w:hint="default"/>
                <w:highlight w:val="none"/>
              </w:rPr>
            </w:pPr>
            <w:r>
              <w:rPr>
                <w:rFonts w:hint="default"/>
                <w:highlight w:val="none"/>
              </w:rPr>
              <w:t>3.89</w:t>
            </w:r>
          </w:p>
        </w:tc>
        <w:tc>
          <w:tcPr>
            <w:tcW w:w="471" w:type="dxa"/>
            <w:shd w:val="clear" w:color="auto" w:fill="auto"/>
            <w:noWrap/>
            <w:vAlign w:val="center"/>
          </w:tcPr>
          <w:p w14:paraId="661CAC07">
            <w:pPr>
              <w:pStyle w:val="8"/>
              <w:suppressLineNumbers w:val="0"/>
              <w:bidi w:val="0"/>
              <w:spacing w:before="0" w:beforeAutospacing="0" w:after="0" w:afterAutospacing="0"/>
              <w:ind w:left="0" w:right="0"/>
              <w:rPr>
                <w:rFonts w:hint="default"/>
                <w:highlight w:val="none"/>
              </w:rPr>
            </w:pPr>
            <w:r>
              <w:rPr>
                <w:rFonts w:hint="default"/>
                <w:highlight w:val="none"/>
              </w:rPr>
              <w:t>3.89</w:t>
            </w:r>
          </w:p>
        </w:tc>
      </w:tr>
      <w:tr w14:paraId="132829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0A65B0EE">
            <w:pPr>
              <w:pStyle w:val="8"/>
              <w:suppressLineNumbers w:val="0"/>
              <w:bidi w:val="0"/>
              <w:spacing w:before="0" w:beforeAutospacing="0" w:after="0" w:afterAutospacing="0"/>
              <w:ind w:left="0" w:right="0"/>
              <w:rPr>
                <w:rFonts w:hint="default"/>
                <w:highlight w:val="none"/>
              </w:rPr>
            </w:pPr>
            <w:r>
              <w:rPr>
                <w:rFonts w:hint="default"/>
                <w:highlight w:val="none"/>
              </w:rPr>
              <w:t>10月</w:t>
            </w:r>
          </w:p>
        </w:tc>
        <w:tc>
          <w:tcPr>
            <w:tcW w:w="394" w:type="dxa"/>
            <w:shd w:val="clear" w:color="auto" w:fill="auto"/>
            <w:noWrap/>
            <w:vAlign w:val="center"/>
          </w:tcPr>
          <w:p w14:paraId="7905E62C">
            <w:pPr>
              <w:pStyle w:val="8"/>
              <w:suppressLineNumbers w:val="0"/>
              <w:bidi w:val="0"/>
              <w:spacing w:before="0" w:beforeAutospacing="0" w:after="0" w:afterAutospacing="0"/>
              <w:ind w:left="0" w:right="0"/>
              <w:rPr>
                <w:rFonts w:hint="default"/>
                <w:highlight w:val="none"/>
              </w:rPr>
            </w:pPr>
            <w:r>
              <w:rPr>
                <w:rFonts w:hint="default"/>
                <w:highlight w:val="none"/>
              </w:rPr>
              <w:t>9.68</w:t>
            </w:r>
          </w:p>
        </w:tc>
        <w:tc>
          <w:tcPr>
            <w:tcW w:w="470" w:type="dxa"/>
            <w:shd w:val="clear" w:color="auto" w:fill="auto"/>
            <w:noWrap/>
            <w:vAlign w:val="center"/>
          </w:tcPr>
          <w:p w14:paraId="41AF5C99">
            <w:pPr>
              <w:pStyle w:val="8"/>
              <w:suppressLineNumbers w:val="0"/>
              <w:bidi w:val="0"/>
              <w:spacing w:before="0" w:beforeAutospacing="0" w:after="0" w:afterAutospacing="0"/>
              <w:ind w:left="0" w:right="0"/>
              <w:rPr>
                <w:rFonts w:hint="default"/>
                <w:highlight w:val="none"/>
              </w:rPr>
            </w:pPr>
            <w:r>
              <w:rPr>
                <w:rFonts w:hint="default"/>
                <w:highlight w:val="none"/>
              </w:rPr>
              <w:t>5.24</w:t>
            </w:r>
          </w:p>
        </w:tc>
        <w:tc>
          <w:tcPr>
            <w:tcW w:w="470" w:type="dxa"/>
            <w:shd w:val="clear" w:color="auto" w:fill="auto"/>
            <w:noWrap/>
            <w:vAlign w:val="center"/>
          </w:tcPr>
          <w:p w14:paraId="700A016A">
            <w:pPr>
              <w:pStyle w:val="8"/>
              <w:suppressLineNumbers w:val="0"/>
              <w:bidi w:val="0"/>
              <w:spacing w:before="0" w:beforeAutospacing="0" w:after="0" w:afterAutospacing="0"/>
              <w:ind w:left="0" w:right="0"/>
              <w:rPr>
                <w:rFonts w:hint="default"/>
                <w:highlight w:val="none"/>
              </w:rPr>
            </w:pPr>
            <w:r>
              <w:rPr>
                <w:rFonts w:hint="default"/>
                <w:highlight w:val="none"/>
              </w:rPr>
              <w:t>1.75</w:t>
            </w:r>
          </w:p>
        </w:tc>
        <w:tc>
          <w:tcPr>
            <w:tcW w:w="469" w:type="dxa"/>
            <w:shd w:val="clear" w:color="auto" w:fill="auto"/>
            <w:noWrap/>
            <w:vAlign w:val="center"/>
          </w:tcPr>
          <w:p w14:paraId="70B69372">
            <w:pPr>
              <w:pStyle w:val="8"/>
              <w:suppressLineNumbers w:val="0"/>
              <w:bidi w:val="0"/>
              <w:spacing w:before="0" w:beforeAutospacing="0" w:after="0" w:afterAutospacing="0"/>
              <w:ind w:left="0" w:right="0"/>
              <w:rPr>
                <w:rFonts w:hint="default"/>
                <w:highlight w:val="none"/>
              </w:rPr>
            </w:pPr>
            <w:r>
              <w:rPr>
                <w:rFonts w:hint="default"/>
                <w:highlight w:val="none"/>
              </w:rPr>
              <w:t>0.81</w:t>
            </w:r>
          </w:p>
        </w:tc>
        <w:tc>
          <w:tcPr>
            <w:tcW w:w="469" w:type="dxa"/>
            <w:shd w:val="clear" w:color="auto" w:fill="auto"/>
            <w:noWrap/>
            <w:vAlign w:val="center"/>
          </w:tcPr>
          <w:p w14:paraId="696CD709">
            <w:pPr>
              <w:pStyle w:val="8"/>
              <w:suppressLineNumbers w:val="0"/>
              <w:bidi w:val="0"/>
              <w:spacing w:before="0" w:beforeAutospacing="0" w:after="0" w:afterAutospacing="0"/>
              <w:ind w:left="0" w:right="0"/>
              <w:rPr>
                <w:rFonts w:hint="default"/>
                <w:highlight w:val="none"/>
              </w:rPr>
            </w:pPr>
            <w:r>
              <w:rPr>
                <w:rFonts w:hint="default"/>
                <w:highlight w:val="none"/>
              </w:rPr>
              <w:t>2.55</w:t>
            </w:r>
          </w:p>
        </w:tc>
        <w:tc>
          <w:tcPr>
            <w:tcW w:w="470" w:type="dxa"/>
            <w:shd w:val="clear" w:color="auto" w:fill="auto"/>
            <w:noWrap/>
            <w:vAlign w:val="center"/>
          </w:tcPr>
          <w:p w14:paraId="63120F4A">
            <w:pPr>
              <w:pStyle w:val="8"/>
              <w:suppressLineNumbers w:val="0"/>
              <w:bidi w:val="0"/>
              <w:spacing w:before="0" w:beforeAutospacing="0" w:after="0" w:afterAutospacing="0"/>
              <w:ind w:left="0" w:right="0"/>
              <w:rPr>
                <w:rFonts w:hint="default"/>
                <w:highlight w:val="none"/>
              </w:rPr>
            </w:pPr>
            <w:r>
              <w:rPr>
                <w:rFonts w:hint="default"/>
                <w:highlight w:val="none"/>
              </w:rPr>
              <w:t>2.55</w:t>
            </w:r>
          </w:p>
        </w:tc>
        <w:tc>
          <w:tcPr>
            <w:tcW w:w="470" w:type="dxa"/>
            <w:shd w:val="clear" w:color="auto" w:fill="auto"/>
            <w:noWrap/>
            <w:vAlign w:val="center"/>
          </w:tcPr>
          <w:p w14:paraId="463C088E">
            <w:pPr>
              <w:pStyle w:val="8"/>
              <w:suppressLineNumbers w:val="0"/>
              <w:bidi w:val="0"/>
              <w:spacing w:before="0" w:beforeAutospacing="0" w:after="0" w:afterAutospacing="0"/>
              <w:ind w:left="0" w:right="0"/>
              <w:rPr>
                <w:rFonts w:hint="default"/>
                <w:highlight w:val="none"/>
              </w:rPr>
            </w:pPr>
            <w:r>
              <w:rPr>
                <w:rFonts w:hint="default"/>
                <w:highlight w:val="none"/>
              </w:rPr>
              <w:t>1.88</w:t>
            </w:r>
          </w:p>
        </w:tc>
        <w:tc>
          <w:tcPr>
            <w:tcW w:w="470" w:type="dxa"/>
            <w:shd w:val="clear" w:color="auto" w:fill="auto"/>
            <w:noWrap/>
            <w:vAlign w:val="center"/>
          </w:tcPr>
          <w:p w14:paraId="4332CF90">
            <w:pPr>
              <w:pStyle w:val="8"/>
              <w:suppressLineNumbers w:val="0"/>
              <w:bidi w:val="0"/>
              <w:spacing w:before="0" w:beforeAutospacing="0" w:after="0" w:afterAutospacing="0"/>
              <w:ind w:left="0" w:right="0"/>
              <w:rPr>
                <w:rFonts w:hint="default"/>
                <w:highlight w:val="none"/>
              </w:rPr>
            </w:pPr>
            <w:r>
              <w:rPr>
                <w:rFonts w:hint="default"/>
                <w:highlight w:val="none"/>
              </w:rPr>
              <w:t>3.76</w:t>
            </w:r>
          </w:p>
        </w:tc>
        <w:tc>
          <w:tcPr>
            <w:tcW w:w="471" w:type="dxa"/>
            <w:shd w:val="clear" w:color="auto" w:fill="auto"/>
            <w:noWrap/>
            <w:vAlign w:val="center"/>
          </w:tcPr>
          <w:p w14:paraId="1AD17924">
            <w:pPr>
              <w:pStyle w:val="8"/>
              <w:suppressLineNumbers w:val="0"/>
              <w:bidi w:val="0"/>
              <w:spacing w:before="0" w:beforeAutospacing="0" w:after="0" w:afterAutospacing="0"/>
              <w:ind w:left="0" w:right="0"/>
              <w:rPr>
                <w:rFonts w:hint="default"/>
                <w:highlight w:val="none"/>
              </w:rPr>
            </w:pPr>
            <w:r>
              <w:rPr>
                <w:rFonts w:hint="default"/>
                <w:highlight w:val="none"/>
              </w:rPr>
              <w:t>6.05</w:t>
            </w:r>
          </w:p>
        </w:tc>
        <w:tc>
          <w:tcPr>
            <w:tcW w:w="469" w:type="dxa"/>
            <w:shd w:val="clear" w:color="auto" w:fill="auto"/>
            <w:noWrap/>
            <w:vAlign w:val="center"/>
          </w:tcPr>
          <w:p w14:paraId="1B0309E4">
            <w:pPr>
              <w:pStyle w:val="8"/>
              <w:suppressLineNumbers w:val="0"/>
              <w:bidi w:val="0"/>
              <w:spacing w:before="0" w:beforeAutospacing="0" w:after="0" w:afterAutospacing="0"/>
              <w:ind w:left="0" w:right="0"/>
              <w:rPr>
                <w:rFonts w:hint="default"/>
                <w:highlight w:val="none"/>
              </w:rPr>
            </w:pPr>
            <w:r>
              <w:rPr>
                <w:rFonts w:hint="default"/>
                <w:highlight w:val="none"/>
              </w:rPr>
              <w:t>8.20</w:t>
            </w:r>
          </w:p>
        </w:tc>
        <w:tc>
          <w:tcPr>
            <w:tcW w:w="468" w:type="dxa"/>
            <w:shd w:val="clear" w:color="auto" w:fill="auto"/>
            <w:noWrap/>
            <w:vAlign w:val="center"/>
          </w:tcPr>
          <w:p w14:paraId="22D05072">
            <w:pPr>
              <w:pStyle w:val="8"/>
              <w:suppressLineNumbers w:val="0"/>
              <w:bidi w:val="0"/>
              <w:spacing w:before="0" w:beforeAutospacing="0" w:after="0" w:afterAutospacing="0"/>
              <w:ind w:left="0" w:right="0"/>
              <w:rPr>
                <w:rFonts w:hint="default"/>
                <w:highlight w:val="none"/>
              </w:rPr>
            </w:pPr>
            <w:r>
              <w:rPr>
                <w:rFonts w:hint="default"/>
                <w:highlight w:val="none"/>
              </w:rPr>
              <w:t>5.65</w:t>
            </w:r>
          </w:p>
        </w:tc>
        <w:tc>
          <w:tcPr>
            <w:tcW w:w="447" w:type="dxa"/>
            <w:shd w:val="clear" w:color="auto" w:fill="auto"/>
            <w:noWrap/>
            <w:vAlign w:val="center"/>
          </w:tcPr>
          <w:p w14:paraId="00598112">
            <w:pPr>
              <w:pStyle w:val="8"/>
              <w:suppressLineNumbers w:val="0"/>
              <w:bidi w:val="0"/>
              <w:spacing w:before="0" w:beforeAutospacing="0" w:after="0" w:afterAutospacing="0"/>
              <w:ind w:left="0" w:right="0"/>
              <w:rPr>
                <w:rFonts w:hint="default"/>
                <w:highlight w:val="none"/>
              </w:rPr>
            </w:pPr>
            <w:r>
              <w:rPr>
                <w:rFonts w:hint="default"/>
                <w:highlight w:val="none"/>
              </w:rPr>
              <w:t>15.05</w:t>
            </w:r>
          </w:p>
        </w:tc>
        <w:tc>
          <w:tcPr>
            <w:tcW w:w="447" w:type="dxa"/>
            <w:shd w:val="clear" w:color="auto" w:fill="auto"/>
            <w:noWrap/>
            <w:vAlign w:val="center"/>
          </w:tcPr>
          <w:p w14:paraId="78F59D95">
            <w:pPr>
              <w:pStyle w:val="8"/>
              <w:suppressLineNumbers w:val="0"/>
              <w:bidi w:val="0"/>
              <w:spacing w:before="0" w:beforeAutospacing="0" w:after="0" w:afterAutospacing="0"/>
              <w:ind w:left="0" w:right="0"/>
              <w:rPr>
                <w:rFonts w:hint="default"/>
                <w:highlight w:val="none"/>
              </w:rPr>
            </w:pPr>
            <w:r>
              <w:rPr>
                <w:rFonts w:hint="default"/>
                <w:highlight w:val="none"/>
              </w:rPr>
              <w:t>13.04</w:t>
            </w:r>
          </w:p>
        </w:tc>
        <w:tc>
          <w:tcPr>
            <w:tcW w:w="470" w:type="dxa"/>
            <w:shd w:val="clear" w:color="auto" w:fill="auto"/>
            <w:noWrap/>
            <w:vAlign w:val="center"/>
          </w:tcPr>
          <w:p w14:paraId="5B1013C2">
            <w:pPr>
              <w:pStyle w:val="8"/>
              <w:suppressLineNumbers w:val="0"/>
              <w:bidi w:val="0"/>
              <w:spacing w:before="0" w:beforeAutospacing="0" w:after="0" w:afterAutospacing="0"/>
              <w:ind w:left="0" w:right="0"/>
              <w:rPr>
                <w:rFonts w:hint="default"/>
                <w:highlight w:val="none"/>
              </w:rPr>
            </w:pPr>
            <w:r>
              <w:rPr>
                <w:rFonts w:hint="default"/>
                <w:highlight w:val="none"/>
              </w:rPr>
              <w:t>6.05</w:t>
            </w:r>
          </w:p>
        </w:tc>
        <w:tc>
          <w:tcPr>
            <w:tcW w:w="470" w:type="dxa"/>
            <w:shd w:val="clear" w:color="auto" w:fill="auto"/>
            <w:noWrap/>
            <w:vAlign w:val="center"/>
          </w:tcPr>
          <w:p w14:paraId="1DB4FF34">
            <w:pPr>
              <w:pStyle w:val="8"/>
              <w:suppressLineNumbers w:val="0"/>
              <w:bidi w:val="0"/>
              <w:spacing w:before="0" w:beforeAutospacing="0" w:after="0" w:afterAutospacing="0"/>
              <w:ind w:left="0" w:right="0"/>
              <w:rPr>
                <w:rFonts w:hint="default"/>
                <w:highlight w:val="none"/>
              </w:rPr>
            </w:pPr>
            <w:r>
              <w:rPr>
                <w:rFonts w:hint="default"/>
                <w:highlight w:val="none"/>
              </w:rPr>
              <w:t>3.09</w:t>
            </w:r>
          </w:p>
        </w:tc>
        <w:tc>
          <w:tcPr>
            <w:tcW w:w="469" w:type="dxa"/>
            <w:shd w:val="clear" w:color="auto" w:fill="auto"/>
            <w:noWrap/>
            <w:vAlign w:val="center"/>
          </w:tcPr>
          <w:p w14:paraId="18EBEE0B">
            <w:pPr>
              <w:pStyle w:val="8"/>
              <w:suppressLineNumbers w:val="0"/>
              <w:bidi w:val="0"/>
              <w:spacing w:before="0" w:beforeAutospacing="0" w:after="0" w:afterAutospacing="0"/>
              <w:ind w:left="0" w:right="0"/>
              <w:rPr>
                <w:rFonts w:hint="default"/>
                <w:highlight w:val="none"/>
              </w:rPr>
            </w:pPr>
            <w:r>
              <w:rPr>
                <w:rFonts w:hint="default"/>
                <w:highlight w:val="none"/>
              </w:rPr>
              <w:t>9.68</w:t>
            </w:r>
          </w:p>
        </w:tc>
        <w:tc>
          <w:tcPr>
            <w:tcW w:w="471" w:type="dxa"/>
            <w:shd w:val="clear" w:color="auto" w:fill="auto"/>
            <w:noWrap/>
            <w:vAlign w:val="center"/>
          </w:tcPr>
          <w:p w14:paraId="7B7DD1F2">
            <w:pPr>
              <w:pStyle w:val="8"/>
              <w:suppressLineNumbers w:val="0"/>
              <w:bidi w:val="0"/>
              <w:spacing w:before="0" w:beforeAutospacing="0" w:after="0" w:afterAutospacing="0"/>
              <w:ind w:left="0" w:right="0"/>
              <w:rPr>
                <w:rFonts w:hint="default"/>
                <w:highlight w:val="none"/>
              </w:rPr>
            </w:pPr>
            <w:r>
              <w:rPr>
                <w:rFonts w:hint="default"/>
                <w:highlight w:val="none"/>
              </w:rPr>
              <w:t>4.97</w:t>
            </w:r>
          </w:p>
        </w:tc>
      </w:tr>
      <w:tr w14:paraId="0A8F38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3BAA3ED2">
            <w:pPr>
              <w:pStyle w:val="8"/>
              <w:suppressLineNumbers w:val="0"/>
              <w:bidi w:val="0"/>
              <w:spacing w:before="0" w:beforeAutospacing="0" w:after="0" w:afterAutospacing="0"/>
              <w:ind w:left="0" w:right="0"/>
              <w:rPr>
                <w:rFonts w:hint="default"/>
                <w:highlight w:val="none"/>
              </w:rPr>
            </w:pPr>
            <w:r>
              <w:rPr>
                <w:rFonts w:hint="default"/>
                <w:highlight w:val="none"/>
              </w:rPr>
              <w:t>11月</w:t>
            </w:r>
          </w:p>
        </w:tc>
        <w:tc>
          <w:tcPr>
            <w:tcW w:w="394" w:type="dxa"/>
            <w:shd w:val="clear" w:color="auto" w:fill="auto"/>
            <w:noWrap/>
            <w:vAlign w:val="center"/>
          </w:tcPr>
          <w:p w14:paraId="10EA85D1">
            <w:pPr>
              <w:pStyle w:val="8"/>
              <w:suppressLineNumbers w:val="0"/>
              <w:bidi w:val="0"/>
              <w:spacing w:before="0" w:beforeAutospacing="0" w:after="0" w:afterAutospacing="0"/>
              <w:ind w:left="0" w:right="0"/>
              <w:rPr>
                <w:rFonts w:hint="default"/>
                <w:highlight w:val="none"/>
              </w:rPr>
            </w:pPr>
            <w:r>
              <w:rPr>
                <w:rFonts w:hint="default"/>
                <w:highlight w:val="none"/>
              </w:rPr>
              <w:t>3.61</w:t>
            </w:r>
          </w:p>
        </w:tc>
        <w:tc>
          <w:tcPr>
            <w:tcW w:w="470" w:type="dxa"/>
            <w:shd w:val="clear" w:color="auto" w:fill="auto"/>
            <w:noWrap/>
            <w:vAlign w:val="center"/>
          </w:tcPr>
          <w:p w14:paraId="76444E5D">
            <w:pPr>
              <w:pStyle w:val="8"/>
              <w:suppressLineNumbers w:val="0"/>
              <w:bidi w:val="0"/>
              <w:spacing w:before="0" w:beforeAutospacing="0" w:after="0" w:afterAutospacing="0"/>
              <w:ind w:left="0" w:right="0"/>
              <w:rPr>
                <w:rFonts w:hint="default"/>
                <w:highlight w:val="none"/>
              </w:rPr>
            </w:pPr>
            <w:r>
              <w:rPr>
                <w:rFonts w:hint="default"/>
                <w:highlight w:val="none"/>
              </w:rPr>
              <w:t>4.03</w:t>
            </w:r>
          </w:p>
        </w:tc>
        <w:tc>
          <w:tcPr>
            <w:tcW w:w="470" w:type="dxa"/>
            <w:shd w:val="clear" w:color="auto" w:fill="auto"/>
            <w:noWrap/>
            <w:vAlign w:val="center"/>
          </w:tcPr>
          <w:p w14:paraId="0E2C68FC">
            <w:pPr>
              <w:pStyle w:val="8"/>
              <w:suppressLineNumbers w:val="0"/>
              <w:bidi w:val="0"/>
              <w:spacing w:before="0" w:beforeAutospacing="0" w:after="0" w:afterAutospacing="0"/>
              <w:ind w:left="0" w:right="0"/>
              <w:rPr>
                <w:rFonts w:hint="default"/>
                <w:highlight w:val="none"/>
              </w:rPr>
            </w:pPr>
            <w:r>
              <w:rPr>
                <w:rFonts w:hint="default"/>
                <w:highlight w:val="none"/>
              </w:rPr>
              <w:t>3.47</w:t>
            </w:r>
          </w:p>
        </w:tc>
        <w:tc>
          <w:tcPr>
            <w:tcW w:w="469" w:type="dxa"/>
            <w:shd w:val="clear" w:color="auto" w:fill="auto"/>
            <w:noWrap/>
            <w:vAlign w:val="center"/>
          </w:tcPr>
          <w:p w14:paraId="6BCC9C29">
            <w:pPr>
              <w:pStyle w:val="8"/>
              <w:suppressLineNumbers w:val="0"/>
              <w:bidi w:val="0"/>
              <w:spacing w:before="0" w:beforeAutospacing="0" w:after="0" w:afterAutospacing="0"/>
              <w:ind w:left="0" w:right="0"/>
              <w:rPr>
                <w:rFonts w:hint="default"/>
                <w:highlight w:val="none"/>
              </w:rPr>
            </w:pPr>
            <w:r>
              <w:rPr>
                <w:rFonts w:hint="default"/>
                <w:highlight w:val="none"/>
              </w:rPr>
              <w:t>2.64</w:t>
            </w:r>
          </w:p>
        </w:tc>
        <w:tc>
          <w:tcPr>
            <w:tcW w:w="469" w:type="dxa"/>
            <w:shd w:val="clear" w:color="auto" w:fill="auto"/>
            <w:noWrap/>
            <w:vAlign w:val="center"/>
          </w:tcPr>
          <w:p w14:paraId="1C5E31A6">
            <w:pPr>
              <w:pStyle w:val="8"/>
              <w:suppressLineNumbers w:val="0"/>
              <w:bidi w:val="0"/>
              <w:spacing w:before="0" w:beforeAutospacing="0" w:after="0" w:afterAutospacing="0"/>
              <w:ind w:left="0" w:right="0"/>
              <w:rPr>
                <w:rFonts w:hint="default"/>
                <w:highlight w:val="none"/>
              </w:rPr>
            </w:pPr>
            <w:r>
              <w:rPr>
                <w:rFonts w:hint="default"/>
                <w:highlight w:val="none"/>
              </w:rPr>
              <w:t>6.53</w:t>
            </w:r>
          </w:p>
        </w:tc>
        <w:tc>
          <w:tcPr>
            <w:tcW w:w="470" w:type="dxa"/>
            <w:shd w:val="clear" w:color="auto" w:fill="auto"/>
            <w:noWrap/>
            <w:vAlign w:val="center"/>
          </w:tcPr>
          <w:p w14:paraId="6672BEEB">
            <w:pPr>
              <w:pStyle w:val="8"/>
              <w:suppressLineNumbers w:val="0"/>
              <w:bidi w:val="0"/>
              <w:spacing w:before="0" w:beforeAutospacing="0" w:after="0" w:afterAutospacing="0"/>
              <w:ind w:left="0" w:right="0"/>
              <w:rPr>
                <w:rFonts w:hint="default"/>
                <w:highlight w:val="none"/>
              </w:rPr>
            </w:pPr>
            <w:r>
              <w:rPr>
                <w:rFonts w:hint="default"/>
                <w:highlight w:val="none"/>
              </w:rPr>
              <w:t>3.19</w:t>
            </w:r>
          </w:p>
        </w:tc>
        <w:tc>
          <w:tcPr>
            <w:tcW w:w="470" w:type="dxa"/>
            <w:shd w:val="clear" w:color="auto" w:fill="auto"/>
            <w:noWrap/>
            <w:vAlign w:val="center"/>
          </w:tcPr>
          <w:p w14:paraId="7167BAC1">
            <w:pPr>
              <w:pStyle w:val="8"/>
              <w:suppressLineNumbers w:val="0"/>
              <w:bidi w:val="0"/>
              <w:spacing w:before="0" w:beforeAutospacing="0" w:after="0" w:afterAutospacing="0"/>
              <w:ind w:left="0" w:right="0"/>
              <w:rPr>
                <w:rFonts w:hint="default"/>
                <w:highlight w:val="none"/>
              </w:rPr>
            </w:pPr>
            <w:r>
              <w:rPr>
                <w:rFonts w:hint="default"/>
                <w:highlight w:val="none"/>
              </w:rPr>
              <w:t>1.67</w:t>
            </w:r>
          </w:p>
        </w:tc>
        <w:tc>
          <w:tcPr>
            <w:tcW w:w="470" w:type="dxa"/>
            <w:shd w:val="clear" w:color="auto" w:fill="auto"/>
            <w:noWrap/>
            <w:vAlign w:val="center"/>
          </w:tcPr>
          <w:p w14:paraId="57F04E4E">
            <w:pPr>
              <w:pStyle w:val="8"/>
              <w:suppressLineNumbers w:val="0"/>
              <w:bidi w:val="0"/>
              <w:spacing w:before="0" w:beforeAutospacing="0" w:after="0" w:afterAutospacing="0"/>
              <w:ind w:left="0" w:right="0"/>
              <w:rPr>
                <w:rFonts w:hint="default"/>
                <w:highlight w:val="none"/>
              </w:rPr>
            </w:pPr>
            <w:r>
              <w:rPr>
                <w:rFonts w:hint="default"/>
                <w:highlight w:val="none"/>
              </w:rPr>
              <w:t>2.78</w:t>
            </w:r>
          </w:p>
        </w:tc>
        <w:tc>
          <w:tcPr>
            <w:tcW w:w="471" w:type="dxa"/>
            <w:shd w:val="clear" w:color="auto" w:fill="auto"/>
            <w:noWrap/>
            <w:vAlign w:val="center"/>
          </w:tcPr>
          <w:p w14:paraId="0B899D76">
            <w:pPr>
              <w:pStyle w:val="8"/>
              <w:suppressLineNumbers w:val="0"/>
              <w:bidi w:val="0"/>
              <w:spacing w:before="0" w:beforeAutospacing="0" w:after="0" w:afterAutospacing="0"/>
              <w:ind w:left="0" w:right="0"/>
              <w:rPr>
                <w:rFonts w:hint="default"/>
                <w:highlight w:val="none"/>
              </w:rPr>
            </w:pPr>
            <w:r>
              <w:rPr>
                <w:rFonts w:hint="default"/>
                <w:highlight w:val="none"/>
              </w:rPr>
              <w:t>3.47</w:t>
            </w:r>
          </w:p>
        </w:tc>
        <w:tc>
          <w:tcPr>
            <w:tcW w:w="469" w:type="dxa"/>
            <w:shd w:val="clear" w:color="auto" w:fill="auto"/>
            <w:noWrap/>
            <w:vAlign w:val="center"/>
          </w:tcPr>
          <w:p w14:paraId="2031FDF3">
            <w:pPr>
              <w:pStyle w:val="8"/>
              <w:suppressLineNumbers w:val="0"/>
              <w:bidi w:val="0"/>
              <w:spacing w:before="0" w:beforeAutospacing="0" w:after="0" w:afterAutospacing="0"/>
              <w:ind w:left="0" w:right="0"/>
              <w:rPr>
                <w:rFonts w:hint="default"/>
                <w:highlight w:val="none"/>
              </w:rPr>
            </w:pPr>
            <w:r>
              <w:rPr>
                <w:rFonts w:hint="default"/>
                <w:highlight w:val="none"/>
              </w:rPr>
              <w:t>5.14</w:t>
            </w:r>
          </w:p>
        </w:tc>
        <w:tc>
          <w:tcPr>
            <w:tcW w:w="468" w:type="dxa"/>
            <w:shd w:val="clear" w:color="auto" w:fill="auto"/>
            <w:noWrap/>
            <w:vAlign w:val="center"/>
          </w:tcPr>
          <w:p w14:paraId="5AD789D3">
            <w:pPr>
              <w:pStyle w:val="8"/>
              <w:suppressLineNumbers w:val="0"/>
              <w:bidi w:val="0"/>
              <w:spacing w:before="0" w:beforeAutospacing="0" w:after="0" w:afterAutospacing="0"/>
              <w:ind w:left="0" w:right="0"/>
              <w:rPr>
                <w:rFonts w:hint="default"/>
                <w:highlight w:val="none"/>
              </w:rPr>
            </w:pPr>
            <w:r>
              <w:rPr>
                <w:rFonts w:hint="default"/>
                <w:highlight w:val="none"/>
              </w:rPr>
              <w:t>13.75</w:t>
            </w:r>
          </w:p>
        </w:tc>
        <w:tc>
          <w:tcPr>
            <w:tcW w:w="447" w:type="dxa"/>
            <w:shd w:val="clear" w:color="auto" w:fill="auto"/>
            <w:noWrap/>
            <w:vAlign w:val="center"/>
          </w:tcPr>
          <w:p w14:paraId="7E4EDCD5">
            <w:pPr>
              <w:pStyle w:val="8"/>
              <w:suppressLineNumbers w:val="0"/>
              <w:bidi w:val="0"/>
              <w:spacing w:before="0" w:beforeAutospacing="0" w:after="0" w:afterAutospacing="0"/>
              <w:ind w:left="0" w:right="0"/>
              <w:rPr>
                <w:rFonts w:hint="default"/>
                <w:highlight w:val="none"/>
              </w:rPr>
            </w:pPr>
            <w:r>
              <w:rPr>
                <w:rFonts w:hint="default"/>
                <w:highlight w:val="none"/>
              </w:rPr>
              <w:t>18.47</w:t>
            </w:r>
          </w:p>
        </w:tc>
        <w:tc>
          <w:tcPr>
            <w:tcW w:w="447" w:type="dxa"/>
            <w:shd w:val="clear" w:color="auto" w:fill="auto"/>
            <w:noWrap/>
            <w:vAlign w:val="center"/>
          </w:tcPr>
          <w:p w14:paraId="301EFE0E">
            <w:pPr>
              <w:pStyle w:val="8"/>
              <w:suppressLineNumbers w:val="0"/>
              <w:bidi w:val="0"/>
              <w:spacing w:before="0" w:beforeAutospacing="0" w:after="0" w:afterAutospacing="0"/>
              <w:ind w:left="0" w:right="0"/>
              <w:rPr>
                <w:rFonts w:hint="default"/>
                <w:highlight w:val="none"/>
              </w:rPr>
            </w:pPr>
            <w:r>
              <w:rPr>
                <w:rFonts w:hint="default"/>
                <w:highlight w:val="none"/>
              </w:rPr>
              <w:t>20.28</w:t>
            </w:r>
          </w:p>
        </w:tc>
        <w:tc>
          <w:tcPr>
            <w:tcW w:w="470" w:type="dxa"/>
            <w:shd w:val="clear" w:color="auto" w:fill="auto"/>
            <w:noWrap/>
            <w:vAlign w:val="center"/>
          </w:tcPr>
          <w:p w14:paraId="28805237">
            <w:pPr>
              <w:pStyle w:val="8"/>
              <w:suppressLineNumbers w:val="0"/>
              <w:bidi w:val="0"/>
              <w:spacing w:before="0" w:beforeAutospacing="0" w:after="0" w:afterAutospacing="0"/>
              <w:ind w:left="0" w:right="0"/>
              <w:rPr>
                <w:rFonts w:hint="default"/>
                <w:highlight w:val="none"/>
              </w:rPr>
            </w:pPr>
            <w:r>
              <w:rPr>
                <w:rFonts w:hint="default"/>
                <w:highlight w:val="none"/>
              </w:rPr>
              <w:t>4.17</w:t>
            </w:r>
          </w:p>
        </w:tc>
        <w:tc>
          <w:tcPr>
            <w:tcW w:w="470" w:type="dxa"/>
            <w:shd w:val="clear" w:color="auto" w:fill="auto"/>
            <w:noWrap/>
            <w:vAlign w:val="center"/>
          </w:tcPr>
          <w:p w14:paraId="6C2EB716">
            <w:pPr>
              <w:pStyle w:val="8"/>
              <w:suppressLineNumbers w:val="0"/>
              <w:bidi w:val="0"/>
              <w:spacing w:before="0" w:beforeAutospacing="0" w:after="0" w:afterAutospacing="0"/>
              <w:ind w:left="0" w:right="0"/>
              <w:rPr>
                <w:rFonts w:hint="default"/>
                <w:highlight w:val="none"/>
              </w:rPr>
            </w:pPr>
            <w:r>
              <w:rPr>
                <w:rFonts w:hint="default"/>
                <w:highlight w:val="none"/>
              </w:rPr>
              <w:t>0.56</w:t>
            </w:r>
          </w:p>
        </w:tc>
        <w:tc>
          <w:tcPr>
            <w:tcW w:w="469" w:type="dxa"/>
            <w:shd w:val="clear" w:color="auto" w:fill="auto"/>
            <w:noWrap/>
            <w:vAlign w:val="center"/>
          </w:tcPr>
          <w:p w14:paraId="29FCBADD">
            <w:pPr>
              <w:pStyle w:val="8"/>
              <w:suppressLineNumbers w:val="0"/>
              <w:bidi w:val="0"/>
              <w:spacing w:before="0" w:beforeAutospacing="0" w:after="0" w:afterAutospacing="0"/>
              <w:ind w:left="0" w:right="0"/>
              <w:rPr>
                <w:rFonts w:hint="default"/>
                <w:highlight w:val="none"/>
              </w:rPr>
            </w:pPr>
            <w:r>
              <w:rPr>
                <w:rFonts w:hint="default"/>
                <w:highlight w:val="none"/>
              </w:rPr>
              <w:t>4.86</w:t>
            </w:r>
          </w:p>
        </w:tc>
        <w:tc>
          <w:tcPr>
            <w:tcW w:w="471" w:type="dxa"/>
            <w:shd w:val="clear" w:color="auto" w:fill="auto"/>
            <w:noWrap/>
            <w:vAlign w:val="center"/>
          </w:tcPr>
          <w:p w14:paraId="67724DA4">
            <w:pPr>
              <w:pStyle w:val="8"/>
              <w:suppressLineNumbers w:val="0"/>
              <w:bidi w:val="0"/>
              <w:spacing w:before="0" w:beforeAutospacing="0" w:after="0" w:afterAutospacing="0"/>
              <w:ind w:left="0" w:right="0"/>
              <w:rPr>
                <w:rFonts w:hint="default"/>
                <w:highlight w:val="none"/>
              </w:rPr>
            </w:pPr>
            <w:r>
              <w:rPr>
                <w:rFonts w:hint="default"/>
                <w:highlight w:val="none"/>
              </w:rPr>
              <w:t>1.39</w:t>
            </w:r>
          </w:p>
        </w:tc>
      </w:tr>
      <w:tr w14:paraId="7A4A30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58" w:type="dxa"/>
            <w:shd w:val="clear" w:color="auto" w:fill="auto"/>
            <w:noWrap/>
            <w:vAlign w:val="center"/>
          </w:tcPr>
          <w:p w14:paraId="7E4E6DB8">
            <w:pPr>
              <w:pStyle w:val="8"/>
              <w:suppressLineNumbers w:val="0"/>
              <w:bidi w:val="0"/>
              <w:spacing w:before="0" w:beforeAutospacing="0" w:after="0" w:afterAutospacing="0"/>
              <w:ind w:left="0" w:right="0"/>
              <w:rPr>
                <w:rFonts w:hint="default"/>
                <w:highlight w:val="none"/>
              </w:rPr>
            </w:pPr>
            <w:r>
              <w:rPr>
                <w:rFonts w:hint="default"/>
                <w:highlight w:val="none"/>
              </w:rPr>
              <w:t>12月</w:t>
            </w:r>
          </w:p>
        </w:tc>
        <w:tc>
          <w:tcPr>
            <w:tcW w:w="394" w:type="dxa"/>
            <w:shd w:val="clear" w:color="auto" w:fill="auto"/>
            <w:noWrap/>
            <w:vAlign w:val="center"/>
          </w:tcPr>
          <w:p w14:paraId="43250C7D">
            <w:pPr>
              <w:pStyle w:val="8"/>
              <w:suppressLineNumbers w:val="0"/>
              <w:bidi w:val="0"/>
              <w:spacing w:before="0" w:beforeAutospacing="0" w:after="0" w:afterAutospacing="0"/>
              <w:ind w:left="0" w:right="0"/>
              <w:rPr>
                <w:rFonts w:hint="default"/>
                <w:highlight w:val="none"/>
              </w:rPr>
            </w:pPr>
            <w:r>
              <w:rPr>
                <w:rFonts w:hint="default"/>
                <w:highlight w:val="none"/>
              </w:rPr>
              <w:t>1.21</w:t>
            </w:r>
          </w:p>
        </w:tc>
        <w:tc>
          <w:tcPr>
            <w:tcW w:w="470" w:type="dxa"/>
            <w:shd w:val="clear" w:color="auto" w:fill="auto"/>
            <w:noWrap/>
            <w:vAlign w:val="center"/>
          </w:tcPr>
          <w:p w14:paraId="52AC5A33">
            <w:pPr>
              <w:pStyle w:val="8"/>
              <w:suppressLineNumbers w:val="0"/>
              <w:bidi w:val="0"/>
              <w:spacing w:before="0" w:beforeAutospacing="0" w:after="0" w:afterAutospacing="0"/>
              <w:ind w:left="0" w:right="0"/>
              <w:rPr>
                <w:rFonts w:hint="default"/>
                <w:highlight w:val="none"/>
              </w:rPr>
            </w:pPr>
            <w:r>
              <w:rPr>
                <w:rFonts w:hint="default"/>
                <w:highlight w:val="none"/>
              </w:rPr>
              <w:t>2.69</w:t>
            </w:r>
          </w:p>
        </w:tc>
        <w:tc>
          <w:tcPr>
            <w:tcW w:w="470" w:type="dxa"/>
            <w:shd w:val="clear" w:color="auto" w:fill="auto"/>
            <w:noWrap/>
            <w:vAlign w:val="center"/>
          </w:tcPr>
          <w:p w14:paraId="514D5C34">
            <w:pPr>
              <w:pStyle w:val="8"/>
              <w:suppressLineNumbers w:val="0"/>
              <w:bidi w:val="0"/>
              <w:spacing w:before="0" w:beforeAutospacing="0" w:after="0" w:afterAutospacing="0"/>
              <w:ind w:left="0" w:right="0"/>
              <w:rPr>
                <w:rFonts w:hint="default"/>
                <w:highlight w:val="none"/>
              </w:rPr>
            </w:pPr>
            <w:r>
              <w:rPr>
                <w:rFonts w:hint="default"/>
                <w:highlight w:val="none"/>
              </w:rPr>
              <w:t>0.94</w:t>
            </w:r>
          </w:p>
        </w:tc>
        <w:tc>
          <w:tcPr>
            <w:tcW w:w="469" w:type="dxa"/>
            <w:shd w:val="clear" w:color="auto" w:fill="auto"/>
            <w:noWrap/>
            <w:vAlign w:val="center"/>
          </w:tcPr>
          <w:p w14:paraId="72E8F7E2">
            <w:pPr>
              <w:pStyle w:val="8"/>
              <w:suppressLineNumbers w:val="0"/>
              <w:bidi w:val="0"/>
              <w:spacing w:before="0" w:beforeAutospacing="0" w:after="0" w:afterAutospacing="0"/>
              <w:ind w:left="0" w:right="0"/>
              <w:rPr>
                <w:rFonts w:hint="default"/>
                <w:highlight w:val="none"/>
              </w:rPr>
            </w:pPr>
            <w:r>
              <w:rPr>
                <w:rFonts w:hint="default"/>
                <w:highlight w:val="none"/>
              </w:rPr>
              <w:t>1.21</w:t>
            </w:r>
          </w:p>
        </w:tc>
        <w:tc>
          <w:tcPr>
            <w:tcW w:w="469" w:type="dxa"/>
            <w:shd w:val="clear" w:color="auto" w:fill="auto"/>
            <w:noWrap/>
            <w:vAlign w:val="center"/>
          </w:tcPr>
          <w:p w14:paraId="2F6748A2">
            <w:pPr>
              <w:pStyle w:val="8"/>
              <w:suppressLineNumbers w:val="0"/>
              <w:bidi w:val="0"/>
              <w:spacing w:before="0" w:beforeAutospacing="0" w:after="0" w:afterAutospacing="0"/>
              <w:ind w:left="0" w:right="0"/>
              <w:rPr>
                <w:rFonts w:hint="default"/>
                <w:highlight w:val="none"/>
              </w:rPr>
            </w:pPr>
            <w:r>
              <w:rPr>
                <w:rFonts w:hint="default"/>
                <w:highlight w:val="none"/>
              </w:rPr>
              <w:t>1.21</w:t>
            </w:r>
          </w:p>
        </w:tc>
        <w:tc>
          <w:tcPr>
            <w:tcW w:w="470" w:type="dxa"/>
            <w:shd w:val="clear" w:color="auto" w:fill="auto"/>
            <w:noWrap/>
            <w:vAlign w:val="center"/>
          </w:tcPr>
          <w:p w14:paraId="736E21D1">
            <w:pPr>
              <w:pStyle w:val="8"/>
              <w:suppressLineNumbers w:val="0"/>
              <w:bidi w:val="0"/>
              <w:spacing w:before="0" w:beforeAutospacing="0" w:after="0" w:afterAutospacing="0"/>
              <w:ind w:left="0" w:right="0"/>
              <w:rPr>
                <w:rFonts w:hint="default"/>
                <w:highlight w:val="none"/>
              </w:rPr>
            </w:pPr>
            <w:r>
              <w:rPr>
                <w:rFonts w:hint="default"/>
                <w:highlight w:val="none"/>
              </w:rPr>
              <w:t>0.67</w:t>
            </w:r>
          </w:p>
        </w:tc>
        <w:tc>
          <w:tcPr>
            <w:tcW w:w="470" w:type="dxa"/>
            <w:shd w:val="clear" w:color="auto" w:fill="auto"/>
            <w:noWrap/>
            <w:vAlign w:val="center"/>
          </w:tcPr>
          <w:p w14:paraId="7E2B7C00">
            <w:pPr>
              <w:pStyle w:val="8"/>
              <w:suppressLineNumbers w:val="0"/>
              <w:bidi w:val="0"/>
              <w:spacing w:before="0" w:beforeAutospacing="0" w:after="0" w:afterAutospacing="0"/>
              <w:ind w:left="0" w:right="0"/>
              <w:rPr>
                <w:rFonts w:hint="default"/>
                <w:highlight w:val="none"/>
              </w:rPr>
            </w:pPr>
            <w:r>
              <w:rPr>
                <w:rFonts w:hint="default"/>
                <w:highlight w:val="none"/>
              </w:rPr>
              <w:t>0.40</w:t>
            </w:r>
          </w:p>
        </w:tc>
        <w:tc>
          <w:tcPr>
            <w:tcW w:w="470" w:type="dxa"/>
            <w:shd w:val="clear" w:color="auto" w:fill="auto"/>
            <w:noWrap/>
            <w:vAlign w:val="center"/>
          </w:tcPr>
          <w:p w14:paraId="7838F52E">
            <w:pPr>
              <w:pStyle w:val="8"/>
              <w:suppressLineNumbers w:val="0"/>
              <w:bidi w:val="0"/>
              <w:spacing w:before="0" w:beforeAutospacing="0" w:after="0" w:afterAutospacing="0"/>
              <w:ind w:left="0" w:right="0"/>
              <w:rPr>
                <w:rFonts w:hint="default"/>
                <w:highlight w:val="none"/>
              </w:rPr>
            </w:pPr>
            <w:r>
              <w:rPr>
                <w:rFonts w:hint="default"/>
                <w:highlight w:val="none"/>
              </w:rPr>
              <w:t>1.21</w:t>
            </w:r>
          </w:p>
        </w:tc>
        <w:tc>
          <w:tcPr>
            <w:tcW w:w="471" w:type="dxa"/>
            <w:shd w:val="clear" w:color="auto" w:fill="auto"/>
            <w:noWrap/>
            <w:vAlign w:val="center"/>
          </w:tcPr>
          <w:p w14:paraId="6164F13A">
            <w:pPr>
              <w:pStyle w:val="8"/>
              <w:suppressLineNumbers w:val="0"/>
              <w:bidi w:val="0"/>
              <w:spacing w:before="0" w:beforeAutospacing="0" w:after="0" w:afterAutospacing="0"/>
              <w:ind w:left="0" w:right="0"/>
              <w:rPr>
                <w:rFonts w:hint="default"/>
                <w:highlight w:val="none"/>
              </w:rPr>
            </w:pPr>
            <w:r>
              <w:rPr>
                <w:rFonts w:hint="default"/>
                <w:highlight w:val="none"/>
              </w:rPr>
              <w:t>1.21</w:t>
            </w:r>
          </w:p>
        </w:tc>
        <w:tc>
          <w:tcPr>
            <w:tcW w:w="469" w:type="dxa"/>
            <w:shd w:val="clear" w:color="auto" w:fill="auto"/>
            <w:noWrap/>
            <w:vAlign w:val="center"/>
          </w:tcPr>
          <w:p w14:paraId="726AF6FE">
            <w:pPr>
              <w:pStyle w:val="8"/>
              <w:suppressLineNumbers w:val="0"/>
              <w:bidi w:val="0"/>
              <w:spacing w:before="0" w:beforeAutospacing="0" w:after="0" w:afterAutospacing="0"/>
              <w:ind w:left="0" w:right="0"/>
              <w:rPr>
                <w:rFonts w:hint="default"/>
                <w:highlight w:val="none"/>
              </w:rPr>
            </w:pPr>
            <w:r>
              <w:rPr>
                <w:rFonts w:hint="default"/>
                <w:highlight w:val="none"/>
              </w:rPr>
              <w:t>6.05</w:t>
            </w:r>
          </w:p>
        </w:tc>
        <w:tc>
          <w:tcPr>
            <w:tcW w:w="468" w:type="dxa"/>
            <w:shd w:val="clear" w:color="auto" w:fill="auto"/>
            <w:noWrap/>
            <w:vAlign w:val="center"/>
          </w:tcPr>
          <w:p w14:paraId="076F78BB">
            <w:pPr>
              <w:pStyle w:val="8"/>
              <w:suppressLineNumbers w:val="0"/>
              <w:bidi w:val="0"/>
              <w:spacing w:before="0" w:beforeAutospacing="0" w:after="0" w:afterAutospacing="0"/>
              <w:ind w:left="0" w:right="0"/>
              <w:rPr>
                <w:rFonts w:hint="default"/>
                <w:highlight w:val="none"/>
              </w:rPr>
            </w:pPr>
            <w:r>
              <w:rPr>
                <w:rFonts w:hint="default"/>
                <w:highlight w:val="none"/>
              </w:rPr>
              <w:t>16.40</w:t>
            </w:r>
          </w:p>
        </w:tc>
        <w:tc>
          <w:tcPr>
            <w:tcW w:w="447" w:type="dxa"/>
            <w:shd w:val="clear" w:color="auto" w:fill="auto"/>
            <w:noWrap/>
            <w:vAlign w:val="center"/>
          </w:tcPr>
          <w:p w14:paraId="6B0F2982">
            <w:pPr>
              <w:pStyle w:val="8"/>
              <w:suppressLineNumbers w:val="0"/>
              <w:bidi w:val="0"/>
              <w:spacing w:before="0" w:beforeAutospacing="0" w:after="0" w:afterAutospacing="0"/>
              <w:ind w:left="0" w:right="0"/>
              <w:rPr>
                <w:rFonts w:hint="default"/>
                <w:highlight w:val="none"/>
              </w:rPr>
            </w:pPr>
            <w:r>
              <w:rPr>
                <w:rFonts w:hint="default"/>
                <w:highlight w:val="none"/>
              </w:rPr>
              <w:t>29.30</w:t>
            </w:r>
          </w:p>
        </w:tc>
        <w:tc>
          <w:tcPr>
            <w:tcW w:w="447" w:type="dxa"/>
            <w:shd w:val="clear" w:color="auto" w:fill="auto"/>
            <w:noWrap/>
            <w:vAlign w:val="center"/>
          </w:tcPr>
          <w:p w14:paraId="4C96A9F0">
            <w:pPr>
              <w:pStyle w:val="8"/>
              <w:suppressLineNumbers w:val="0"/>
              <w:bidi w:val="0"/>
              <w:spacing w:before="0" w:beforeAutospacing="0" w:after="0" w:afterAutospacing="0"/>
              <w:ind w:left="0" w:right="0"/>
              <w:rPr>
                <w:rFonts w:hint="default"/>
                <w:highlight w:val="none"/>
              </w:rPr>
            </w:pPr>
            <w:r>
              <w:rPr>
                <w:rFonts w:hint="default"/>
                <w:highlight w:val="none"/>
              </w:rPr>
              <w:t>25.67</w:t>
            </w:r>
          </w:p>
        </w:tc>
        <w:tc>
          <w:tcPr>
            <w:tcW w:w="470" w:type="dxa"/>
            <w:shd w:val="clear" w:color="auto" w:fill="auto"/>
            <w:noWrap/>
            <w:vAlign w:val="center"/>
          </w:tcPr>
          <w:p w14:paraId="7EFFBCFE">
            <w:pPr>
              <w:pStyle w:val="8"/>
              <w:suppressLineNumbers w:val="0"/>
              <w:bidi w:val="0"/>
              <w:spacing w:before="0" w:beforeAutospacing="0" w:after="0" w:afterAutospacing="0"/>
              <w:ind w:left="0" w:right="0"/>
              <w:rPr>
                <w:rFonts w:hint="default"/>
                <w:highlight w:val="none"/>
              </w:rPr>
            </w:pPr>
            <w:r>
              <w:rPr>
                <w:rFonts w:hint="default"/>
                <w:highlight w:val="none"/>
              </w:rPr>
              <w:t>4.57</w:t>
            </w:r>
          </w:p>
        </w:tc>
        <w:tc>
          <w:tcPr>
            <w:tcW w:w="470" w:type="dxa"/>
            <w:shd w:val="clear" w:color="auto" w:fill="auto"/>
            <w:noWrap/>
            <w:vAlign w:val="center"/>
          </w:tcPr>
          <w:p w14:paraId="0A11238E">
            <w:pPr>
              <w:pStyle w:val="8"/>
              <w:suppressLineNumbers w:val="0"/>
              <w:bidi w:val="0"/>
              <w:spacing w:before="0" w:beforeAutospacing="0" w:after="0" w:afterAutospacing="0"/>
              <w:ind w:left="0" w:right="0"/>
              <w:rPr>
                <w:rFonts w:hint="default"/>
                <w:highlight w:val="none"/>
              </w:rPr>
            </w:pPr>
            <w:r>
              <w:rPr>
                <w:rFonts w:hint="default"/>
                <w:highlight w:val="none"/>
              </w:rPr>
              <w:t>2.02</w:t>
            </w:r>
          </w:p>
        </w:tc>
        <w:tc>
          <w:tcPr>
            <w:tcW w:w="469" w:type="dxa"/>
            <w:shd w:val="clear" w:color="auto" w:fill="auto"/>
            <w:noWrap/>
            <w:vAlign w:val="center"/>
          </w:tcPr>
          <w:p w14:paraId="0D5818B2">
            <w:pPr>
              <w:pStyle w:val="8"/>
              <w:suppressLineNumbers w:val="0"/>
              <w:bidi w:val="0"/>
              <w:spacing w:before="0" w:beforeAutospacing="0" w:after="0" w:afterAutospacing="0"/>
              <w:ind w:left="0" w:right="0"/>
              <w:rPr>
                <w:rFonts w:hint="default"/>
                <w:highlight w:val="none"/>
              </w:rPr>
            </w:pPr>
            <w:r>
              <w:rPr>
                <w:rFonts w:hint="default"/>
                <w:highlight w:val="none"/>
              </w:rPr>
              <w:t>3.63</w:t>
            </w:r>
          </w:p>
        </w:tc>
        <w:tc>
          <w:tcPr>
            <w:tcW w:w="471" w:type="dxa"/>
            <w:shd w:val="clear" w:color="auto" w:fill="auto"/>
            <w:noWrap/>
            <w:vAlign w:val="center"/>
          </w:tcPr>
          <w:p w14:paraId="06645956">
            <w:pPr>
              <w:pStyle w:val="8"/>
              <w:suppressLineNumbers w:val="0"/>
              <w:bidi w:val="0"/>
              <w:spacing w:before="0" w:beforeAutospacing="0" w:after="0" w:afterAutospacing="0"/>
              <w:ind w:left="0" w:right="0"/>
              <w:rPr>
                <w:rFonts w:hint="default"/>
                <w:highlight w:val="none"/>
              </w:rPr>
            </w:pPr>
            <w:r>
              <w:rPr>
                <w:rFonts w:hint="default"/>
                <w:highlight w:val="none"/>
              </w:rPr>
              <w:t>1.61</w:t>
            </w:r>
          </w:p>
        </w:tc>
      </w:tr>
    </w:tbl>
    <w:p w14:paraId="75AE9302">
      <w:pPr>
        <w:pStyle w:val="7"/>
        <w:bidi w:val="0"/>
        <w:rPr>
          <w:rFonts w:hint="eastAsia"/>
          <w:highlight w:val="none"/>
          <w:lang w:eastAsia="zh-CN"/>
        </w:rPr>
      </w:pPr>
      <w:r>
        <w:rPr>
          <w:rFonts w:hint="eastAsia"/>
          <w:highlight w:val="none"/>
          <w:lang w:val="en-US" w:eastAsia="zh-CN"/>
        </w:rPr>
        <w:t>续</w:t>
      </w:r>
      <w:r>
        <w:rPr>
          <w:highlight w:val="none"/>
        </w:rPr>
        <w:t>表4-1-2</w:t>
      </w:r>
      <w:r>
        <w:rPr>
          <w:rFonts w:hint="eastAsia"/>
          <w:highlight w:val="none"/>
          <w:lang w:val="en-US" w:eastAsia="zh-CN"/>
        </w:rPr>
        <w:t>近20</w:t>
      </w:r>
      <w:r>
        <w:rPr>
          <w:highlight w:val="none"/>
        </w:rPr>
        <w:t>年年均风频的季变化及年均风频</w:t>
      </w:r>
      <w:r>
        <w:rPr>
          <w:rFonts w:hint="eastAsia"/>
          <w:highlight w:val="none"/>
          <w:lang w:eastAsia="zh-CN"/>
        </w:rPr>
        <w:t>（</w:t>
      </w:r>
      <w:r>
        <w:rPr>
          <w:highlight w:val="none"/>
        </w:rPr>
        <w:t>单位：%</w:t>
      </w:r>
      <w:r>
        <w:rPr>
          <w:rFonts w:hint="eastAsia"/>
          <w:highlight w:val="none"/>
          <w:lang w:eastAsia="zh-CN"/>
        </w:rPr>
        <w:t>）</w:t>
      </w:r>
    </w:p>
    <w:tbl>
      <w:tblPr>
        <w:tblStyle w:val="44"/>
        <w:tblW w:w="852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05"/>
        <w:gridCol w:w="422"/>
        <w:gridCol w:w="458"/>
        <w:gridCol w:w="423"/>
        <w:gridCol w:w="446"/>
        <w:gridCol w:w="481"/>
        <w:gridCol w:w="426"/>
        <w:gridCol w:w="423"/>
        <w:gridCol w:w="423"/>
        <w:gridCol w:w="423"/>
        <w:gridCol w:w="458"/>
        <w:gridCol w:w="481"/>
        <w:gridCol w:w="505"/>
        <w:gridCol w:w="481"/>
        <w:gridCol w:w="524"/>
        <w:gridCol w:w="423"/>
        <w:gridCol w:w="497"/>
        <w:gridCol w:w="423"/>
      </w:tblGrid>
      <w:tr w14:paraId="6666B1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2" w:hRule="atLeast"/>
          <w:jc w:val="center"/>
        </w:trPr>
        <w:tc>
          <w:tcPr>
            <w:tcW w:w="763" w:type="dxa"/>
            <w:shd w:val="clear" w:color="auto" w:fill="auto"/>
            <w:noWrap/>
            <w:vAlign w:val="center"/>
          </w:tcPr>
          <w:p w14:paraId="31C2A49C">
            <w:pPr>
              <w:pStyle w:val="8"/>
              <w:suppressLineNumbers w:val="0"/>
              <w:bidi w:val="0"/>
              <w:spacing w:before="0" w:beforeAutospacing="0" w:after="0" w:afterAutospacing="0"/>
              <w:ind w:left="0" w:right="0"/>
              <w:rPr>
                <w:rFonts w:hint="default"/>
                <w:highlight w:val="none"/>
              </w:rPr>
            </w:pPr>
            <w:r>
              <w:rPr>
                <w:rFonts w:hint="default"/>
                <w:highlight w:val="none"/>
              </w:rPr>
              <w:t>风向</w:t>
            </w:r>
          </w:p>
          <w:p w14:paraId="19FDA71E">
            <w:pPr>
              <w:pStyle w:val="8"/>
              <w:suppressLineNumbers w:val="0"/>
              <w:bidi w:val="0"/>
              <w:spacing w:before="0" w:beforeAutospacing="0" w:after="0" w:afterAutospacing="0"/>
              <w:ind w:left="0" w:right="0"/>
              <w:rPr>
                <w:rFonts w:hint="eastAsia" w:eastAsia="宋体"/>
                <w:highlight w:val="none"/>
                <w:lang w:eastAsia="zh-CN"/>
              </w:rPr>
            </w:pPr>
            <w:r>
              <w:rPr>
                <w:rFonts w:hint="default"/>
                <w:highlight w:val="none"/>
              </w:rPr>
              <w:t>风频</w:t>
            </w:r>
            <w:r>
              <w:rPr>
                <w:rFonts w:hint="eastAsia"/>
                <w:highlight w:val="none"/>
                <w:lang w:eastAsia="zh-CN"/>
              </w:rPr>
              <w:t>（</w:t>
            </w:r>
            <w:r>
              <w:rPr>
                <w:rFonts w:hint="default"/>
                <w:highlight w:val="none"/>
              </w:rPr>
              <w:t>%</w:t>
            </w:r>
            <w:r>
              <w:rPr>
                <w:rFonts w:hint="eastAsia"/>
                <w:highlight w:val="none"/>
                <w:lang w:eastAsia="zh-CN"/>
              </w:rPr>
              <w:t>）</w:t>
            </w:r>
          </w:p>
        </w:tc>
        <w:tc>
          <w:tcPr>
            <w:tcW w:w="424" w:type="dxa"/>
            <w:shd w:val="clear" w:color="auto" w:fill="auto"/>
            <w:noWrap/>
            <w:vAlign w:val="center"/>
          </w:tcPr>
          <w:p w14:paraId="6D19B0F7">
            <w:pPr>
              <w:pStyle w:val="8"/>
              <w:suppressLineNumbers w:val="0"/>
              <w:bidi w:val="0"/>
              <w:spacing w:before="0" w:beforeAutospacing="0" w:after="0" w:afterAutospacing="0"/>
              <w:ind w:left="0" w:right="0"/>
              <w:rPr>
                <w:rFonts w:hint="default"/>
                <w:highlight w:val="none"/>
              </w:rPr>
            </w:pPr>
            <w:r>
              <w:rPr>
                <w:rFonts w:hint="default"/>
                <w:highlight w:val="none"/>
              </w:rPr>
              <w:t>N</w:t>
            </w:r>
          </w:p>
        </w:tc>
        <w:tc>
          <w:tcPr>
            <w:tcW w:w="461" w:type="dxa"/>
            <w:shd w:val="clear" w:color="auto" w:fill="auto"/>
            <w:noWrap/>
            <w:vAlign w:val="center"/>
          </w:tcPr>
          <w:p w14:paraId="75B4C11E">
            <w:pPr>
              <w:pStyle w:val="8"/>
              <w:suppressLineNumbers w:val="0"/>
              <w:bidi w:val="0"/>
              <w:spacing w:before="0" w:beforeAutospacing="0" w:after="0" w:afterAutospacing="0"/>
              <w:ind w:left="0" w:right="0"/>
              <w:rPr>
                <w:rFonts w:hint="default"/>
                <w:highlight w:val="none"/>
              </w:rPr>
            </w:pPr>
            <w:r>
              <w:rPr>
                <w:rFonts w:hint="default"/>
                <w:highlight w:val="none"/>
              </w:rPr>
              <w:t>NNE</w:t>
            </w:r>
          </w:p>
        </w:tc>
        <w:tc>
          <w:tcPr>
            <w:tcW w:w="425" w:type="dxa"/>
            <w:shd w:val="clear" w:color="auto" w:fill="auto"/>
            <w:noWrap/>
            <w:vAlign w:val="center"/>
          </w:tcPr>
          <w:p w14:paraId="4C2B13B5">
            <w:pPr>
              <w:pStyle w:val="8"/>
              <w:suppressLineNumbers w:val="0"/>
              <w:bidi w:val="0"/>
              <w:spacing w:before="0" w:beforeAutospacing="0" w:after="0" w:afterAutospacing="0"/>
              <w:ind w:left="0" w:right="0"/>
              <w:rPr>
                <w:rFonts w:hint="default"/>
                <w:highlight w:val="none"/>
              </w:rPr>
            </w:pPr>
            <w:r>
              <w:rPr>
                <w:rFonts w:hint="default"/>
                <w:highlight w:val="none"/>
              </w:rPr>
              <w:t>NE</w:t>
            </w:r>
          </w:p>
        </w:tc>
        <w:tc>
          <w:tcPr>
            <w:tcW w:w="448" w:type="dxa"/>
            <w:shd w:val="clear" w:color="auto" w:fill="auto"/>
            <w:noWrap/>
            <w:vAlign w:val="center"/>
          </w:tcPr>
          <w:p w14:paraId="49EDD9F5">
            <w:pPr>
              <w:pStyle w:val="8"/>
              <w:suppressLineNumbers w:val="0"/>
              <w:bidi w:val="0"/>
              <w:spacing w:before="0" w:beforeAutospacing="0" w:after="0" w:afterAutospacing="0"/>
              <w:ind w:left="0" w:right="0"/>
              <w:rPr>
                <w:rFonts w:hint="default"/>
                <w:highlight w:val="none"/>
              </w:rPr>
            </w:pPr>
            <w:r>
              <w:rPr>
                <w:rFonts w:hint="default"/>
                <w:highlight w:val="none"/>
              </w:rPr>
              <w:t>ENE</w:t>
            </w:r>
          </w:p>
        </w:tc>
        <w:tc>
          <w:tcPr>
            <w:tcW w:w="484" w:type="dxa"/>
            <w:shd w:val="clear" w:color="auto" w:fill="auto"/>
            <w:noWrap/>
            <w:vAlign w:val="center"/>
          </w:tcPr>
          <w:p w14:paraId="40EEF4FC">
            <w:pPr>
              <w:pStyle w:val="8"/>
              <w:suppressLineNumbers w:val="0"/>
              <w:bidi w:val="0"/>
              <w:spacing w:before="0" w:beforeAutospacing="0" w:after="0" w:afterAutospacing="0"/>
              <w:ind w:left="0" w:right="0"/>
              <w:rPr>
                <w:rFonts w:hint="default"/>
                <w:highlight w:val="none"/>
              </w:rPr>
            </w:pPr>
            <w:r>
              <w:rPr>
                <w:rFonts w:hint="default"/>
                <w:highlight w:val="none"/>
              </w:rPr>
              <w:t>E</w:t>
            </w:r>
          </w:p>
        </w:tc>
        <w:tc>
          <w:tcPr>
            <w:tcW w:w="428" w:type="dxa"/>
            <w:shd w:val="clear" w:color="auto" w:fill="auto"/>
            <w:noWrap/>
            <w:vAlign w:val="center"/>
          </w:tcPr>
          <w:p w14:paraId="325A86F8">
            <w:pPr>
              <w:pStyle w:val="8"/>
              <w:suppressLineNumbers w:val="0"/>
              <w:bidi w:val="0"/>
              <w:spacing w:before="0" w:beforeAutospacing="0" w:after="0" w:afterAutospacing="0"/>
              <w:ind w:left="0" w:right="0"/>
              <w:rPr>
                <w:rFonts w:hint="default"/>
                <w:highlight w:val="none"/>
              </w:rPr>
            </w:pPr>
            <w:r>
              <w:rPr>
                <w:rFonts w:hint="default"/>
                <w:highlight w:val="none"/>
              </w:rPr>
              <w:t>ESE</w:t>
            </w:r>
          </w:p>
        </w:tc>
        <w:tc>
          <w:tcPr>
            <w:tcW w:w="425" w:type="dxa"/>
            <w:shd w:val="clear" w:color="auto" w:fill="auto"/>
            <w:noWrap/>
            <w:vAlign w:val="center"/>
          </w:tcPr>
          <w:p w14:paraId="2E8EC50E">
            <w:pPr>
              <w:pStyle w:val="8"/>
              <w:suppressLineNumbers w:val="0"/>
              <w:bidi w:val="0"/>
              <w:spacing w:before="0" w:beforeAutospacing="0" w:after="0" w:afterAutospacing="0"/>
              <w:ind w:left="0" w:right="0"/>
              <w:rPr>
                <w:rFonts w:hint="default"/>
                <w:highlight w:val="none"/>
              </w:rPr>
            </w:pPr>
            <w:r>
              <w:rPr>
                <w:rFonts w:hint="default"/>
                <w:highlight w:val="none"/>
              </w:rPr>
              <w:t>SE</w:t>
            </w:r>
          </w:p>
        </w:tc>
        <w:tc>
          <w:tcPr>
            <w:tcW w:w="425" w:type="dxa"/>
            <w:shd w:val="clear" w:color="auto" w:fill="auto"/>
            <w:noWrap/>
            <w:vAlign w:val="center"/>
          </w:tcPr>
          <w:p w14:paraId="27859D13">
            <w:pPr>
              <w:pStyle w:val="8"/>
              <w:suppressLineNumbers w:val="0"/>
              <w:bidi w:val="0"/>
              <w:spacing w:before="0" w:beforeAutospacing="0" w:after="0" w:afterAutospacing="0"/>
              <w:ind w:left="0" w:right="0"/>
              <w:rPr>
                <w:rFonts w:hint="default"/>
                <w:highlight w:val="none"/>
              </w:rPr>
            </w:pPr>
            <w:r>
              <w:rPr>
                <w:rFonts w:hint="default"/>
                <w:highlight w:val="none"/>
              </w:rPr>
              <w:t>SSE</w:t>
            </w:r>
          </w:p>
        </w:tc>
        <w:tc>
          <w:tcPr>
            <w:tcW w:w="425" w:type="dxa"/>
            <w:shd w:val="clear" w:color="auto" w:fill="auto"/>
            <w:noWrap/>
            <w:vAlign w:val="center"/>
          </w:tcPr>
          <w:p w14:paraId="501ED492">
            <w:pPr>
              <w:pStyle w:val="8"/>
              <w:suppressLineNumbers w:val="0"/>
              <w:bidi w:val="0"/>
              <w:spacing w:before="0" w:beforeAutospacing="0" w:after="0" w:afterAutospacing="0"/>
              <w:ind w:left="0" w:right="0"/>
              <w:rPr>
                <w:rFonts w:hint="default"/>
                <w:highlight w:val="none"/>
              </w:rPr>
            </w:pPr>
            <w:r>
              <w:rPr>
                <w:rFonts w:hint="default"/>
                <w:highlight w:val="none"/>
              </w:rPr>
              <w:t>S</w:t>
            </w:r>
          </w:p>
        </w:tc>
        <w:tc>
          <w:tcPr>
            <w:tcW w:w="461" w:type="dxa"/>
            <w:shd w:val="clear" w:color="auto" w:fill="auto"/>
            <w:noWrap/>
            <w:vAlign w:val="center"/>
          </w:tcPr>
          <w:p w14:paraId="2609D3A7">
            <w:pPr>
              <w:pStyle w:val="8"/>
              <w:suppressLineNumbers w:val="0"/>
              <w:bidi w:val="0"/>
              <w:spacing w:before="0" w:beforeAutospacing="0" w:after="0" w:afterAutospacing="0"/>
              <w:ind w:left="0" w:right="0"/>
              <w:rPr>
                <w:rFonts w:hint="default"/>
                <w:highlight w:val="none"/>
              </w:rPr>
            </w:pPr>
            <w:r>
              <w:rPr>
                <w:rFonts w:hint="default"/>
                <w:highlight w:val="none"/>
              </w:rPr>
              <w:t>SSW</w:t>
            </w:r>
          </w:p>
        </w:tc>
        <w:tc>
          <w:tcPr>
            <w:tcW w:w="484" w:type="dxa"/>
            <w:shd w:val="clear" w:color="auto" w:fill="auto"/>
            <w:noWrap/>
            <w:vAlign w:val="center"/>
          </w:tcPr>
          <w:p w14:paraId="4EEEC9EE">
            <w:pPr>
              <w:pStyle w:val="8"/>
              <w:suppressLineNumbers w:val="0"/>
              <w:bidi w:val="0"/>
              <w:spacing w:before="0" w:beforeAutospacing="0" w:after="0" w:afterAutospacing="0"/>
              <w:ind w:left="0" w:right="0"/>
              <w:rPr>
                <w:rFonts w:hint="default"/>
                <w:highlight w:val="none"/>
              </w:rPr>
            </w:pPr>
            <w:r>
              <w:rPr>
                <w:rFonts w:hint="default"/>
                <w:highlight w:val="none"/>
              </w:rPr>
              <w:t>SW</w:t>
            </w:r>
          </w:p>
        </w:tc>
        <w:tc>
          <w:tcPr>
            <w:tcW w:w="508" w:type="dxa"/>
            <w:shd w:val="clear" w:color="auto" w:fill="auto"/>
            <w:noWrap/>
            <w:vAlign w:val="center"/>
          </w:tcPr>
          <w:p w14:paraId="20F636E3">
            <w:pPr>
              <w:pStyle w:val="8"/>
              <w:suppressLineNumbers w:val="0"/>
              <w:bidi w:val="0"/>
              <w:spacing w:before="0" w:beforeAutospacing="0" w:after="0" w:afterAutospacing="0"/>
              <w:ind w:left="0" w:right="0"/>
              <w:rPr>
                <w:rFonts w:hint="default"/>
                <w:highlight w:val="none"/>
              </w:rPr>
            </w:pPr>
            <w:r>
              <w:rPr>
                <w:rFonts w:hint="default"/>
                <w:highlight w:val="none"/>
              </w:rPr>
              <w:t>WSW</w:t>
            </w:r>
          </w:p>
        </w:tc>
        <w:tc>
          <w:tcPr>
            <w:tcW w:w="484" w:type="dxa"/>
            <w:shd w:val="clear" w:color="auto" w:fill="auto"/>
            <w:noWrap/>
            <w:vAlign w:val="center"/>
          </w:tcPr>
          <w:p w14:paraId="0F5A3B43">
            <w:pPr>
              <w:pStyle w:val="8"/>
              <w:suppressLineNumbers w:val="0"/>
              <w:bidi w:val="0"/>
              <w:spacing w:before="0" w:beforeAutospacing="0" w:after="0" w:afterAutospacing="0"/>
              <w:ind w:left="0" w:right="0"/>
              <w:rPr>
                <w:rFonts w:hint="default"/>
                <w:highlight w:val="none"/>
              </w:rPr>
            </w:pPr>
            <w:r>
              <w:rPr>
                <w:rFonts w:hint="default"/>
                <w:highlight w:val="none"/>
              </w:rPr>
              <w:t>W</w:t>
            </w:r>
          </w:p>
        </w:tc>
        <w:tc>
          <w:tcPr>
            <w:tcW w:w="527" w:type="dxa"/>
            <w:shd w:val="clear" w:color="auto" w:fill="auto"/>
            <w:noWrap/>
            <w:vAlign w:val="center"/>
          </w:tcPr>
          <w:p w14:paraId="20C16799">
            <w:pPr>
              <w:pStyle w:val="8"/>
              <w:suppressLineNumbers w:val="0"/>
              <w:bidi w:val="0"/>
              <w:spacing w:before="0" w:beforeAutospacing="0" w:after="0" w:afterAutospacing="0"/>
              <w:ind w:left="0" w:right="0"/>
              <w:rPr>
                <w:rFonts w:hint="default"/>
                <w:highlight w:val="none"/>
              </w:rPr>
            </w:pPr>
            <w:r>
              <w:rPr>
                <w:rFonts w:hint="default"/>
                <w:highlight w:val="none"/>
              </w:rPr>
              <w:t>WNW</w:t>
            </w:r>
          </w:p>
        </w:tc>
        <w:tc>
          <w:tcPr>
            <w:tcW w:w="425" w:type="dxa"/>
            <w:shd w:val="clear" w:color="auto" w:fill="auto"/>
            <w:noWrap/>
            <w:vAlign w:val="center"/>
          </w:tcPr>
          <w:p w14:paraId="46603BE0">
            <w:pPr>
              <w:pStyle w:val="8"/>
              <w:suppressLineNumbers w:val="0"/>
              <w:bidi w:val="0"/>
              <w:spacing w:before="0" w:beforeAutospacing="0" w:after="0" w:afterAutospacing="0"/>
              <w:ind w:left="0" w:right="0"/>
              <w:rPr>
                <w:rFonts w:hint="default"/>
                <w:highlight w:val="none"/>
              </w:rPr>
            </w:pPr>
            <w:r>
              <w:rPr>
                <w:rFonts w:hint="default"/>
                <w:highlight w:val="none"/>
              </w:rPr>
              <w:t>NW</w:t>
            </w:r>
          </w:p>
        </w:tc>
        <w:tc>
          <w:tcPr>
            <w:tcW w:w="500" w:type="dxa"/>
            <w:shd w:val="clear" w:color="auto" w:fill="auto"/>
            <w:noWrap/>
            <w:vAlign w:val="center"/>
          </w:tcPr>
          <w:p w14:paraId="4DFC417D">
            <w:pPr>
              <w:pStyle w:val="8"/>
              <w:suppressLineNumbers w:val="0"/>
              <w:bidi w:val="0"/>
              <w:spacing w:before="0" w:beforeAutospacing="0" w:after="0" w:afterAutospacing="0"/>
              <w:ind w:left="0" w:right="0"/>
              <w:rPr>
                <w:rFonts w:hint="default"/>
                <w:highlight w:val="none"/>
              </w:rPr>
            </w:pPr>
            <w:r>
              <w:rPr>
                <w:rFonts w:hint="default"/>
                <w:highlight w:val="none"/>
              </w:rPr>
              <w:t>NNW</w:t>
            </w:r>
          </w:p>
        </w:tc>
        <w:tc>
          <w:tcPr>
            <w:tcW w:w="425" w:type="dxa"/>
            <w:shd w:val="clear" w:color="auto" w:fill="auto"/>
            <w:noWrap/>
            <w:vAlign w:val="center"/>
          </w:tcPr>
          <w:p w14:paraId="7B45461C">
            <w:pPr>
              <w:pStyle w:val="8"/>
              <w:suppressLineNumbers w:val="0"/>
              <w:bidi w:val="0"/>
              <w:spacing w:before="0" w:beforeAutospacing="0" w:after="0" w:afterAutospacing="0"/>
              <w:ind w:left="0" w:right="0"/>
              <w:rPr>
                <w:rFonts w:hint="default"/>
                <w:highlight w:val="none"/>
              </w:rPr>
            </w:pPr>
            <w:r>
              <w:rPr>
                <w:rFonts w:hint="default"/>
                <w:highlight w:val="none"/>
              </w:rPr>
              <w:t>C</w:t>
            </w:r>
          </w:p>
        </w:tc>
      </w:tr>
      <w:tr w14:paraId="19CE53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6" w:hRule="atLeast"/>
          <w:jc w:val="center"/>
        </w:trPr>
        <w:tc>
          <w:tcPr>
            <w:tcW w:w="763" w:type="dxa"/>
            <w:shd w:val="clear" w:color="auto" w:fill="auto"/>
            <w:noWrap/>
            <w:vAlign w:val="center"/>
          </w:tcPr>
          <w:p w14:paraId="1248A687">
            <w:pPr>
              <w:pStyle w:val="8"/>
              <w:suppressLineNumbers w:val="0"/>
              <w:bidi w:val="0"/>
              <w:spacing w:before="0" w:beforeAutospacing="0" w:after="0" w:afterAutospacing="0"/>
              <w:ind w:left="0" w:right="0"/>
              <w:rPr>
                <w:rFonts w:hint="default"/>
                <w:highlight w:val="none"/>
              </w:rPr>
            </w:pPr>
            <w:r>
              <w:rPr>
                <w:rFonts w:hint="default"/>
                <w:highlight w:val="none"/>
              </w:rPr>
              <w:t>春季</w:t>
            </w:r>
          </w:p>
        </w:tc>
        <w:tc>
          <w:tcPr>
            <w:tcW w:w="424" w:type="dxa"/>
            <w:shd w:val="clear" w:color="auto" w:fill="auto"/>
            <w:noWrap/>
            <w:vAlign w:val="center"/>
          </w:tcPr>
          <w:p w14:paraId="01473DB5">
            <w:pPr>
              <w:pStyle w:val="8"/>
              <w:suppressLineNumbers w:val="0"/>
              <w:bidi w:val="0"/>
              <w:spacing w:before="0" w:beforeAutospacing="0" w:after="0" w:afterAutospacing="0"/>
              <w:ind w:left="0" w:right="0"/>
              <w:rPr>
                <w:rFonts w:hint="default"/>
                <w:highlight w:val="none"/>
              </w:rPr>
            </w:pPr>
            <w:r>
              <w:rPr>
                <w:rFonts w:hint="default"/>
                <w:highlight w:val="none"/>
              </w:rPr>
              <w:t>7.02</w:t>
            </w:r>
          </w:p>
        </w:tc>
        <w:tc>
          <w:tcPr>
            <w:tcW w:w="461" w:type="dxa"/>
            <w:shd w:val="clear" w:color="auto" w:fill="auto"/>
            <w:noWrap/>
            <w:vAlign w:val="center"/>
          </w:tcPr>
          <w:p w14:paraId="19F49D2A">
            <w:pPr>
              <w:pStyle w:val="8"/>
              <w:suppressLineNumbers w:val="0"/>
              <w:bidi w:val="0"/>
              <w:spacing w:before="0" w:beforeAutospacing="0" w:after="0" w:afterAutospacing="0"/>
              <w:ind w:left="0" w:right="0"/>
              <w:rPr>
                <w:rFonts w:hint="default"/>
                <w:highlight w:val="none"/>
              </w:rPr>
            </w:pPr>
            <w:r>
              <w:rPr>
                <w:rFonts w:hint="default"/>
                <w:highlight w:val="none"/>
              </w:rPr>
              <w:t>4.08</w:t>
            </w:r>
          </w:p>
        </w:tc>
        <w:tc>
          <w:tcPr>
            <w:tcW w:w="425" w:type="dxa"/>
            <w:shd w:val="clear" w:color="auto" w:fill="auto"/>
            <w:noWrap/>
            <w:vAlign w:val="center"/>
          </w:tcPr>
          <w:p w14:paraId="0280910F">
            <w:pPr>
              <w:pStyle w:val="8"/>
              <w:suppressLineNumbers w:val="0"/>
              <w:bidi w:val="0"/>
              <w:spacing w:before="0" w:beforeAutospacing="0" w:after="0" w:afterAutospacing="0"/>
              <w:ind w:left="0" w:right="0"/>
              <w:rPr>
                <w:rFonts w:hint="default"/>
                <w:highlight w:val="none"/>
              </w:rPr>
            </w:pPr>
            <w:r>
              <w:rPr>
                <w:rFonts w:hint="default"/>
                <w:highlight w:val="none"/>
              </w:rPr>
              <w:t>3.35</w:t>
            </w:r>
          </w:p>
        </w:tc>
        <w:tc>
          <w:tcPr>
            <w:tcW w:w="448" w:type="dxa"/>
            <w:shd w:val="clear" w:color="auto" w:fill="auto"/>
            <w:noWrap/>
            <w:vAlign w:val="center"/>
          </w:tcPr>
          <w:p w14:paraId="4558B48C">
            <w:pPr>
              <w:pStyle w:val="8"/>
              <w:suppressLineNumbers w:val="0"/>
              <w:bidi w:val="0"/>
              <w:spacing w:before="0" w:beforeAutospacing="0" w:after="0" w:afterAutospacing="0"/>
              <w:ind w:left="0" w:right="0"/>
              <w:rPr>
                <w:rFonts w:hint="default"/>
                <w:highlight w:val="none"/>
              </w:rPr>
            </w:pPr>
            <w:r>
              <w:rPr>
                <w:rFonts w:hint="default"/>
                <w:highlight w:val="none"/>
              </w:rPr>
              <w:t>1.77</w:t>
            </w:r>
          </w:p>
        </w:tc>
        <w:tc>
          <w:tcPr>
            <w:tcW w:w="484" w:type="dxa"/>
            <w:shd w:val="clear" w:color="auto" w:fill="auto"/>
            <w:noWrap/>
            <w:vAlign w:val="center"/>
          </w:tcPr>
          <w:p w14:paraId="3AF7B1ED">
            <w:pPr>
              <w:pStyle w:val="8"/>
              <w:suppressLineNumbers w:val="0"/>
              <w:bidi w:val="0"/>
              <w:spacing w:before="0" w:beforeAutospacing="0" w:after="0" w:afterAutospacing="0"/>
              <w:ind w:left="0" w:right="0"/>
              <w:rPr>
                <w:rFonts w:hint="default"/>
                <w:highlight w:val="none"/>
              </w:rPr>
            </w:pPr>
            <w:r>
              <w:rPr>
                <w:rFonts w:hint="default"/>
                <w:highlight w:val="none"/>
              </w:rPr>
              <w:t>3.03</w:t>
            </w:r>
          </w:p>
        </w:tc>
        <w:tc>
          <w:tcPr>
            <w:tcW w:w="428" w:type="dxa"/>
            <w:shd w:val="clear" w:color="auto" w:fill="auto"/>
            <w:noWrap/>
            <w:vAlign w:val="center"/>
          </w:tcPr>
          <w:p w14:paraId="38A10EEB">
            <w:pPr>
              <w:pStyle w:val="8"/>
              <w:suppressLineNumbers w:val="0"/>
              <w:bidi w:val="0"/>
              <w:spacing w:before="0" w:beforeAutospacing="0" w:after="0" w:afterAutospacing="0"/>
              <w:ind w:left="0" w:right="0"/>
              <w:rPr>
                <w:rFonts w:hint="default"/>
                <w:highlight w:val="none"/>
              </w:rPr>
            </w:pPr>
            <w:r>
              <w:rPr>
                <w:rFonts w:hint="default"/>
                <w:highlight w:val="none"/>
              </w:rPr>
              <w:t>2.08</w:t>
            </w:r>
          </w:p>
        </w:tc>
        <w:tc>
          <w:tcPr>
            <w:tcW w:w="425" w:type="dxa"/>
            <w:shd w:val="clear" w:color="auto" w:fill="auto"/>
            <w:noWrap/>
            <w:vAlign w:val="center"/>
          </w:tcPr>
          <w:p w14:paraId="42CD82C1">
            <w:pPr>
              <w:pStyle w:val="8"/>
              <w:suppressLineNumbers w:val="0"/>
              <w:bidi w:val="0"/>
              <w:spacing w:before="0" w:beforeAutospacing="0" w:after="0" w:afterAutospacing="0"/>
              <w:ind w:left="0" w:right="0"/>
              <w:rPr>
                <w:rFonts w:hint="default"/>
                <w:highlight w:val="none"/>
              </w:rPr>
            </w:pPr>
            <w:r>
              <w:rPr>
                <w:rFonts w:hint="default"/>
                <w:highlight w:val="none"/>
              </w:rPr>
              <w:t>2.49</w:t>
            </w:r>
          </w:p>
        </w:tc>
        <w:tc>
          <w:tcPr>
            <w:tcW w:w="425" w:type="dxa"/>
            <w:shd w:val="clear" w:color="auto" w:fill="auto"/>
            <w:noWrap/>
            <w:vAlign w:val="center"/>
          </w:tcPr>
          <w:p w14:paraId="7AE2193F">
            <w:pPr>
              <w:pStyle w:val="8"/>
              <w:suppressLineNumbers w:val="0"/>
              <w:bidi w:val="0"/>
              <w:spacing w:before="0" w:beforeAutospacing="0" w:after="0" w:afterAutospacing="0"/>
              <w:ind w:left="0" w:right="0"/>
              <w:rPr>
                <w:rFonts w:hint="default"/>
                <w:highlight w:val="none"/>
              </w:rPr>
            </w:pPr>
            <w:r>
              <w:rPr>
                <w:rFonts w:hint="default"/>
                <w:highlight w:val="none"/>
              </w:rPr>
              <w:t>3.08</w:t>
            </w:r>
          </w:p>
        </w:tc>
        <w:tc>
          <w:tcPr>
            <w:tcW w:w="425" w:type="dxa"/>
            <w:shd w:val="clear" w:color="auto" w:fill="auto"/>
            <w:noWrap/>
            <w:vAlign w:val="center"/>
          </w:tcPr>
          <w:p w14:paraId="6CC87D08">
            <w:pPr>
              <w:pStyle w:val="8"/>
              <w:suppressLineNumbers w:val="0"/>
              <w:bidi w:val="0"/>
              <w:spacing w:before="0" w:beforeAutospacing="0" w:after="0" w:afterAutospacing="0"/>
              <w:ind w:left="0" w:right="0"/>
              <w:rPr>
                <w:rFonts w:hint="default"/>
                <w:highlight w:val="none"/>
              </w:rPr>
            </w:pPr>
            <w:r>
              <w:rPr>
                <w:rFonts w:hint="default"/>
                <w:highlight w:val="none"/>
              </w:rPr>
              <w:t>4.21</w:t>
            </w:r>
          </w:p>
        </w:tc>
        <w:tc>
          <w:tcPr>
            <w:tcW w:w="461" w:type="dxa"/>
            <w:shd w:val="clear" w:color="auto" w:fill="auto"/>
            <w:noWrap/>
            <w:vAlign w:val="center"/>
          </w:tcPr>
          <w:p w14:paraId="3D5E9276">
            <w:pPr>
              <w:pStyle w:val="8"/>
              <w:suppressLineNumbers w:val="0"/>
              <w:bidi w:val="0"/>
              <w:spacing w:before="0" w:beforeAutospacing="0" w:after="0" w:afterAutospacing="0"/>
              <w:ind w:left="0" w:right="0"/>
              <w:rPr>
                <w:rFonts w:hint="default"/>
                <w:highlight w:val="none"/>
              </w:rPr>
            </w:pPr>
            <w:r>
              <w:rPr>
                <w:rFonts w:hint="default"/>
                <w:highlight w:val="none"/>
              </w:rPr>
              <w:t>9.92</w:t>
            </w:r>
          </w:p>
        </w:tc>
        <w:tc>
          <w:tcPr>
            <w:tcW w:w="484" w:type="dxa"/>
            <w:shd w:val="clear" w:color="auto" w:fill="auto"/>
            <w:noWrap/>
            <w:vAlign w:val="center"/>
          </w:tcPr>
          <w:p w14:paraId="44B27B88">
            <w:pPr>
              <w:pStyle w:val="8"/>
              <w:suppressLineNumbers w:val="0"/>
              <w:bidi w:val="0"/>
              <w:spacing w:before="0" w:beforeAutospacing="0" w:after="0" w:afterAutospacing="0"/>
              <w:ind w:left="0" w:right="0"/>
              <w:rPr>
                <w:rFonts w:hint="default"/>
                <w:highlight w:val="none"/>
              </w:rPr>
            </w:pPr>
            <w:r>
              <w:rPr>
                <w:rFonts w:hint="default"/>
                <w:highlight w:val="none"/>
              </w:rPr>
              <w:t>13.18</w:t>
            </w:r>
          </w:p>
        </w:tc>
        <w:tc>
          <w:tcPr>
            <w:tcW w:w="508" w:type="dxa"/>
            <w:shd w:val="clear" w:color="auto" w:fill="auto"/>
            <w:noWrap/>
            <w:vAlign w:val="center"/>
          </w:tcPr>
          <w:p w14:paraId="772484D9">
            <w:pPr>
              <w:pStyle w:val="8"/>
              <w:suppressLineNumbers w:val="0"/>
              <w:bidi w:val="0"/>
              <w:spacing w:before="0" w:beforeAutospacing="0" w:after="0" w:afterAutospacing="0"/>
              <w:ind w:left="0" w:right="0"/>
              <w:rPr>
                <w:rFonts w:hint="default"/>
                <w:highlight w:val="none"/>
              </w:rPr>
            </w:pPr>
            <w:r>
              <w:rPr>
                <w:rFonts w:hint="default"/>
                <w:highlight w:val="none"/>
              </w:rPr>
              <w:t>13.13</w:t>
            </w:r>
          </w:p>
        </w:tc>
        <w:tc>
          <w:tcPr>
            <w:tcW w:w="484" w:type="dxa"/>
            <w:shd w:val="clear" w:color="auto" w:fill="auto"/>
            <w:noWrap/>
            <w:vAlign w:val="center"/>
          </w:tcPr>
          <w:p w14:paraId="7D872D49">
            <w:pPr>
              <w:pStyle w:val="8"/>
              <w:suppressLineNumbers w:val="0"/>
              <w:bidi w:val="0"/>
              <w:spacing w:before="0" w:beforeAutospacing="0" w:after="0" w:afterAutospacing="0"/>
              <w:ind w:left="0" w:right="0"/>
              <w:rPr>
                <w:rFonts w:hint="default"/>
                <w:highlight w:val="none"/>
              </w:rPr>
            </w:pPr>
            <w:r>
              <w:rPr>
                <w:rFonts w:hint="default"/>
                <w:highlight w:val="none"/>
              </w:rPr>
              <w:t>10.87</w:t>
            </w:r>
          </w:p>
        </w:tc>
        <w:tc>
          <w:tcPr>
            <w:tcW w:w="527" w:type="dxa"/>
            <w:shd w:val="clear" w:color="auto" w:fill="auto"/>
            <w:noWrap/>
            <w:vAlign w:val="center"/>
          </w:tcPr>
          <w:p w14:paraId="725122F2">
            <w:pPr>
              <w:pStyle w:val="8"/>
              <w:suppressLineNumbers w:val="0"/>
              <w:bidi w:val="0"/>
              <w:spacing w:before="0" w:beforeAutospacing="0" w:after="0" w:afterAutospacing="0"/>
              <w:ind w:left="0" w:right="0"/>
              <w:rPr>
                <w:rFonts w:hint="default"/>
                <w:highlight w:val="none"/>
              </w:rPr>
            </w:pPr>
            <w:r>
              <w:rPr>
                <w:rFonts w:hint="default"/>
                <w:highlight w:val="none"/>
              </w:rPr>
              <w:t>9.56</w:t>
            </w:r>
          </w:p>
        </w:tc>
        <w:tc>
          <w:tcPr>
            <w:tcW w:w="425" w:type="dxa"/>
            <w:shd w:val="clear" w:color="auto" w:fill="auto"/>
            <w:noWrap/>
            <w:vAlign w:val="center"/>
          </w:tcPr>
          <w:p w14:paraId="3584BB79">
            <w:pPr>
              <w:pStyle w:val="8"/>
              <w:suppressLineNumbers w:val="0"/>
              <w:bidi w:val="0"/>
              <w:spacing w:before="0" w:beforeAutospacing="0" w:after="0" w:afterAutospacing="0"/>
              <w:ind w:left="0" w:right="0"/>
              <w:rPr>
                <w:rFonts w:hint="default"/>
                <w:highlight w:val="none"/>
              </w:rPr>
            </w:pPr>
            <w:r>
              <w:rPr>
                <w:rFonts w:hint="default"/>
                <w:highlight w:val="none"/>
              </w:rPr>
              <w:t>2.85</w:t>
            </w:r>
          </w:p>
        </w:tc>
        <w:tc>
          <w:tcPr>
            <w:tcW w:w="500" w:type="dxa"/>
            <w:shd w:val="clear" w:color="auto" w:fill="auto"/>
            <w:noWrap/>
            <w:vAlign w:val="center"/>
          </w:tcPr>
          <w:p w14:paraId="419C689D">
            <w:pPr>
              <w:pStyle w:val="8"/>
              <w:suppressLineNumbers w:val="0"/>
              <w:bidi w:val="0"/>
              <w:spacing w:before="0" w:beforeAutospacing="0" w:after="0" w:afterAutospacing="0"/>
              <w:ind w:left="0" w:right="0"/>
              <w:rPr>
                <w:rFonts w:hint="default"/>
                <w:highlight w:val="none"/>
              </w:rPr>
            </w:pPr>
            <w:r>
              <w:rPr>
                <w:rFonts w:hint="default"/>
                <w:highlight w:val="none"/>
              </w:rPr>
              <w:t>5.80</w:t>
            </w:r>
          </w:p>
        </w:tc>
        <w:tc>
          <w:tcPr>
            <w:tcW w:w="425" w:type="dxa"/>
            <w:shd w:val="clear" w:color="auto" w:fill="auto"/>
            <w:noWrap/>
            <w:vAlign w:val="center"/>
          </w:tcPr>
          <w:p w14:paraId="23D58D14">
            <w:pPr>
              <w:pStyle w:val="8"/>
              <w:suppressLineNumbers w:val="0"/>
              <w:bidi w:val="0"/>
              <w:spacing w:before="0" w:beforeAutospacing="0" w:after="0" w:afterAutospacing="0"/>
              <w:ind w:left="0" w:right="0"/>
              <w:rPr>
                <w:rFonts w:hint="default"/>
                <w:highlight w:val="none"/>
              </w:rPr>
            </w:pPr>
            <w:r>
              <w:rPr>
                <w:rFonts w:hint="default"/>
                <w:highlight w:val="none"/>
              </w:rPr>
              <w:t>3.58</w:t>
            </w:r>
          </w:p>
        </w:tc>
      </w:tr>
      <w:tr w14:paraId="7C93C8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763" w:type="dxa"/>
            <w:shd w:val="clear" w:color="auto" w:fill="auto"/>
            <w:noWrap/>
            <w:vAlign w:val="center"/>
          </w:tcPr>
          <w:p w14:paraId="1A33ACCA">
            <w:pPr>
              <w:pStyle w:val="8"/>
              <w:suppressLineNumbers w:val="0"/>
              <w:bidi w:val="0"/>
              <w:spacing w:before="0" w:beforeAutospacing="0" w:after="0" w:afterAutospacing="0"/>
              <w:ind w:left="0" w:right="0"/>
              <w:rPr>
                <w:rFonts w:hint="default"/>
                <w:highlight w:val="none"/>
              </w:rPr>
            </w:pPr>
            <w:r>
              <w:rPr>
                <w:rFonts w:hint="default"/>
                <w:highlight w:val="none"/>
              </w:rPr>
              <w:t>夏季</w:t>
            </w:r>
          </w:p>
        </w:tc>
        <w:tc>
          <w:tcPr>
            <w:tcW w:w="424" w:type="dxa"/>
            <w:shd w:val="clear" w:color="auto" w:fill="auto"/>
            <w:noWrap/>
            <w:vAlign w:val="center"/>
          </w:tcPr>
          <w:p w14:paraId="439A37DE">
            <w:pPr>
              <w:pStyle w:val="8"/>
              <w:suppressLineNumbers w:val="0"/>
              <w:bidi w:val="0"/>
              <w:spacing w:before="0" w:beforeAutospacing="0" w:after="0" w:afterAutospacing="0"/>
              <w:ind w:left="0" w:right="0"/>
              <w:rPr>
                <w:rFonts w:hint="default"/>
                <w:highlight w:val="none"/>
              </w:rPr>
            </w:pPr>
            <w:r>
              <w:rPr>
                <w:rFonts w:hint="default"/>
                <w:highlight w:val="none"/>
              </w:rPr>
              <w:t>3.76</w:t>
            </w:r>
          </w:p>
        </w:tc>
        <w:tc>
          <w:tcPr>
            <w:tcW w:w="461" w:type="dxa"/>
            <w:shd w:val="clear" w:color="auto" w:fill="auto"/>
            <w:noWrap/>
            <w:vAlign w:val="center"/>
          </w:tcPr>
          <w:p w14:paraId="2B89FE7E">
            <w:pPr>
              <w:pStyle w:val="8"/>
              <w:suppressLineNumbers w:val="0"/>
              <w:bidi w:val="0"/>
              <w:spacing w:before="0" w:beforeAutospacing="0" w:after="0" w:afterAutospacing="0"/>
              <w:ind w:left="0" w:right="0"/>
              <w:rPr>
                <w:rFonts w:hint="default"/>
                <w:highlight w:val="none"/>
              </w:rPr>
            </w:pPr>
            <w:r>
              <w:rPr>
                <w:rFonts w:hint="default"/>
                <w:highlight w:val="none"/>
              </w:rPr>
              <w:t>3.58</w:t>
            </w:r>
          </w:p>
        </w:tc>
        <w:tc>
          <w:tcPr>
            <w:tcW w:w="425" w:type="dxa"/>
            <w:shd w:val="clear" w:color="auto" w:fill="auto"/>
            <w:noWrap/>
            <w:vAlign w:val="center"/>
          </w:tcPr>
          <w:p w14:paraId="7D28FCBF">
            <w:pPr>
              <w:pStyle w:val="8"/>
              <w:suppressLineNumbers w:val="0"/>
              <w:bidi w:val="0"/>
              <w:spacing w:before="0" w:beforeAutospacing="0" w:after="0" w:afterAutospacing="0"/>
              <w:ind w:left="0" w:right="0"/>
              <w:rPr>
                <w:rFonts w:hint="default"/>
                <w:highlight w:val="none"/>
              </w:rPr>
            </w:pPr>
            <w:r>
              <w:rPr>
                <w:rFonts w:hint="default"/>
                <w:highlight w:val="none"/>
              </w:rPr>
              <w:t>3.58</w:t>
            </w:r>
          </w:p>
        </w:tc>
        <w:tc>
          <w:tcPr>
            <w:tcW w:w="448" w:type="dxa"/>
            <w:shd w:val="clear" w:color="auto" w:fill="auto"/>
            <w:noWrap/>
            <w:vAlign w:val="center"/>
          </w:tcPr>
          <w:p w14:paraId="2985064E">
            <w:pPr>
              <w:pStyle w:val="8"/>
              <w:suppressLineNumbers w:val="0"/>
              <w:bidi w:val="0"/>
              <w:spacing w:before="0" w:beforeAutospacing="0" w:after="0" w:afterAutospacing="0"/>
              <w:ind w:left="0" w:right="0"/>
              <w:rPr>
                <w:rFonts w:hint="default"/>
                <w:highlight w:val="none"/>
              </w:rPr>
            </w:pPr>
            <w:r>
              <w:rPr>
                <w:rFonts w:hint="default"/>
                <w:highlight w:val="none"/>
              </w:rPr>
              <w:t>6.61</w:t>
            </w:r>
          </w:p>
        </w:tc>
        <w:tc>
          <w:tcPr>
            <w:tcW w:w="484" w:type="dxa"/>
            <w:shd w:val="clear" w:color="auto" w:fill="auto"/>
            <w:noWrap/>
            <w:vAlign w:val="center"/>
          </w:tcPr>
          <w:p w14:paraId="5B02DBCD">
            <w:pPr>
              <w:pStyle w:val="8"/>
              <w:suppressLineNumbers w:val="0"/>
              <w:bidi w:val="0"/>
              <w:spacing w:before="0" w:beforeAutospacing="0" w:after="0" w:afterAutospacing="0"/>
              <w:ind w:left="0" w:right="0"/>
              <w:rPr>
                <w:rFonts w:hint="default"/>
                <w:highlight w:val="none"/>
              </w:rPr>
            </w:pPr>
            <w:r>
              <w:rPr>
                <w:rFonts w:hint="default"/>
                <w:highlight w:val="none"/>
              </w:rPr>
              <w:t>13.13</w:t>
            </w:r>
          </w:p>
        </w:tc>
        <w:tc>
          <w:tcPr>
            <w:tcW w:w="428" w:type="dxa"/>
            <w:shd w:val="clear" w:color="auto" w:fill="auto"/>
            <w:noWrap/>
            <w:vAlign w:val="center"/>
          </w:tcPr>
          <w:p w14:paraId="03C041E3">
            <w:pPr>
              <w:pStyle w:val="8"/>
              <w:suppressLineNumbers w:val="0"/>
              <w:bidi w:val="0"/>
              <w:spacing w:before="0" w:beforeAutospacing="0" w:after="0" w:afterAutospacing="0"/>
              <w:ind w:left="0" w:right="0"/>
              <w:rPr>
                <w:rFonts w:hint="default"/>
                <w:highlight w:val="none"/>
              </w:rPr>
            </w:pPr>
            <w:r>
              <w:rPr>
                <w:rFonts w:hint="default"/>
                <w:highlight w:val="none"/>
              </w:rPr>
              <w:t>5.57</w:t>
            </w:r>
          </w:p>
        </w:tc>
        <w:tc>
          <w:tcPr>
            <w:tcW w:w="425" w:type="dxa"/>
            <w:shd w:val="clear" w:color="auto" w:fill="auto"/>
            <w:noWrap/>
            <w:vAlign w:val="center"/>
          </w:tcPr>
          <w:p w14:paraId="27070557">
            <w:pPr>
              <w:pStyle w:val="8"/>
              <w:suppressLineNumbers w:val="0"/>
              <w:bidi w:val="0"/>
              <w:spacing w:before="0" w:beforeAutospacing="0" w:after="0" w:afterAutospacing="0"/>
              <w:ind w:left="0" w:right="0"/>
              <w:rPr>
                <w:rFonts w:hint="default"/>
                <w:highlight w:val="none"/>
              </w:rPr>
            </w:pPr>
            <w:r>
              <w:rPr>
                <w:rFonts w:hint="default"/>
                <w:highlight w:val="none"/>
              </w:rPr>
              <w:t>5.80</w:t>
            </w:r>
          </w:p>
        </w:tc>
        <w:tc>
          <w:tcPr>
            <w:tcW w:w="425" w:type="dxa"/>
            <w:shd w:val="clear" w:color="auto" w:fill="auto"/>
            <w:noWrap/>
            <w:vAlign w:val="center"/>
          </w:tcPr>
          <w:p w14:paraId="69299259">
            <w:pPr>
              <w:pStyle w:val="8"/>
              <w:suppressLineNumbers w:val="0"/>
              <w:bidi w:val="0"/>
              <w:spacing w:before="0" w:beforeAutospacing="0" w:after="0" w:afterAutospacing="0"/>
              <w:ind w:left="0" w:right="0"/>
              <w:rPr>
                <w:rFonts w:hint="default"/>
                <w:highlight w:val="none"/>
              </w:rPr>
            </w:pPr>
            <w:r>
              <w:rPr>
                <w:rFonts w:hint="default"/>
                <w:highlight w:val="none"/>
              </w:rPr>
              <w:t>4.66</w:t>
            </w:r>
          </w:p>
        </w:tc>
        <w:tc>
          <w:tcPr>
            <w:tcW w:w="425" w:type="dxa"/>
            <w:shd w:val="clear" w:color="auto" w:fill="auto"/>
            <w:noWrap/>
            <w:vAlign w:val="center"/>
          </w:tcPr>
          <w:p w14:paraId="62D30C33">
            <w:pPr>
              <w:pStyle w:val="8"/>
              <w:suppressLineNumbers w:val="0"/>
              <w:bidi w:val="0"/>
              <w:spacing w:before="0" w:beforeAutospacing="0" w:after="0" w:afterAutospacing="0"/>
              <w:ind w:left="0" w:right="0"/>
              <w:rPr>
                <w:rFonts w:hint="default"/>
                <w:highlight w:val="none"/>
              </w:rPr>
            </w:pPr>
            <w:r>
              <w:rPr>
                <w:rFonts w:hint="default"/>
                <w:highlight w:val="none"/>
              </w:rPr>
              <w:t>6.34</w:t>
            </w:r>
          </w:p>
        </w:tc>
        <w:tc>
          <w:tcPr>
            <w:tcW w:w="461" w:type="dxa"/>
            <w:shd w:val="clear" w:color="auto" w:fill="auto"/>
            <w:noWrap/>
            <w:vAlign w:val="center"/>
          </w:tcPr>
          <w:p w14:paraId="0FCD35E0">
            <w:pPr>
              <w:pStyle w:val="8"/>
              <w:suppressLineNumbers w:val="0"/>
              <w:bidi w:val="0"/>
              <w:spacing w:before="0" w:beforeAutospacing="0" w:after="0" w:afterAutospacing="0"/>
              <w:ind w:left="0" w:right="0"/>
              <w:rPr>
                <w:rFonts w:hint="default"/>
                <w:highlight w:val="none"/>
              </w:rPr>
            </w:pPr>
            <w:r>
              <w:rPr>
                <w:rFonts w:hint="default"/>
                <w:highlight w:val="none"/>
              </w:rPr>
              <w:t>8.47</w:t>
            </w:r>
          </w:p>
        </w:tc>
        <w:tc>
          <w:tcPr>
            <w:tcW w:w="484" w:type="dxa"/>
            <w:shd w:val="clear" w:color="auto" w:fill="auto"/>
            <w:noWrap/>
            <w:vAlign w:val="center"/>
          </w:tcPr>
          <w:p w14:paraId="3A83D242">
            <w:pPr>
              <w:pStyle w:val="8"/>
              <w:suppressLineNumbers w:val="0"/>
              <w:bidi w:val="0"/>
              <w:spacing w:before="0" w:beforeAutospacing="0" w:after="0" w:afterAutospacing="0"/>
              <w:ind w:left="0" w:right="0"/>
              <w:rPr>
                <w:rFonts w:hint="default"/>
                <w:highlight w:val="none"/>
              </w:rPr>
            </w:pPr>
            <w:r>
              <w:rPr>
                <w:rFonts w:hint="default"/>
                <w:highlight w:val="none"/>
              </w:rPr>
              <w:t>10.14</w:t>
            </w:r>
          </w:p>
        </w:tc>
        <w:tc>
          <w:tcPr>
            <w:tcW w:w="508" w:type="dxa"/>
            <w:shd w:val="clear" w:color="auto" w:fill="auto"/>
            <w:noWrap/>
            <w:vAlign w:val="center"/>
          </w:tcPr>
          <w:p w14:paraId="570C51C3">
            <w:pPr>
              <w:pStyle w:val="8"/>
              <w:suppressLineNumbers w:val="0"/>
              <w:bidi w:val="0"/>
              <w:spacing w:before="0" w:beforeAutospacing="0" w:after="0" w:afterAutospacing="0"/>
              <w:ind w:left="0" w:right="0"/>
              <w:rPr>
                <w:rFonts w:hint="default"/>
                <w:highlight w:val="none"/>
              </w:rPr>
            </w:pPr>
            <w:r>
              <w:rPr>
                <w:rFonts w:hint="default"/>
                <w:highlight w:val="none"/>
              </w:rPr>
              <w:t>11.73</w:t>
            </w:r>
          </w:p>
        </w:tc>
        <w:tc>
          <w:tcPr>
            <w:tcW w:w="484" w:type="dxa"/>
            <w:shd w:val="clear" w:color="auto" w:fill="auto"/>
            <w:noWrap/>
            <w:vAlign w:val="center"/>
          </w:tcPr>
          <w:p w14:paraId="72DB43BD">
            <w:pPr>
              <w:pStyle w:val="8"/>
              <w:suppressLineNumbers w:val="0"/>
              <w:bidi w:val="0"/>
              <w:spacing w:before="0" w:beforeAutospacing="0" w:after="0" w:afterAutospacing="0"/>
              <w:ind w:left="0" w:right="0"/>
              <w:rPr>
                <w:rFonts w:hint="default"/>
                <w:highlight w:val="none"/>
              </w:rPr>
            </w:pPr>
            <w:r>
              <w:rPr>
                <w:rFonts w:hint="default"/>
                <w:highlight w:val="none"/>
              </w:rPr>
              <w:t>7.74</w:t>
            </w:r>
          </w:p>
        </w:tc>
        <w:tc>
          <w:tcPr>
            <w:tcW w:w="527" w:type="dxa"/>
            <w:shd w:val="clear" w:color="auto" w:fill="auto"/>
            <w:noWrap/>
            <w:vAlign w:val="center"/>
          </w:tcPr>
          <w:p w14:paraId="269FA1C1">
            <w:pPr>
              <w:pStyle w:val="8"/>
              <w:suppressLineNumbers w:val="0"/>
              <w:bidi w:val="0"/>
              <w:spacing w:before="0" w:beforeAutospacing="0" w:after="0" w:afterAutospacing="0"/>
              <w:ind w:left="0" w:right="0"/>
              <w:rPr>
                <w:rFonts w:hint="default"/>
                <w:highlight w:val="none"/>
              </w:rPr>
            </w:pPr>
            <w:r>
              <w:rPr>
                <w:rFonts w:hint="default"/>
                <w:highlight w:val="none"/>
              </w:rPr>
              <w:t>2.63</w:t>
            </w:r>
          </w:p>
        </w:tc>
        <w:tc>
          <w:tcPr>
            <w:tcW w:w="425" w:type="dxa"/>
            <w:shd w:val="clear" w:color="auto" w:fill="auto"/>
            <w:noWrap/>
            <w:vAlign w:val="center"/>
          </w:tcPr>
          <w:p w14:paraId="44587268">
            <w:pPr>
              <w:pStyle w:val="8"/>
              <w:suppressLineNumbers w:val="0"/>
              <w:bidi w:val="0"/>
              <w:spacing w:before="0" w:beforeAutospacing="0" w:after="0" w:afterAutospacing="0"/>
              <w:ind w:left="0" w:right="0"/>
              <w:rPr>
                <w:rFonts w:hint="default"/>
                <w:highlight w:val="none"/>
              </w:rPr>
            </w:pPr>
            <w:r>
              <w:rPr>
                <w:rFonts w:hint="default"/>
                <w:highlight w:val="none"/>
              </w:rPr>
              <w:t>0.86</w:t>
            </w:r>
          </w:p>
        </w:tc>
        <w:tc>
          <w:tcPr>
            <w:tcW w:w="500" w:type="dxa"/>
            <w:shd w:val="clear" w:color="auto" w:fill="auto"/>
            <w:noWrap/>
            <w:vAlign w:val="center"/>
          </w:tcPr>
          <w:p w14:paraId="3E7D1F17">
            <w:pPr>
              <w:pStyle w:val="8"/>
              <w:suppressLineNumbers w:val="0"/>
              <w:bidi w:val="0"/>
              <w:spacing w:before="0" w:beforeAutospacing="0" w:after="0" w:afterAutospacing="0"/>
              <w:ind w:left="0" w:right="0"/>
              <w:rPr>
                <w:rFonts w:hint="default"/>
                <w:highlight w:val="none"/>
              </w:rPr>
            </w:pPr>
            <w:r>
              <w:rPr>
                <w:rFonts w:hint="default"/>
                <w:highlight w:val="none"/>
              </w:rPr>
              <w:t>2.45</w:t>
            </w:r>
          </w:p>
        </w:tc>
        <w:tc>
          <w:tcPr>
            <w:tcW w:w="425" w:type="dxa"/>
            <w:shd w:val="clear" w:color="auto" w:fill="auto"/>
            <w:noWrap/>
            <w:vAlign w:val="center"/>
          </w:tcPr>
          <w:p w14:paraId="5061ADC3">
            <w:pPr>
              <w:pStyle w:val="8"/>
              <w:suppressLineNumbers w:val="0"/>
              <w:bidi w:val="0"/>
              <w:spacing w:before="0" w:beforeAutospacing="0" w:after="0" w:afterAutospacing="0"/>
              <w:ind w:left="0" w:right="0"/>
              <w:rPr>
                <w:rFonts w:hint="default"/>
                <w:highlight w:val="none"/>
              </w:rPr>
            </w:pPr>
            <w:r>
              <w:rPr>
                <w:rFonts w:hint="default"/>
                <w:highlight w:val="none"/>
              </w:rPr>
              <w:t>2.94</w:t>
            </w:r>
          </w:p>
        </w:tc>
      </w:tr>
      <w:tr w14:paraId="380BD4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6" w:hRule="atLeast"/>
          <w:jc w:val="center"/>
        </w:trPr>
        <w:tc>
          <w:tcPr>
            <w:tcW w:w="763" w:type="dxa"/>
            <w:shd w:val="clear" w:color="auto" w:fill="auto"/>
            <w:noWrap/>
            <w:vAlign w:val="center"/>
          </w:tcPr>
          <w:p w14:paraId="07DC40F6">
            <w:pPr>
              <w:pStyle w:val="8"/>
              <w:suppressLineNumbers w:val="0"/>
              <w:bidi w:val="0"/>
              <w:spacing w:before="0" w:beforeAutospacing="0" w:after="0" w:afterAutospacing="0"/>
              <w:ind w:left="0" w:right="0"/>
              <w:rPr>
                <w:rFonts w:hint="default"/>
                <w:highlight w:val="none"/>
              </w:rPr>
            </w:pPr>
            <w:r>
              <w:rPr>
                <w:rFonts w:hint="default"/>
                <w:highlight w:val="none"/>
              </w:rPr>
              <w:t>秋季</w:t>
            </w:r>
          </w:p>
        </w:tc>
        <w:tc>
          <w:tcPr>
            <w:tcW w:w="424" w:type="dxa"/>
            <w:shd w:val="clear" w:color="auto" w:fill="auto"/>
            <w:noWrap/>
            <w:vAlign w:val="center"/>
          </w:tcPr>
          <w:p w14:paraId="5D864AB5">
            <w:pPr>
              <w:pStyle w:val="8"/>
              <w:suppressLineNumbers w:val="0"/>
              <w:bidi w:val="0"/>
              <w:spacing w:before="0" w:beforeAutospacing="0" w:after="0" w:afterAutospacing="0"/>
              <w:ind w:left="0" w:right="0"/>
              <w:rPr>
                <w:rFonts w:hint="default"/>
                <w:highlight w:val="none"/>
              </w:rPr>
            </w:pPr>
            <w:r>
              <w:rPr>
                <w:rFonts w:hint="default"/>
                <w:highlight w:val="none"/>
              </w:rPr>
              <w:t>6.59</w:t>
            </w:r>
          </w:p>
        </w:tc>
        <w:tc>
          <w:tcPr>
            <w:tcW w:w="461" w:type="dxa"/>
            <w:shd w:val="clear" w:color="auto" w:fill="auto"/>
            <w:noWrap/>
            <w:vAlign w:val="center"/>
          </w:tcPr>
          <w:p w14:paraId="0DE8B0EC">
            <w:pPr>
              <w:pStyle w:val="8"/>
              <w:suppressLineNumbers w:val="0"/>
              <w:bidi w:val="0"/>
              <w:spacing w:before="0" w:beforeAutospacing="0" w:after="0" w:afterAutospacing="0"/>
              <w:ind w:left="0" w:right="0"/>
              <w:rPr>
                <w:rFonts w:hint="default"/>
                <w:highlight w:val="none"/>
              </w:rPr>
            </w:pPr>
            <w:r>
              <w:rPr>
                <w:rFonts w:hint="default"/>
                <w:highlight w:val="none"/>
              </w:rPr>
              <w:t>4.21</w:t>
            </w:r>
          </w:p>
        </w:tc>
        <w:tc>
          <w:tcPr>
            <w:tcW w:w="425" w:type="dxa"/>
            <w:shd w:val="clear" w:color="auto" w:fill="auto"/>
            <w:noWrap/>
            <w:vAlign w:val="center"/>
          </w:tcPr>
          <w:p w14:paraId="3C1FCC97">
            <w:pPr>
              <w:pStyle w:val="8"/>
              <w:suppressLineNumbers w:val="0"/>
              <w:bidi w:val="0"/>
              <w:spacing w:before="0" w:beforeAutospacing="0" w:after="0" w:afterAutospacing="0"/>
              <w:ind w:left="0" w:right="0"/>
              <w:rPr>
                <w:rFonts w:hint="default"/>
                <w:highlight w:val="none"/>
              </w:rPr>
            </w:pPr>
            <w:r>
              <w:rPr>
                <w:rFonts w:hint="default"/>
                <w:highlight w:val="none"/>
              </w:rPr>
              <w:t>2.43</w:t>
            </w:r>
          </w:p>
        </w:tc>
        <w:tc>
          <w:tcPr>
            <w:tcW w:w="448" w:type="dxa"/>
            <w:shd w:val="clear" w:color="auto" w:fill="auto"/>
            <w:noWrap/>
            <w:vAlign w:val="center"/>
          </w:tcPr>
          <w:p w14:paraId="2CB35F93">
            <w:pPr>
              <w:pStyle w:val="8"/>
              <w:suppressLineNumbers w:val="0"/>
              <w:bidi w:val="0"/>
              <w:spacing w:before="0" w:beforeAutospacing="0" w:after="0" w:afterAutospacing="0"/>
              <w:ind w:left="0" w:right="0"/>
              <w:rPr>
                <w:rFonts w:hint="default"/>
                <w:highlight w:val="none"/>
              </w:rPr>
            </w:pPr>
            <w:r>
              <w:rPr>
                <w:rFonts w:hint="default"/>
                <w:highlight w:val="none"/>
              </w:rPr>
              <w:t>2.79</w:t>
            </w:r>
          </w:p>
        </w:tc>
        <w:tc>
          <w:tcPr>
            <w:tcW w:w="484" w:type="dxa"/>
            <w:shd w:val="clear" w:color="auto" w:fill="auto"/>
            <w:noWrap/>
            <w:vAlign w:val="center"/>
          </w:tcPr>
          <w:p w14:paraId="250E3833">
            <w:pPr>
              <w:pStyle w:val="8"/>
              <w:suppressLineNumbers w:val="0"/>
              <w:bidi w:val="0"/>
              <w:spacing w:before="0" w:beforeAutospacing="0" w:after="0" w:afterAutospacing="0"/>
              <w:ind w:left="0" w:right="0"/>
              <w:rPr>
                <w:rFonts w:hint="default"/>
                <w:highlight w:val="none"/>
              </w:rPr>
            </w:pPr>
            <w:r>
              <w:rPr>
                <w:rFonts w:hint="default"/>
                <w:highlight w:val="none"/>
              </w:rPr>
              <w:t>4.90</w:t>
            </w:r>
          </w:p>
        </w:tc>
        <w:tc>
          <w:tcPr>
            <w:tcW w:w="428" w:type="dxa"/>
            <w:shd w:val="clear" w:color="auto" w:fill="auto"/>
            <w:noWrap/>
            <w:vAlign w:val="center"/>
          </w:tcPr>
          <w:p w14:paraId="13518D87">
            <w:pPr>
              <w:pStyle w:val="8"/>
              <w:suppressLineNumbers w:val="0"/>
              <w:bidi w:val="0"/>
              <w:spacing w:before="0" w:beforeAutospacing="0" w:after="0" w:afterAutospacing="0"/>
              <w:ind w:left="0" w:right="0"/>
              <w:rPr>
                <w:rFonts w:hint="default"/>
                <w:highlight w:val="none"/>
              </w:rPr>
            </w:pPr>
            <w:r>
              <w:rPr>
                <w:rFonts w:hint="default"/>
                <w:highlight w:val="none"/>
              </w:rPr>
              <w:t>2.93</w:t>
            </w:r>
          </w:p>
        </w:tc>
        <w:tc>
          <w:tcPr>
            <w:tcW w:w="425" w:type="dxa"/>
            <w:shd w:val="clear" w:color="auto" w:fill="auto"/>
            <w:noWrap/>
            <w:vAlign w:val="center"/>
          </w:tcPr>
          <w:p w14:paraId="3E711E9E">
            <w:pPr>
              <w:pStyle w:val="8"/>
              <w:suppressLineNumbers w:val="0"/>
              <w:bidi w:val="0"/>
              <w:spacing w:before="0" w:beforeAutospacing="0" w:after="0" w:afterAutospacing="0"/>
              <w:ind w:left="0" w:right="0"/>
              <w:rPr>
                <w:rFonts w:hint="default"/>
                <w:highlight w:val="none"/>
              </w:rPr>
            </w:pPr>
            <w:r>
              <w:rPr>
                <w:rFonts w:hint="default"/>
                <w:highlight w:val="none"/>
              </w:rPr>
              <w:t>2.38</w:t>
            </w:r>
          </w:p>
        </w:tc>
        <w:tc>
          <w:tcPr>
            <w:tcW w:w="425" w:type="dxa"/>
            <w:shd w:val="clear" w:color="auto" w:fill="auto"/>
            <w:noWrap/>
            <w:vAlign w:val="center"/>
          </w:tcPr>
          <w:p w14:paraId="6C9D6F3A">
            <w:pPr>
              <w:pStyle w:val="8"/>
              <w:suppressLineNumbers w:val="0"/>
              <w:bidi w:val="0"/>
              <w:spacing w:before="0" w:beforeAutospacing="0" w:after="0" w:afterAutospacing="0"/>
              <w:ind w:left="0" w:right="0"/>
              <w:rPr>
                <w:rFonts w:hint="default"/>
                <w:highlight w:val="none"/>
              </w:rPr>
            </w:pPr>
            <w:r>
              <w:rPr>
                <w:rFonts w:hint="default"/>
                <w:highlight w:val="none"/>
              </w:rPr>
              <w:t>3.34</w:t>
            </w:r>
          </w:p>
        </w:tc>
        <w:tc>
          <w:tcPr>
            <w:tcW w:w="425" w:type="dxa"/>
            <w:shd w:val="clear" w:color="auto" w:fill="auto"/>
            <w:noWrap/>
            <w:vAlign w:val="center"/>
          </w:tcPr>
          <w:p w14:paraId="765DDECE">
            <w:pPr>
              <w:pStyle w:val="8"/>
              <w:suppressLineNumbers w:val="0"/>
              <w:bidi w:val="0"/>
              <w:spacing w:before="0" w:beforeAutospacing="0" w:after="0" w:afterAutospacing="0"/>
              <w:ind w:left="0" w:right="0"/>
              <w:rPr>
                <w:rFonts w:hint="default"/>
                <w:highlight w:val="none"/>
              </w:rPr>
            </w:pPr>
            <w:r>
              <w:rPr>
                <w:rFonts w:hint="default"/>
                <w:highlight w:val="none"/>
              </w:rPr>
              <w:t>6.41</w:t>
            </w:r>
          </w:p>
        </w:tc>
        <w:tc>
          <w:tcPr>
            <w:tcW w:w="461" w:type="dxa"/>
            <w:shd w:val="clear" w:color="auto" w:fill="auto"/>
            <w:noWrap/>
            <w:vAlign w:val="center"/>
          </w:tcPr>
          <w:p w14:paraId="5B1C31B5">
            <w:pPr>
              <w:pStyle w:val="8"/>
              <w:suppressLineNumbers w:val="0"/>
              <w:bidi w:val="0"/>
              <w:spacing w:before="0" w:beforeAutospacing="0" w:after="0" w:afterAutospacing="0"/>
              <w:ind w:left="0" w:right="0"/>
              <w:rPr>
                <w:rFonts w:hint="default"/>
                <w:highlight w:val="none"/>
              </w:rPr>
            </w:pPr>
            <w:r>
              <w:rPr>
                <w:rFonts w:hint="default"/>
                <w:highlight w:val="none"/>
              </w:rPr>
              <w:t>9.34</w:t>
            </w:r>
          </w:p>
        </w:tc>
        <w:tc>
          <w:tcPr>
            <w:tcW w:w="484" w:type="dxa"/>
            <w:shd w:val="clear" w:color="auto" w:fill="auto"/>
            <w:noWrap/>
            <w:vAlign w:val="center"/>
          </w:tcPr>
          <w:p w14:paraId="4B963956">
            <w:pPr>
              <w:pStyle w:val="8"/>
              <w:suppressLineNumbers w:val="0"/>
              <w:bidi w:val="0"/>
              <w:spacing w:before="0" w:beforeAutospacing="0" w:after="0" w:afterAutospacing="0"/>
              <w:ind w:left="0" w:right="0"/>
              <w:rPr>
                <w:rFonts w:hint="default"/>
                <w:highlight w:val="none"/>
              </w:rPr>
            </w:pPr>
            <w:r>
              <w:rPr>
                <w:rFonts w:hint="default"/>
                <w:highlight w:val="none"/>
              </w:rPr>
              <w:t>10.03</w:t>
            </w:r>
          </w:p>
        </w:tc>
        <w:tc>
          <w:tcPr>
            <w:tcW w:w="508" w:type="dxa"/>
            <w:shd w:val="clear" w:color="auto" w:fill="auto"/>
            <w:noWrap/>
            <w:vAlign w:val="center"/>
          </w:tcPr>
          <w:p w14:paraId="7788952F">
            <w:pPr>
              <w:pStyle w:val="8"/>
              <w:suppressLineNumbers w:val="0"/>
              <w:bidi w:val="0"/>
              <w:spacing w:before="0" w:beforeAutospacing="0" w:after="0" w:afterAutospacing="0"/>
              <w:ind w:left="0" w:right="0"/>
              <w:rPr>
                <w:rFonts w:hint="default"/>
                <w:highlight w:val="none"/>
              </w:rPr>
            </w:pPr>
            <w:r>
              <w:rPr>
                <w:rFonts w:hint="default"/>
                <w:highlight w:val="none"/>
              </w:rPr>
              <w:t>14.42</w:t>
            </w:r>
          </w:p>
        </w:tc>
        <w:tc>
          <w:tcPr>
            <w:tcW w:w="484" w:type="dxa"/>
            <w:shd w:val="clear" w:color="auto" w:fill="auto"/>
            <w:noWrap/>
            <w:vAlign w:val="center"/>
          </w:tcPr>
          <w:p w14:paraId="55B9924A">
            <w:pPr>
              <w:pStyle w:val="8"/>
              <w:suppressLineNumbers w:val="0"/>
              <w:bidi w:val="0"/>
              <w:spacing w:before="0" w:beforeAutospacing="0" w:after="0" w:afterAutospacing="0"/>
              <w:ind w:left="0" w:right="0"/>
              <w:rPr>
                <w:rFonts w:hint="default"/>
                <w:highlight w:val="none"/>
              </w:rPr>
            </w:pPr>
            <w:r>
              <w:rPr>
                <w:rFonts w:hint="default"/>
                <w:highlight w:val="none"/>
              </w:rPr>
              <w:t>14.01</w:t>
            </w:r>
          </w:p>
        </w:tc>
        <w:tc>
          <w:tcPr>
            <w:tcW w:w="527" w:type="dxa"/>
            <w:shd w:val="clear" w:color="auto" w:fill="auto"/>
            <w:noWrap/>
            <w:vAlign w:val="center"/>
          </w:tcPr>
          <w:p w14:paraId="3AF8C90F">
            <w:pPr>
              <w:pStyle w:val="8"/>
              <w:suppressLineNumbers w:val="0"/>
              <w:bidi w:val="0"/>
              <w:spacing w:before="0" w:beforeAutospacing="0" w:after="0" w:afterAutospacing="0"/>
              <w:ind w:left="0" w:right="0"/>
              <w:rPr>
                <w:rFonts w:hint="default"/>
                <w:highlight w:val="none"/>
              </w:rPr>
            </w:pPr>
            <w:r>
              <w:rPr>
                <w:rFonts w:hint="default"/>
                <w:highlight w:val="none"/>
              </w:rPr>
              <w:t>4.95</w:t>
            </w:r>
          </w:p>
        </w:tc>
        <w:tc>
          <w:tcPr>
            <w:tcW w:w="425" w:type="dxa"/>
            <w:shd w:val="clear" w:color="auto" w:fill="auto"/>
            <w:noWrap/>
            <w:vAlign w:val="center"/>
          </w:tcPr>
          <w:p w14:paraId="5FE0FE7F">
            <w:pPr>
              <w:pStyle w:val="8"/>
              <w:suppressLineNumbers w:val="0"/>
              <w:bidi w:val="0"/>
              <w:spacing w:before="0" w:beforeAutospacing="0" w:after="0" w:afterAutospacing="0"/>
              <w:ind w:left="0" w:right="0"/>
              <w:rPr>
                <w:rFonts w:hint="default"/>
                <w:highlight w:val="none"/>
              </w:rPr>
            </w:pPr>
            <w:r>
              <w:rPr>
                <w:rFonts w:hint="default"/>
                <w:highlight w:val="none"/>
              </w:rPr>
              <w:t>1.65</w:t>
            </w:r>
          </w:p>
        </w:tc>
        <w:tc>
          <w:tcPr>
            <w:tcW w:w="500" w:type="dxa"/>
            <w:shd w:val="clear" w:color="auto" w:fill="auto"/>
            <w:noWrap/>
            <w:vAlign w:val="center"/>
          </w:tcPr>
          <w:p w14:paraId="1CC0861D">
            <w:pPr>
              <w:pStyle w:val="8"/>
              <w:suppressLineNumbers w:val="0"/>
              <w:bidi w:val="0"/>
              <w:spacing w:before="0" w:beforeAutospacing="0" w:after="0" w:afterAutospacing="0"/>
              <w:ind w:left="0" w:right="0"/>
              <w:rPr>
                <w:rFonts w:hint="default"/>
                <w:highlight w:val="none"/>
              </w:rPr>
            </w:pPr>
            <w:r>
              <w:rPr>
                <w:rFonts w:hint="default"/>
                <w:highlight w:val="none"/>
              </w:rPr>
              <w:t>6.18</w:t>
            </w:r>
          </w:p>
        </w:tc>
        <w:tc>
          <w:tcPr>
            <w:tcW w:w="425" w:type="dxa"/>
            <w:shd w:val="clear" w:color="auto" w:fill="auto"/>
            <w:noWrap/>
            <w:vAlign w:val="center"/>
          </w:tcPr>
          <w:p w14:paraId="00210E95">
            <w:pPr>
              <w:pStyle w:val="8"/>
              <w:suppressLineNumbers w:val="0"/>
              <w:bidi w:val="0"/>
              <w:spacing w:before="0" w:beforeAutospacing="0" w:after="0" w:afterAutospacing="0"/>
              <w:ind w:left="0" w:right="0"/>
              <w:rPr>
                <w:rFonts w:hint="default"/>
                <w:highlight w:val="none"/>
              </w:rPr>
            </w:pPr>
            <w:r>
              <w:rPr>
                <w:rFonts w:hint="default"/>
                <w:highlight w:val="none"/>
              </w:rPr>
              <w:t>3.43</w:t>
            </w:r>
          </w:p>
        </w:tc>
      </w:tr>
    </w:tbl>
    <w:p w14:paraId="4C1DA273">
      <w:pPr>
        <w:pStyle w:val="8"/>
        <w:bidi w:val="0"/>
        <w:rPr>
          <w:rFonts w:hint="eastAsia"/>
          <w:highlight w:val="none"/>
          <w:lang w:val="en-US" w:eastAsia="zh-CN"/>
        </w:rPr>
      </w:pPr>
    </w:p>
    <w:p w14:paraId="7ADE94F2">
      <w:pPr>
        <w:pStyle w:val="7"/>
        <w:bidi w:val="0"/>
        <w:rPr>
          <w:rFonts w:hint="eastAsia"/>
          <w:highlight w:val="none"/>
          <w:lang w:eastAsia="zh-CN"/>
        </w:rPr>
      </w:pPr>
      <w:r>
        <w:rPr>
          <w:rFonts w:hint="eastAsia"/>
          <w:highlight w:val="none"/>
          <w:lang w:val="en-US" w:eastAsia="zh-CN"/>
        </w:rPr>
        <w:t>续</w:t>
      </w:r>
      <w:r>
        <w:rPr>
          <w:highlight w:val="none"/>
        </w:rPr>
        <w:t>表4-1-2</w:t>
      </w:r>
      <w:r>
        <w:rPr>
          <w:rFonts w:hint="eastAsia"/>
          <w:highlight w:val="none"/>
          <w:lang w:val="en-US" w:eastAsia="zh-CN"/>
        </w:rPr>
        <w:t>近20</w:t>
      </w:r>
      <w:r>
        <w:rPr>
          <w:highlight w:val="none"/>
        </w:rPr>
        <w:t>年年均风频的季变化及年均风频</w:t>
      </w:r>
      <w:r>
        <w:rPr>
          <w:rFonts w:hint="eastAsia"/>
          <w:highlight w:val="none"/>
          <w:lang w:eastAsia="zh-CN"/>
        </w:rPr>
        <w:t>（</w:t>
      </w:r>
      <w:r>
        <w:rPr>
          <w:highlight w:val="none"/>
        </w:rPr>
        <w:t>单位：%</w:t>
      </w:r>
      <w:r>
        <w:rPr>
          <w:rFonts w:hint="eastAsia"/>
          <w:highlight w:val="none"/>
          <w:lang w:eastAsia="zh-CN"/>
        </w:rPr>
        <w:t>）</w:t>
      </w:r>
    </w:p>
    <w:tbl>
      <w:tblPr>
        <w:tblStyle w:val="44"/>
        <w:tblW w:w="852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63"/>
        <w:gridCol w:w="424"/>
        <w:gridCol w:w="461"/>
        <w:gridCol w:w="425"/>
        <w:gridCol w:w="448"/>
        <w:gridCol w:w="484"/>
        <w:gridCol w:w="428"/>
        <w:gridCol w:w="425"/>
        <w:gridCol w:w="425"/>
        <w:gridCol w:w="425"/>
        <w:gridCol w:w="461"/>
        <w:gridCol w:w="484"/>
        <w:gridCol w:w="508"/>
        <w:gridCol w:w="484"/>
        <w:gridCol w:w="527"/>
        <w:gridCol w:w="425"/>
        <w:gridCol w:w="500"/>
        <w:gridCol w:w="425"/>
      </w:tblGrid>
      <w:tr w14:paraId="4B3E60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6" w:hRule="atLeast"/>
          <w:jc w:val="center"/>
        </w:trPr>
        <w:tc>
          <w:tcPr>
            <w:tcW w:w="763" w:type="dxa"/>
            <w:shd w:val="clear" w:color="auto" w:fill="auto"/>
            <w:noWrap/>
            <w:vAlign w:val="center"/>
          </w:tcPr>
          <w:p w14:paraId="120CB08F">
            <w:pPr>
              <w:pStyle w:val="8"/>
              <w:suppressLineNumbers w:val="0"/>
              <w:bidi w:val="0"/>
              <w:spacing w:before="0" w:beforeAutospacing="0" w:after="0" w:afterAutospacing="0"/>
              <w:ind w:left="0" w:right="0"/>
              <w:rPr>
                <w:rFonts w:hint="default"/>
                <w:highlight w:val="none"/>
              </w:rPr>
            </w:pPr>
            <w:r>
              <w:rPr>
                <w:rFonts w:hint="default"/>
                <w:highlight w:val="none"/>
              </w:rPr>
              <w:t>冬季</w:t>
            </w:r>
          </w:p>
        </w:tc>
        <w:tc>
          <w:tcPr>
            <w:tcW w:w="424" w:type="dxa"/>
            <w:shd w:val="clear" w:color="auto" w:fill="auto"/>
            <w:noWrap/>
            <w:vAlign w:val="center"/>
          </w:tcPr>
          <w:p w14:paraId="24CB941E">
            <w:pPr>
              <w:pStyle w:val="8"/>
              <w:suppressLineNumbers w:val="0"/>
              <w:bidi w:val="0"/>
              <w:spacing w:before="0" w:beforeAutospacing="0" w:after="0" w:afterAutospacing="0"/>
              <w:ind w:left="0" w:right="0"/>
              <w:rPr>
                <w:rFonts w:hint="default"/>
                <w:highlight w:val="none"/>
              </w:rPr>
            </w:pPr>
            <w:r>
              <w:rPr>
                <w:rFonts w:hint="default"/>
                <w:highlight w:val="none"/>
              </w:rPr>
              <w:t>2.73</w:t>
            </w:r>
          </w:p>
        </w:tc>
        <w:tc>
          <w:tcPr>
            <w:tcW w:w="461" w:type="dxa"/>
            <w:shd w:val="clear" w:color="auto" w:fill="auto"/>
            <w:noWrap/>
            <w:vAlign w:val="center"/>
          </w:tcPr>
          <w:p w14:paraId="0085B0AF">
            <w:pPr>
              <w:pStyle w:val="8"/>
              <w:suppressLineNumbers w:val="0"/>
              <w:bidi w:val="0"/>
              <w:spacing w:before="0" w:beforeAutospacing="0" w:after="0" w:afterAutospacing="0"/>
              <w:ind w:left="0" w:right="0"/>
              <w:rPr>
                <w:rFonts w:hint="default"/>
                <w:highlight w:val="none"/>
              </w:rPr>
            </w:pPr>
            <w:r>
              <w:rPr>
                <w:rFonts w:hint="default"/>
                <w:highlight w:val="none"/>
              </w:rPr>
              <w:t>2.55</w:t>
            </w:r>
          </w:p>
        </w:tc>
        <w:tc>
          <w:tcPr>
            <w:tcW w:w="425" w:type="dxa"/>
            <w:shd w:val="clear" w:color="auto" w:fill="auto"/>
            <w:noWrap/>
            <w:vAlign w:val="center"/>
          </w:tcPr>
          <w:p w14:paraId="2CD5B1DD">
            <w:pPr>
              <w:pStyle w:val="8"/>
              <w:suppressLineNumbers w:val="0"/>
              <w:bidi w:val="0"/>
              <w:spacing w:before="0" w:beforeAutospacing="0" w:after="0" w:afterAutospacing="0"/>
              <w:ind w:left="0" w:right="0"/>
              <w:rPr>
                <w:rFonts w:hint="default"/>
                <w:highlight w:val="none"/>
              </w:rPr>
            </w:pPr>
            <w:r>
              <w:rPr>
                <w:rFonts w:hint="default"/>
                <w:highlight w:val="none"/>
              </w:rPr>
              <w:t>1.85</w:t>
            </w:r>
          </w:p>
        </w:tc>
        <w:tc>
          <w:tcPr>
            <w:tcW w:w="448" w:type="dxa"/>
            <w:shd w:val="clear" w:color="auto" w:fill="auto"/>
            <w:noWrap/>
            <w:vAlign w:val="center"/>
          </w:tcPr>
          <w:p w14:paraId="4C67691A">
            <w:pPr>
              <w:pStyle w:val="8"/>
              <w:suppressLineNumbers w:val="0"/>
              <w:bidi w:val="0"/>
              <w:spacing w:before="0" w:beforeAutospacing="0" w:after="0" w:afterAutospacing="0"/>
              <w:ind w:left="0" w:right="0"/>
              <w:rPr>
                <w:rFonts w:hint="default"/>
                <w:highlight w:val="none"/>
              </w:rPr>
            </w:pPr>
            <w:r>
              <w:rPr>
                <w:rFonts w:hint="default"/>
                <w:highlight w:val="none"/>
              </w:rPr>
              <w:t>1.67</w:t>
            </w:r>
          </w:p>
        </w:tc>
        <w:tc>
          <w:tcPr>
            <w:tcW w:w="484" w:type="dxa"/>
            <w:shd w:val="clear" w:color="auto" w:fill="auto"/>
            <w:noWrap/>
            <w:vAlign w:val="center"/>
          </w:tcPr>
          <w:p w14:paraId="19F3D0BE">
            <w:pPr>
              <w:pStyle w:val="8"/>
              <w:suppressLineNumbers w:val="0"/>
              <w:bidi w:val="0"/>
              <w:spacing w:before="0" w:beforeAutospacing="0" w:after="0" w:afterAutospacing="0"/>
              <w:ind w:left="0" w:right="0"/>
              <w:rPr>
                <w:rFonts w:hint="default"/>
                <w:highlight w:val="none"/>
              </w:rPr>
            </w:pPr>
            <w:r>
              <w:rPr>
                <w:rFonts w:hint="default"/>
                <w:highlight w:val="none"/>
              </w:rPr>
              <w:t>3.43</w:t>
            </w:r>
          </w:p>
        </w:tc>
        <w:tc>
          <w:tcPr>
            <w:tcW w:w="428" w:type="dxa"/>
            <w:shd w:val="clear" w:color="auto" w:fill="auto"/>
            <w:noWrap/>
            <w:vAlign w:val="center"/>
          </w:tcPr>
          <w:p w14:paraId="0FB60D09">
            <w:pPr>
              <w:pStyle w:val="8"/>
              <w:suppressLineNumbers w:val="0"/>
              <w:bidi w:val="0"/>
              <w:spacing w:before="0" w:beforeAutospacing="0" w:after="0" w:afterAutospacing="0"/>
              <w:ind w:left="0" w:right="0"/>
              <w:rPr>
                <w:rFonts w:hint="default"/>
                <w:highlight w:val="none"/>
              </w:rPr>
            </w:pPr>
            <w:r>
              <w:rPr>
                <w:rFonts w:hint="default"/>
                <w:highlight w:val="none"/>
              </w:rPr>
              <w:t>1.53</w:t>
            </w:r>
          </w:p>
        </w:tc>
        <w:tc>
          <w:tcPr>
            <w:tcW w:w="425" w:type="dxa"/>
            <w:shd w:val="clear" w:color="auto" w:fill="auto"/>
            <w:noWrap/>
            <w:vAlign w:val="center"/>
          </w:tcPr>
          <w:p w14:paraId="303CC77D">
            <w:pPr>
              <w:pStyle w:val="8"/>
              <w:suppressLineNumbers w:val="0"/>
              <w:bidi w:val="0"/>
              <w:spacing w:before="0" w:beforeAutospacing="0" w:after="0" w:afterAutospacing="0"/>
              <w:ind w:left="0" w:right="0"/>
              <w:rPr>
                <w:rFonts w:hint="default"/>
                <w:highlight w:val="none"/>
              </w:rPr>
            </w:pPr>
            <w:r>
              <w:rPr>
                <w:rFonts w:hint="default"/>
                <w:highlight w:val="none"/>
              </w:rPr>
              <w:t>0.88</w:t>
            </w:r>
          </w:p>
        </w:tc>
        <w:tc>
          <w:tcPr>
            <w:tcW w:w="425" w:type="dxa"/>
            <w:shd w:val="clear" w:color="auto" w:fill="auto"/>
            <w:noWrap/>
            <w:vAlign w:val="center"/>
          </w:tcPr>
          <w:p w14:paraId="5A45432F">
            <w:pPr>
              <w:pStyle w:val="8"/>
              <w:suppressLineNumbers w:val="0"/>
              <w:bidi w:val="0"/>
              <w:spacing w:before="0" w:beforeAutospacing="0" w:after="0" w:afterAutospacing="0"/>
              <w:ind w:left="0" w:right="0"/>
              <w:rPr>
                <w:rFonts w:hint="default"/>
                <w:highlight w:val="none"/>
              </w:rPr>
            </w:pPr>
            <w:r>
              <w:rPr>
                <w:rFonts w:hint="default"/>
                <w:highlight w:val="none"/>
              </w:rPr>
              <w:t>1.11</w:t>
            </w:r>
          </w:p>
        </w:tc>
        <w:tc>
          <w:tcPr>
            <w:tcW w:w="425" w:type="dxa"/>
            <w:shd w:val="clear" w:color="auto" w:fill="auto"/>
            <w:noWrap/>
            <w:vAlign w:val="center"/>
          </w:tcPr>
          <w:p w14:paraId="1FDC8FDE">
            <w:pPr>
              <w:pStyle w:val="8"/>
              <w:suppressLineNumbers w:val="0"/>
              <w:bidi w:val="0"/>
              <w:spacing w:before="0" w:beforeAutospacing="0" w:after="0" w:afterAutospacing="0"/>
              <w:ind w:left="0" w:right="0"/>
              <w:rPr>
                <w:rFonts w:hint="default"/>
                <w:highlight w:val="none"/>
              </w:rPr>
            </w:pPr>
            <w:r>
              <w:rPr>
                <w:rFonts w:hint="default"/>
                <w:highlight w:val="none"/>
              </w:rPr>
              <w:t>1.25</w:t>
            </w:r>
          </w:p>
        </w:tc>
        <w:tc>
          <w:tcPr>
            <w:tcW w:w="461" w:type="dxa"/>
            <w:shd w:val="clear" w:color="auto" w:fill="auto"/>
            <w:noWrap/>
            <w:vAlign w:val="center"/>
          </w:tcPr>
          <w:p w14:paraId="4F9BD840">
            <w:pPr>
              <w:pStyle w:val="8"/>
              <w:suppressLineNumbers w:val="0"/>
              <w:bidi w:val="0"/>
              <w:spacing w:before="0" w:beforeAutospacing="0" w:after="0" w:afterAutospacing="0"/>
              <w:ind w:left="0" w:right="0"/>
              <w:rPr>
                <w:rFonts w:hint="default"/>
                <w:highlight w:val="none"/>
              </w:rPr>
            </w:pPr>
            <w:r>
              <w:rPr>
                <w:rFonts w:hint="default"/>
                <w:highlight w:val="none"/>
              </w:rPr>
              <w:t>3.15</w:t>
            </w:r>
          </w:p>
        </w:tc>
        <w:tc>
          <w:tcPr>
            <w:tcW w:w="484" w:type="dxa"/>
            <w:shd w:val="clear" w:color="auto" w:fill="auto"/>
            <w:noWrap/>
            <w:vAlign w:val="center"/>
          </w:tcPr>
          <w:p w14:paraId="524F4341">
            <w:pPr>
              <w:pStyle w:val="8"/>
              <w:suppressLineNumbers w:val="0"/>
              <w:bidi w:val="0"/>
              <w:spacing w:before="0" w:beforeAutospacing="0" w:after="0" w:afterAutospacing="0"/>
              <w:ind w:left="0" w:right="0"/>
              <w:rPr>
                <w:rFonts w:hint="default"/>
                <w:highlight w:val="none"/>
              </w:rPr>
            </w:pPr>
            <w:r>
              <w:rPr>
                <w:rFonts w:hint="default"/>
                <w:highlight w:val="none"/>
              </w:rPr>
              <w:t>12.18</w:t>
            </w:r>
          </w:p>
        </w:tc>
        <w:tc>
          <w:tcPr>
            <w:tcW w:w="508" w:type="dxa"/>
            <w:shd w:val="clear" w:color="auto" w:fill="auto"/>
            <w:noWrap/>
            <w:vAlign w:val="center"/>
          </w:tcPr>
          <w:p w14:paraId="64AA7AC6">
            <w:pPr>
              <w:pStyle w:val="8"/>
              <w:suppressLineNumbers w:val="0"/>
              <w:bidi w:val="0"/>
              <w:spacing w:before="0" w:beforeAutospacing="0" w:after="0" w:afterAutospacing="0"/>
              <w:ind w:left="0" w:right="0"/>
              <w:rPr>
                <w:rFonts w:hint="default"/>
                <w:highlight w:val="none"/>
              </w:rPr>
            </w:pPr>
            <w:r>
              <w:rPr>
                <w:rFonts w:hint="default"/>
                <w:highlight w:val="none"/>
              </w:rPr>
              <w:t>28.56</w:t>
            </w:r>
          </w:p>
        </w:tc>
        <w:tc>
          <w:tcPr>
            <w:tcW w:w="484" w:type="dxa"/>
            <w:shd w:val="clear" w:color="auto" w:fill="auto"/>
            <w:noWrap/>
            <w:vAlign w:val="center"/>
          </w:tcPr>
          <w:p w14:paraId="1574D2D8">
            <w:pPr>
              <w:pStyle w:val="8"/>
              <w:suppressLineNumbers w:val="0"/>
              <w:bidi w:val="0"/>
              <w:spacing w:before="0" w:beforeAutospacing="0" w:after="0" w:afterAutospacing="0"/>
              <w:ind w:left="0" w:right="0"/>
              <w:rPr>
                <w:rFonts w:hint="default"/>
                <w:highlight w:val="none"/>
              </w:rPr>
            </w:pPr>
            <w:r>
              <w:rPr>
                <w:rFonts w:hint="default"/>
                <w:highlight w:val="none"/>
              </w:rPr>
              <w:t>24.58</w:t>
            </w:r>
          </w:p>
        </w:tc>
        <w:tc>
          <w:tcPr>
            <w:tcW w:w="527" w:type="dxa"/>
            <w:shd w:val="clear" w:color="auto" w:fill="auto"/>
            <w:noWrap/>
            <w:vAlign w:val="center"/>
          </w:tcPr>
          <w:p w14:paraId="45B997E5">
            <w:pPr>
              <w:pStyle w:val="8"/>
              <w:suppressLineNumbers w:val="0"/>
              <w:bidi w:val="0"/>
              <w:spacing w:before="0" w:beforeAutospacing="0" w:after="0" w:afterAutospacing="0"/>
              <w:ind w:left="0" w:right="0"/>
              <w:rPr>
                <w:rFonts w:hint="default"/>
                <w:highlight w:val="none"/>
              </w:rPr>
            </w:pPr>
            <w:r>
              <w:rPr>
                <w:rFonts w:hint="default"/>
                <w:highlight w:val="none"/>
              </w:rPr>
              <w:t>4.95</w:t>
            </w:r>
          </w:p>
        </w:tc>
        <w:tc>
          <w:tcPr>
            <w:tcW w:w="425" w:type="dxa"/>
            <w:shd w:val="clear" w:color="auto" w:fill="auto"/>
            <w:noWrap/>
            <w:vAlign w:val="center"/>
          </w:tcPr>
          <w:p w14:paraId="275A3037">
            <w:pPr>
              <w:pStyle w:val="8"/>
              <w:suppressLineNumbers w:val="0"/>
              <w:bidi w:val="0"/>
              <w:spacing w:before="0" w:beforeAutospacing="0" w:after="0" w:afterAutospacing="0"/>
              <w:ind w:left="0" w:right="0"/>
              <w:rPr>
                <w:rFonts w:hint="default"/>
                <w:highlight w:val="none"/>
              </w:rPr>
            </w:pPr>
            <w:r>
              <w:rPr>
                <w:rFonts w:hint="default"/>
                <w:highlight w:val="none"/>
              </w:rPr>
              <w:t>2.96</w:t>
            </w:r>
          </w:p>
        </w:tc>
        <w:tc>
          <w:tcPr>
            <w:tcW w:w="500" w:type="dxa"/>
            <w:shd w:val="clear" w:color="auto" w:fill="auto"/>
            <w:noWrap/>
            <w:vAlign w:val="center"/>
          </w:tcPr>
          <w:p w14:paraId="2301110E">
            <w:pPr>
              <w:pStyle w:val="8"/>
              <w:suppressLineNumbers w:val="0"/>
              <w:bidi w:val="0"/>
              <w:spacing w:before="0" w:beforeAutospacing="0" w:after="0" w:afterAutospacing="0"/>
              <w:ind w:left="0" w:right="0"/>
              <w:rPr>
                <w:rFonts w:hint="default"/>
                <w:highlight w:val="none"/>
              </w:rPr>
            </w:pPr>
            <w:r>
              <w:rPr>
                <w:rFonts w:hint="default"/>
                <w:highlight w:val="none"/>
              </w:rPr>
              <w:t>4.26</w:t>
            </w:r>
          </w:p>
        </w:tc>
        <w:tc>
          <w:tcPr>
            <w:tcW w:w="425" w:type="dxa"/>
            <w:shd w:val="clear" w:color="auto" w:fill="auto"/>
            <w:noWrap/>
            <w:vAlign w:val="center"/>
          </w:tcPr>
          <w:p w14:paraId="58CC8196">
            <w:pPr>
              <w:pStyle w:val="8"/>
              <w:suppressLineNumbers w:val="0"/>
              <w:bidi w:val="0"/>
              <w:spacing w:before="0" w:beforeAutospacing="0" w:after="0" w:afterAutospacing="0"/>
              <w:ind w:left="0" w:right="0"/>
              <w:rPr>
                <w:rFonts w:hint="default"/>
                <w:highlight w:val="none"/>
              </w:rPr>
            </w:pPr>
            <w:r>
              <w:rPr>
                <w:rFonts w:hint="default"/>
                <w:highlight w:val="none"/>
              </w:rPr>
              <w:t>2.36</w:t>
            </w:r>
          </w:p>
        </w:tc>
      </w:tr>
      <w:tr w14:paraId="35AA11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6" w:hRule="atLeast"/>
          <w:jc w:val="center"/>
        </w:trPr>
        <w:tc>
          <w:tcPr>
            <w:tcW w:w="763" w:type="dxa"/>
            <w:shd w:val="clear" w:color="auto" w:fill="auto"/>
            <w:noWrap/>
            <w:vAlign w:val="center"/>
          </w:tcPr>
          <w:p w14:paraId="1CFFB4FB">
            <w:pPr>
              <w:pStyle w:val="8"/>
              <w:suppressLineNumbers w:val="0"/>
              <w:bidi w:val="0"/>
              <w:spacing w:before="0" w:beforeAutospacing="0" w:after="0" w:afterAutospacing="0"/>
              <w:ind w:left="0" w:right="0"/>
              <w:rPr>
                <w:rFonts w:hint="default"/>
                <w:highlight w:val="none"/>
              </w:rPr>
            </w:pPr>
            <w:r>
              <w:rPr>
                <w:rFonts w:hint="default"/>
                <w:highlight w:val="none"/>
              </w:rPr>
              <w:t>全年</w:t>
            </w:r>
          </w:p>
        </w:tc>
        <w:tc>
          <w:tcPr>
            <w:tcW w:w="424" w:type="dxa"/>
            <w:shd w:val="clear" w:color="auto" w:fill="auto"/>
            <w:noWrap/>
            <w:vAlign w:val="center"/>
          </w:tcPr>
          <w:p w14:paraId="5DA55A14">
            <w:pPr>
              <w:pStyle w:val="8"/>
              <w:suppressLineNumbers w:val="0"/>
              <w:bidi w:val="0"/>
              <w:spacing w:before="0" w:beforeAutospacing="0" w:after="0" w:afterAutospacing="0"/>
              <w:ind w:left="0" w:right="0"/>
              <w:rPr>
                <w:rFonts w:hint="default"/>
                <w:highlight w:val="none"/>
              </w:rPr>
            </w:pPr>
            <w:r>
              <w:rPr>
                <w:rFonts w:hint="default"/>
                <w:highlight w:val="none"/>
              </w:rPr>
              <w:t>5.03</w:t>
            </w:r>
          </w:p>
        </w:tc>
        <w:tc>
          <w:tcPr>
            <w:tcW w:w="461" w:type="dxa"/>
            <w:shd w:val="clear" w:color="auto" w:fill="auto"/>
            <w:noWrap/>
            <w:vAlign w:val="center"/>
          </w:tcPr>
          <w:p w14:paraId="138FB123">
            <w:pPr>
              <w:pStyle w:val="8"/>
              <w:suppressLineNumbers w:val="0"/>
              <w:bidi w:val="0"/>
              <w:spacing w:before="0" w:beforeAutospacing="0" w:after="0" w:afterAutospacing="0"/>
              <w:ind w:left="0" w:right="0"/>
              <w:rPr>
                <w:rFonts w:hint="default"/>
                <w:highlight w:val="none"/>
              </w:rPr>
            </w:pPr>
            <w:r>
              <w:rPr>
                <w:rFonts w:hint="default"/>
                <w:highlight w:val="none"/>
              </w:rPr>
              <w:t>3.61</w:t>
            </w:r>
          </w:p>
        </w:tc>
        <w:tc>
          <w:tcPr>
            <w:tcW w:w="425" w:type="dxa"/>
            <w:shd w:val="clear" w:color="auto" w:fill="auto"/>
            <w:noWrap/>
            <w:vAlign w:val="center"/>
          </w:tcPr>
          <w:p w14:paraId="0258DF20">
            <w:pPr>
              <w:pStyle w:val="8"/>
              <w:suppressLineNumbers w:val="0"/>
              <w:bidi w:val="0"/>
              <w:spacing w:before="0" w:beforeAutospacing="0" w:after="0" w:afterAutospacing="0"/>
              <w:ind w:left="0" w:right="0"/>
              <w:rPr>
                <w:rFonts w:hint="default"/>
                <w:highlight w:val="none"/>
              </w:rPr>
            </w:pPr>
            <w:r>
              <w:rPr>
                <w:rFonts w:hint="default"/>
                <w:highlight w:val="none"/>
              </w:rPr>
              <w:t>2.81</w:t>
            </w:r>
          </w:p>
        </w:tc>
        <w:tc>
          <w:tcPr>
            <w:tcW w:w="448" w:type="dxa"/>
            <w:shd w:val="clear" w:color="auto" w:fill="auto"/>
            <w:noWrap/>
            <w:vAlign w:val="center"/>
          </w:tcPr>
          <w:p w14:paraId="6344EE6D">
            <w:pPr>
              <w:pStyle w:val="8"/>
              <w:suppressLineNumbers w:val="0"/>
              <w:bidi w:val="0"/>
              <w:spacing w:before="0" w:beforeAutospacing="0" w:after="0" w:afterAutospacing="0"/>
              <w:ind w:left="0" w:right="0"/>
              <w:rPr>
                <w:rFonts w:hint="default"/>
                <w:highlight w:val="none"/>
              </w:rPr>
            </w:pPr>
            <w:r>
              <w:rPr>
                <w:rFonts w:hint="default"/>
                <w:highlight w:val="none"/>
              </w:rPr>
              <w:t>3.22</w:t>
            </w:r>
          </w:p>
        </w:tc>
        <w:tc>
          <w:tcPr>
            <w:tcW w:w="484" w:type="dxa"/>
            <w:shd w:val="clear" w:color="auto" w:fill="auto"/>
            <w:noWrap/>
            <w:vAlign w:val="center"/>
          </w:tcPr>
          <w:p w14:paraId="6AEB969A">
            <w:pPr>
              <w:pStyle w:val="8"/>
              <w:suppressLineNumbers w:val="0"/>
              <w:bidi w:val="0"/>
              <w:spacing w:before="0" w:beforeAutospacing="0" w:after="0" w:afterAutospacing="0"/>
              <w:ind w:left="0" w:right="0"/>
              <w:rPr>
                <w:rFonts w:hint="default"/>
                <w:highlight w:val="none"/>
              </w:rPr>
            </w:pPr>
            <w:r>
              <w:rPr>
                <w:rFonts w:hint="default"/>
                <w:highlight w:val="none"/>
              </w:rPr>
              <w:t>6.14</w:t>
            </w:r>
          </w:p>
        </w:tc>
        <w:tc>
          <w:tcPr>
            <w:tcW w:w="428" w:type="dxa"/>
            <w:shd w:val="clear" w:color="auto" w:fill="auto"/>
            <w:noWrap/>
            <w:vAlign w:val="center"/>
          </w:tcPr>
          <w:p w14:paraId="4234F22F">
            <w:pPr>
              <w:pStyle w:val="8"/>
              <w:suppressLineNumbers w:val="0"/>
              <w:bidi w:val="0"/>
              <w:spacing w:before="0" w:beforeAutospacing="0" w:after="0" w:afterAutospacing="0"/>
              <w:ind w:left="0" w:right="0"/>
              <w:rPr>
                <w:rFonts w:hint="default"/>
                <w:highlight w:val="none"/>
              </w:rPr>
            </w:pPr>
            <w:r>
              <w:rPr>
                <w:rFonts w:hint="default"/>
                <w:highlight w:val="none"/>
              </w:rPr>
              <w:t>3.04</w:t>
            </w:r>
          </w:p>
        </w:tc>
        <w:tc>
          <w:tcPr>
            <w:tcW w:w="425" w:type="dxa"/>
            <w:shd w:val="clear" w:color="auto" w:fill="auto"/>
            <w:noWrap/>
            <w:vAlign w:val="center"/>
          </w:tcPr>
          <w:p w14:paraId="583284CC">
            <w:pPr>
              <w:pStyle w:val="8"/>
              <w:suppressLineNumbers w:val="0"/>
              <w:bidi w:val="0"/>
              <w:spacing w:before="0" w:beforeAutospacing="0" w:after="0" w:afterAutospacing="0"/>
              <w:ind w:left="0" w:right="0"/>
              <w:rPr>
                <w:rFonts w:hint="default"/>
                <w:highlight w:val="none"/>
              </w:rPr>
            </w:pPr>
            <w:r>
              <w:rPr>
                <w:rFonts w:hint="default"/>
                <w:highlight w:val="none"/>
              </w:rPr>
              <w:t>2.90</w:t>
            </w:r>
          </w:p>
        </w:tc>
        <w:tc>
          <w:tcPr>
            <w:tcW w:w="425" w:type="dxa"/>
            <w:shd w:val="clear" w:color="auto" w:fill="auto"/>
            <w:noWrap/>
            <w:vAlign w:val="center"/>
          </w:tcPr>
          <w:p w14:paraId="6236B027">
            <w:pPr>
              <w:pStyle w:val="8"/>
              <w:suppressLineNumbers w:val="0"/>
              <w:bidi w:val="0"/>
              <w:spacing w:before="0" w:beforeAutospacing="0" w:after="0" w:afterAutospacing="0"/>
              <w:ind w:left="0" w:right="0"/>
              <w:rPr>
                <w:rFonts w:hint="default"/>
                <w:highlight w:val="none"/>
              </w:rPr>
            </w:pPr>
            <w:r>
              <w:rPr>
                <w:rFonts w:hint="default"/>
                <w:highlight w:val="none"/>
              </w:rPr>
              <w:t>3.06</w:t>
            </w:r>
          </w:p>
        </w:tc>
        <w:tc>
          <w:tcPr>
            <w:tcW w:w="425" w:type="dxa"/>
            <w:shd w:val="clear" w:color="auto" w:fill="auto"/>
            <w:noWrap/>
            <w:vAlign w:val="center"/>
          </w:tcPr>
          <w:p w14:paraId="6A7CD594">
            <w:pPr>
              <w:pStyle w:val="8"/>
              <w:suppressLineNumbers w:val="0"/>
              <w:bidi w:val="0"/>
              <w:spacing w:before="0" w:beforeAutospacing="0" w:after="0" w:afterAutospacing="0"/>
              <w:ind w:left="0" w:right="0"/>
              <w:rPr>
                <w:rFonts w:hint="default"/>
                <w:highlight w:val="none"/>
              </w:rPr>
            </w:pPr>
            <w:r>
              <w:rPr>
                <w:rFonts w:hint="default"/>
                <w:highlight w:val="none"/>
              </w:rPr>
              <w:t>4.57</w:t>
            </w:r>
          </w:p>
        </w:tc>
        <w:tc>
          <w:tcPr>
            <w:tcW w:w="461" w:type="dxa"/>
            <w:shd w:val="clear" w:color="auto" w:fill="auto"/>
            <w:noWrap/>
            <w:vAlign w:val="center"/>
          </w:tcPr>
          <w:p w14:paraId="5BC865F5">
            <w:pPr>
              <w:pStyle w:val="8"/>
              <w:suppressLineNumbers w:val="0"/>
              <w:bidi w:val="0"/>
              <w:spacing w:before="0" w:beforeAutospacing="0" w:after="0" w:afterAutospacing="0"/>
              <w:ind w:left="0" w:right="0"/>
              <w:rPr>
                <w:rFonts w:hint="default"/>
                <w:highlight w:val="none"/>
              </w:rPr>
            </w:pPr>
            <w:r>
              <w:rPr>
                <w:rFonts w:hint="default"/>
                <w:highlight w:val="none"/>
              </w:rPr>
              <w:t>7.74</w:t>
            </w:r>
          </w:p>
        </w:tc>
        <w:tc>
          <w:tcPr>
            <w:tcW w:w="484" w:type="dxa"/>
            <w:shd w:val="clear" w:color="auto" w:fill="auto"/>
            <w:noWrap/>
            <w:vAlign w:val="center"/>
          </w:tcPr>
          <w:p w14:paraId="0D340A8E">
            <w:pPr>
              <w:pStyle w:val="8"/>
              <w:suppressLineNumbers w:val="0"/>
              <w:bidi w:val="0"/>
              <w:spacing w:before="0" w:beforeAutospacing="0" w:after="0" w:afterAutospacing="0"/>
              <w:ind w:left="0" w:right="0"/>
              <w:rPr>
                <w:rFonts w:hint="default"/>
                <w:highlight w:val="none"/>
              </w:rPr>
            </w:pPr>
            <w:r>
              <w:rPr>
                <w:rFonts w:hint="default"/>
                <w:highlight w:val="none"/>
              </w:rPr>
              <w:t>11.38</w:t>
            </w:r>
          </w:p>
        </w:tc>
        <w:tc>
          <w:tcPr>
            <w:tcW w:w="508" w:type="dxa"/>
            <w:shd w:val="clear" w:color="auto" w:fill="auto"/>
            <w:noWrap/>
            <w:vAlign w:val="center"/>
          </w:tcPr>
          <w:p w14:paraId="10053A9C">
            <w:pPr>
              <w:pStyle w:val="8"/>
              <w:suppressLineNumbers w:val="0"/>
              <w:bidi w:val="0"/>
              <w:spacing w:before="0" w:beforeAutospacing="0" w:after="0" w:afterAutospacing="0"/>
              <w:ind w:left="0" w:right="0"/>
              <w:rPr>
                <w:rFonts w:hint="default"/>
                <w:highlight w:val="none"/>
              </w:rPr>
            </w:pPr>
            <w:r>
              <w:rPr>
                <w:rFonts w:hint="default"/>
                <w:highlight w:val="none"/>
              </w:rPr>
              <w:t>16.91</w:t>
            </w:r>
          </w:p>
        </w:tc>
        <w:tc>
          <w:tcPr>
            <w:tcW w:w="484" w:type="dxa"/>
            <w:shd w:val="clear" w:color="auto" w:fill="auto"/>
            <w:noWrap/>
            <w:vAlign w:val="center"/>
          </w:tcPr>
          <w:p w14:paraId="05CE917B">
            <w:pPr>
              <w:pStyle w:val="8"/>
              <w:suppressLineNumbers w:val="0"/>
              <w:bidi w:val="0"/>
              <w:spacing w:before="0" w:beforeAutospacing="0" w:after="0" w:afterAutospacing="0"/>
              <w:ind w:left="0" w:right="0"/>
              <w:rPr>
                <w:rFonts w:hint="default"/>
                <w:highlight w:val="none"/>
              </w:rPr>
            </w:pPr>
            <w:r>
              <w:rPr>
                <w:rFonts w:hint="default"/>
                <w:highlight w:val="none"/>
              </w:rPr>
              <w:t>14.25</w:t>
            </w:r>
          </w:p>
        </w:tc>
        <w:tc>
          <w:tcPr>
            <w:tcW w:w="527" w:type="dxa"/>
            <w:shd w:val="clear" w:color="auto" w:fill="auto"/>
            <w:noWrap/>
            <w:vAlign w:val="center"/>
          </w:tcPr>
          <w:p w14:paraId="2385F7B9">
            <w:pPr>
              <w:pStyle w:val="8"/>
              <w:suppressLineNumbers w:val="0"/>
              <w:bidi w:val="0"/>
              <w:spacing w:before="0" w:beforeAutospacing="0" w:after="0" w:afterAutospacing="0"/>
              <w:ind w:left="0" w:right="0"/>
              <w:rPr>
                <w:rFonts w:hint="default"/>
                <w:highlight w:val="none"/>
              </w:rPr>
            </w:pPr>
            <w:r>
              <w:rPr>
                <w:rFonts w:hint="default"/>
                <w:highlight w:val="none"/>
              </w:rPr>
              <w:t>5.53</w:t>
            </w:r>
          </w:p>
        </w:tc>
        <w:tc>
          <w:tcPr>
            <w:tcW w:w="425" w:type="dxa"/>
            <w:shd w:val="clear" w:color="auto" w:fill="auto"/>
            <w:noWrap/>
            <w:vAlign w:val="center"/>
          </w:tcPr>
          <w:p w14:paraId="56598EB3">
            <w:pPr>
              <w:pStyle w:val="8"/>
              <w:suppressLineNumbers w:val="0"/>
              <w:bidi w:val="0"/>
              <w:spacing w:before="0" w:beforeAutospacing="0" w:after="0" w:afterAutospacing="0"/>
              <w:ind w:left="0" w:right="0"/>
              <w:rPr>
                <w:rFonts w:hint="default"/>
                <w:highlight w:val="none"/>
              </w:rPr>
            </w:pPr>
            <w:r>
              <w:rPr>
                <w:rFonts w:hint="default"/>
                <w:highlight w:val="none"/>
              </w:rPr>
              <w:t>2.08</w:t>
            </w:r>
          </w:p>
        </w:tc>
        <w:tc>
          <w:tcPr>
            <w:tcW w:w="500" w:type="dxa"/>
            <w:shd w:val="clear" w:color="auto" w:fill="auto"/>
            <w:noWrap/>
            <w:vAlign w:val="center"/>
          </w:tcPr>
          <w:p w14:paraId="6ED53D29">
            <w:pPr>
              <w:pStyle w:val="8"/>
              <w:suppressLineNumbers w:val="0"/>
              <w:bidi w:val="0"/>
              <w:spacing w:before="0" w:beforeAutospacing="0" w:after="0" w:afterAutospacing="0"/>
              <w:ind w:left="0" w:right="0"/>
              <w:rPr>
                <w:rFonts w:hint="default"/>
                <w:highlight w:val="none"/>
              </w:rPr>
            </w:pPr>
            <w:r>
              <w:rPr>
                <w:rFonts w:hint="default"/>
                <w:highlight w:val="none"/>
              </w:rPr>
              <w:t>4.67</w:t>
            </w:r>
          </w:p>
        </w:tc>
        <w:tc>
          <w:tcPr>
            <w:tcW w:w="425" w:type="dxa"/>
            <w:shd w:val="clear" w:color="auto" w:fill="auto"/>
            <w:noWrap/>
            <w:vAlign w:val="center"/>
          </w:tcPr>
          <w:p w14:paraId="02A44DAA">
            <w:pPr>
              <w:pStyle w:val="8"/>
              <w:suppressLineNumbers w:val="0"/>
              <w:bidi w:val="0"/>
              <w:spacing w:before="0" w:beforeAutospacing="0" w:after="0" w:afterAutospacing="0"/>
              <w:ind w:left="0" w:right="0"/>
              <w:rPr>
                <w:rFonts w:hint="default"/>
                <w:highlight w:val="none"/>
              </w:rPr>
            </w:pPr>
            <w:r>
              <w:rPr>
                <w:rFonts w:hint="default"/>
                <w:highlight w:val="none"/>
              </w:rPr>
              <w:t>3.08</w:t>
            </w:r>
          </w:p>
        </w:tc>
      </w:tr>
    </w:tbl>
    <w:p w14:paraId="288073A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Theme="minorEastAsia"/>
          <w:b/>
          <w:sz w:val="24"/>
          <w:highlight w:val="none"/>
          <w:lang w:eastAsia="zh-CN"/>
        </w:rPr>
      </w:pPr>
      <w:r>
        <w:rPr>
          <w:rFonts w:hint="eastAsia" w:eastAsiaTheme="minorEastAsia"/>
          <w:b/>
          <w:sz w:val="24"/>
          <w:highlight w:val="none"/>
          <w:lang w:eastAsia="zh-CN"/>
        </w:rPr>
        <w:drawing>
          <wp:inline distT="0" distB="0" distL="114300" distR="114300">
            <wp:extent cx="5078730" cy="3974465"/>
            <wp:effectExtent l="9525" t="9525" r="17145" b="16510"/>
            <wp:docPr id="61" name="图片 61" descr="哈尔滨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哈尔滨风玫瑰"/>
                    <pic:cNvPicPr>
                      <a:picLocks noChangeAspect="1"/>
                    </pic:cNvPicPr>
                  </pic:nvPicPr>
                  <pic:blipFill>
                    <a:blip r:embed="rId33"/>
                    <a:stretch>
                      <a:fillRect/>
                    </a:stretch>
                  </pic:blipFill>
                  <pic:spPr>
                    <a:xfrm>
                      <a:off x="0" y="0"/>
                      <a:ext cx="5078730" cy="3974465"/>
                    </a:xfrm>
                    <a:prstGeom prst="rect">
                      <a:avLst/>
                    </a:prstGeom>
                    <a:ln>
                      <a:solidFill>
                        <a:schemeClr val="tx1"/>
                      </a:solidFill>
                    </a:ln>
                  </pic:spPr>
                </pic:pic>
              </a:graphicData>
            </a:graphic>
          </wp:inline>
        </w:drawing>
      </w:r>
    </w:p>
    <w:p w14:paraId="4A0B46C2">
      <w:pPr>
        <w:pStyle w:val="7"/>
        <w:bidi w:val="0"/>
        <w:rPr>
          <w:highlight w:val="none"/>
        </w:rPr>
      </w:pPr>
      <w:r>
        <w:rPr>
          <w:highlight w:val="none"/>
        </w:rPr>
        <w:t>图4-1-2哈尔滨市</w:t>
      </w:r>
      <w:r>
        <w:rPr>
          <w:rFonts w:hint="eastAsia"/>
          <w:highlight w:val="none"/>
        </w:rPr>
        <w:t>近20</w:t>
      </w:r>
      <w:r>
        <w:rPr>
          <w:highlight w:val="none"/>
        </w:rPr>
        <w:t>年风频玫瑰图</w:t>
      </w:r>
    </w:p>
    <w:p w14:paraId="237FCE25">
      <w:pPr>
        <w:bidi w:val="0"/>
        <w:rPr>
          <w:highlight w:val="none"/>
        </w:rPr>
      </w:pPr>
      <w:bookmarkStart w:id="278" w:name="_Toc2205"/>
      <w:r>
        <w:rPr>
          <w:rFonts w:hint="eastAsia"/>
          <w:highlight w:val="none"/>
          <w:lang w:eastAsia="zh-CN"/>
        </w:rPr>
        <w:t>（</w:t>
      </w:r>
      <w:r>
        <w:rPr>
          <w:rFonts w:hint="eastAsia"/>
          <w:highlight w:val="none"/>
          <w:lang w:val="en-US" w:eastAsia="zh-CN"/>
        </w:rPr>
        <w:t>3</w:t>
      </w:r>
      <w:r>
        <w:rPr>
          <w:rFonts w:hint="eastAsia"/>
          <w:highlight w:val="none"/>
          <w:lang w:eastAsia="zh-CN"/>
        </w:rPr>
        <w:t>）</w:t>
      </w:r>
      <w:r>
        <w:rPr>
          <w:highlight w:val="none"/>
        </w:rPr>
        <w:t>风速</w:t>
      </w:r>
      <w:bookmarkEnd w:id="278"/>
    </w:p>
    <w:p w14:paraId="0F9487AC">
      <w:pPr>
        <w:bidi w:val="0"/>
        <w:rPr>
          <w:highlight w:val="none"/>
        </w:rPr>
      </w:pPr>
      <w:r>
        <w:rPr>
          <w:highlight w:val="none"/>
        </w:rPr>
        <w:t>哈尔滨市2022年地面气象资料中每月平均风速见表4-1-3，年平均风速月变化曲线见图4-1-2。从月平均风速统计资料中可以看出哈尔滨市4月份平均风速最高</w:t>
      </w:r>
      <w:r>
        <w:rPr>
          <w:rFonts w:hint="eastAsia"/>
          <w:highlight w:val="none"/>
          <w:lang w:eastAsia="zh-CN"/>
        </w:rPr>
        <w:t>（</w:t>
      </w:r>
      <w:r>
        <w:rPr>
          <w:highlight w:val="none"/>
        </w:rPr>
        <w:t>3.88m/s</w:t>
      </w:r>
      <w:r>
        <w:rPr>
          <w:rFonts w:hint="eastAsia"/>
          <w:highlight w:val="none"/>
          <w:lang w:eastAsia="zh-CN"/>
        </w:rPr>
        <w:t>）</w:t>
      </w:r>
      <w:r>
        <w:rPr>
          <w:highlight w:val="none"/>
        </w:rPr>
        <w:t>，1月份平均风速最低</w:t>
      </w:r>
      <w:r>
        <w:rPr>
          <w:rFonts w:hint="eastAsia"/>
          <w:highlight w:val="none"/>
          <w:lang w:eastAsia="zh-CN"/>
        </w:rPr>
        <w:t>（</w:t>
      </w:r>
      <w:r>
        <w:rPr>
          <w:highlight w:val="none"/>
        </w:rPr>
        <w:t>1.98m/s</w:t>
      </w:r>
      <w:r>
        <w:rPr>
          <w:rFonts w:hint="eastAsia"/>
          <w:highlight w:val="none"/>
          <w:lang w:eastAsia="zh-CN"/>
        </w:rPr>
        <w:t>）</w:t>
      </w:r>
      <w:r>
        <w:rPr>
          <w:highlight w:val="none"/>
        </w:rPr>
        <w:t>。</w:t>
      </w:r>
    </w:p>
    <w:p w14:paraId="0FCFE488">
      <w:pPr>
        <w:pStyle w:val="7"/>
        <w:bidi w:val="0"/>
        <w:rPr>
          <w:highlight w:val="none"/>
        </w:rPr>
      </w:pPr>
      <w:r>
        <w:rPr>
          <w:highlight w:val="none"/>
        </w:rPr>
        <w:t>表4-1-3哈尔滨</w:t>
      </w:r>
      <w:r>
        <w:rPr>
          <w:rFonts w:hint="eastAsia"/>
          <w:highlight w:val="none"/>
          <w:lang w:val="en-US" w:eastAsia="zh-CN"/>
        </w:rPr>
        <w:t>近20</w:t>
      </w:r>
      <w:r>
        <w:rPr>
          <w:highlight w:val="none"/>
        </w:rPr>
        <w:t>年平均风速月变化情况</w:t>
      </w:r>
    </w:p>
    <w:tbl>
      <w:tblPr>
        <w:tblStyle w:val="44"/>
        <w:tblW w:w="8946"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623"/>
        <w:gridCol w:w="623"/>
        <w:gridCol w:w="621"/>
        <w:gridCol w:w="621"/>
        <w:gridCol w:w="621"/>
        <w:gridCol w:w="621"/>
        <w:gridCol w:w="621"/>
        <w:gridCol w:w="621"/>
        <w:gridCol w:w="621"/>
        <w:gridCol w:w="734"/>
        <w:gridCol w:w="734"/>
        <w:gridCol w:w="734"/>
      </w:tblGrid>
      <w:tr w14:paraId="387784F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PrEx>
        <w:trPr>
          <w:trHeight w:val="397" w:hRule="atLeast"/>
        </w:trPr>
        <w:tc>
          <w:tcPr>
            <w:tcW w:w="1151" w:type="dxa"/>
            <w:shd w:val="clear" w:color="auto" w:fill="auto"/>
            <w:vAlign w:val="center"/>
          </w:tcPr>
          <w:p w14:paraId="212A1960">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月份</w:t>
            </w:r>
          </w:p>
        </w:tc>
        <w:tc>
          <w:tcPr>
            <w:tcW w:w="623" w:type="dxa"/>
            <w:shd w:val="clear" w:color="auto" w:fill="auto"/>
            <w:vAlign w:val="center"/>
          </w:tcPr>
          <w:p w14:paraId="2FFFF3D4">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1月</w:t>
            </w:r>
          </w:p>
        </w:tc>
        <w:tc>
          <w:tcPr>
            <w:tcW w:w="623" w:type="dxa"/>
            <w:shd w:val="clear" w:color="auto" w:fill="auto"/>
            <w:vAlign w:val="center"/>
          </w:tcPr>
          <w:p w14:paraId="70109290">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2月</w:t>
            </w:r>
          </w:p>
        </w:tc>
        <w:tc>
          <w:tcPr>
            <w:tcW w:w="621" w:type="dxa"/>
            <w:shd w:val="clear" w:color="auto" w:fill="auto"/>
            <w:vAlign w:val="center"/>
          </w:tcPr>
          <w:p w14:paraId="1E30D3EF">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3月</w:t>
            </w:r>
          </w:p>
        </w:tc>
        <w:tc>
          <w:tcPr>
            <w:tcW w:w="621" w:type="dxa"/>
            <w:shd w:val="clear" w:color="auto" w:fill="auto"/>
            <w:vAlign w:val="center"/>
          </w:tcPr>
          <w:p w14:paraId="4D2F7BEA">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4月</w:t>
            </w:r>
          </w:p>
        </w:tc>
        <w:tc>
          <w:tcPr>
            <w:tcW w:w="621" w:type="dxa"/>
            <w:shd w:val="clear" w:color="auto" w:fill="auto"/>
            <w:vAlign w:val="center"/>
          </w:tcPr>
          <w:p w14:paraId="1AAAE2BF">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5月</w:t>
            </w:r>
          </w:p>
        </w:tc>
        <w:tc>
          <w:tcPr>
            <w:tcW w:w="621" w:type="dxa"/>
            <w:shd w:val="clear" w:color="auto" w:fill="auto"/>
            <w:vAlign w:val="center"/>
          </w:tcPr>
          <w:p w14:paraId="7705C660">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6月</w:t>
            </w:r>
          </w:p>
        </w:tc>
        <w:tc>
          <w:tcPr>
            <w:tcW w:w="621" w:type="dxa"/>
            <w:shd w:val="clear" w:color="auto" w:fill="auto"/>
            <w:vAlign w:val="center"/>
          </w:tcPr>
          <w:p w14:paraId="143D6F0D">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7月</w:t>
            </w:r>
          </w:p>
        </w:tc>
        <w:tc>
          <w:tcPr>
            <w:tcW w:w="621" w:type="dxa"/>
            <w:shd w:val="clear" w:color="auto" w:fill="auto"/>
            <w:vAlign w:val="center"/>
          </w:tcPr>
          <w:p w14:paraId="3EC30C93">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8月</w:t>
            </w:r>
          </w:p>
        </w:tc>
        <w:tc>
          <w:tcPr>
            <w:tcW w:w="621" w:type="dxa"/>
            <w:shd w:val="clear" w:color="auto" w:fill="auto"/>
            <w:vAlign w:val="center"/>
          </w:tcPr>
          <w:p w14:paraId="200510C3">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9月</w:t>
            </w:r>
          </w:p>
        </w:tc>
        <w:tc>
          <w:tcPr>
            <w:tcW w:w="734" w:type="dxa"/>
            <w:shd w:val="clear" w:color="auto" w:fill="auto"/>
            <w:vAlign w:val="center"/>
          </w:tcPr>
          <w:p w14:paraId="25AA9E7E">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10月</w:t>
            </w:r>
          </w:p>
        </w:tc>
        <w:tc>
          <w:tcPr>
            <w:tcW w:w="734" w:type="dxa"/>
            <w:shd w:val="clear" w:color="auto" w:fill="auto"/>
            <w:vAlign w:val="center"/>
          </w:tcPr>
          <w:p w14:paraId="79912156">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11月</w:t>
            </w:r>
          </w:p>
        </w:tc>
        <w:tc>
          <w:tcPr>
            <w:tcW w:w="734" w:type="dxa"/>
            <w:shd w:val="clear" w:color="auto" w:fill="auto"/>
            <w:vAlign w:val="center"/>
          </w:tcPr>
          <w:p w14:paraId="62BEE05F">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12月</w:t>
            </w:r>
          </w:p>
        </w:tc>
      </w:tr>
      <w:tr w14:paraId="3AA8865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1" w:type="dxa"/>
            <w:shd w:val="clear" w:color="auto" w:fill="auto"/>
            <w:vAlign w:val="center"/>
          </w:tcPr>
          <w:p w14:paraId="02F0F3D1">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风速（m/s）</w:t>
            </w:r>
          </w:p>
        </w:tc>
        <w:tc>
          <w:tcPr>
            <w:tcW w:w="623" w:type="dxa"/>
            <w:shd w:val="clear" w:color="auto" w:fill="auto"/>
            <w:vAlign w:val="center"/>
          </w:tcPr>
          <w:p w14:paraId="38D5D2D9">
            <w:pPr>
              <w:pStyle w:val="8"/>
              <w:suppressLineNumbers w:val="0"/>
              <w:bidi w:val="0"/>
              <w:spacing w:before="0" w:beforeAutospacing="0" w:after="0" w:afterAutospacing="0"/>
              <w:ind w:left="0" w:right="0"/>
              <w:rPr>
                <w:rFonts w:hint="default"/>
                <w:highlight w:val="none"/>
              </w:rPr>
            </w:pPr>
            <w:r>
              <w:rPr>
                <w:rFonts w:hint="default"/>
                <w:highlight w:val="none"/>
              </w:rPr>
              <w:t>1.98</w:t>
            </w:r>
          </w:p>
        </w:tc>
        <w:tc>
          <w:tcPr>
            <w:tcW w:w="623" w:type="dxa"/>
            <w:shd w:val="clear" w:color="auto" w:fill="auto"/>
            <w:vAlign w:val="center"/>
          </w:tcPr>
          <w:p w14:paraId="058D750A">
            <w:pPr>
              <w:pStyle w:val="8"/>
              <w:suppressLineNumbers w:val="0"/>
              <w:bidi w:val="0"/>
              <w:spacing w:before="0" w:beforeAutospacing="0" w:after="0" w:afterAutospacing="0"/>
              <w:ind w:left="0" w:right="0"/>
              <w:rPr>
                <w:rFonts w:hint="default"/>
                <w:highlight w:val="none"/>
              </w:rPr>
            </w:pPr>
            <w:r>
              <w:rPr>
                <w:rFonts w:hint="default"/>
                <w:highlight w:val="none"/>
                <w:lang w:val="en-GB"/>
              </w:rPr>
              <w:t>2.38</w:t>
            </w:r>
          </w:p>
        </w:tc>
        <w:tc>
          <w:tcPr>
            <w:tcW w:w="621" w:type="dxa"/>
            <w:shd w:val="clear" w:color="auto" w:fill="auto"/>
            <w:vAlign w:val="center"/>
          </w:tcPr>
          <w:p w14:paraId="7086D0F6">
            <w:pPr>
              <w:pStyle w:val="8"/>
              <w:suppressLineNumbers w:val="0"/>
              <w:bidi w:val="0"/>
              <w:spacing w:before="0" w:beforeAutospacing="0" w:after="0" w:afterAutospacing="0"/>
              <w:ind w:left="0" w:right="0"/>
              <w:rPr>
                <w:rFonts w:hint="default"/>
                <w:highlight w:val="none"/>
              </w:rPr>
            </w:pPr>
            <w:r>
              <w:rPr>
                <w:rFonts w:hint="default"/>
                <w:highlight w:val="none"/>
                <w:lang w:val="en-GB"/>
              </w:rPr>
              <w:t>2.98</w:t>
            </w:r>
          </w:p>
        </w:tc>
        <w:tc>
          <w:tcPr>
            <w:tcW w:w="621" w:type="dxa"/>
            <w:shd w:val="clear" w:color="auto" w:fill="auto"/>
            <w:vAlign w:val="center"/>
          </w:tcPr>
          <w:p w14:paraId="3DD5DF54">
            <w:pPr>
              <w:pStyle w:val="8"/>
              <w:suppressLineNumbers w:val="0"/>
              <w:bidi w:val="0"/>
              <w:spacing w:before="0" w:beforeAutospacing="0" w:after="0" w:afterAutospacing="0"/>
              <w:ind w:left="0" w:right="0"/>
              <w:rPr>
                <w:rFonts w:hint="default"/>
                <w:highlight w:val="none"/>
              </w:rPr>
            </w:pPr>
            <w:r>
              <w:rPr>
                <w:rFonts w:hint="default"/>
                <w:highlight w:val="none"/>
              </w:rPr>
              <w:t>3.88</w:t>
            </w:r>
          </w:p>
        </w:tc>
        <w:tc>
          <w:tcPr>
            <w:tcW w:w="621" w:type="dxa"/>
            <w:shd w:val="clear" w:color="auto" w:fill="auto"/>
            <w:vAlign w:val="center"/>
          </w:tcPr>
          <w:p w14:paraId="4DA2A04B">
            <w:pPr>
              <w:pStyle w:val="8"/>
              <w:suppressLineNumbers w:val="0"/>
              <w:bidi w:val="0"/>
              <w:spacing w:before="0" w:beforeAutospacing="0" w:after="0" w:afterAutospacing="0"/>
              <w:ind w:left="0" w:right="0"/>
              <w:rPr>
                <w:rFonts w:hint="default"/>
                <w:highlight w:val="none"/>
              </w:rPr>
            </w:pPr>
            <w:r>
              <w:rPr>
                <w:rFonts w:hint="default"/>
                <w:highlight w:val="none"/>
              </w:rPr>
              <w:t>3.12</w:t>
            </w:r>
          </w:p>
        </w:tc>
        <w:tc>
          <w:tcPr>
            <w:tcW w:w="621" w:type="dxa"/>
            <w:shd w:val="clear" w:color="auto" w:fill="auto"/>
            <w:vAlign w:val="center"/>
          </w:tcPr>
          <w:p w14:paraId="18A847B9">
            <w:pPr>
              <w:pStyle w:val="8"/>
              <w:suppressLineNumbers w:val="0"/>
              <w:bidi w:val="0"/>
              <w:spacing w:before="0" w:beforeAutospacing="0" w:after="0" w:afterAutospacing="0"/>
              <w:ind w:left="0" w:right="0"/>
              <w:rPr>
                <w:rFonts w:hint="default"/>
                <w:highlight w:val="none"/>
              </w:rPr>
            </w:pPr>
            <w:r>
              <w:rPr>
                <w:rFonts w:hint="default"/>
                <w:highlight w:val="none"/>
              </w:rPr>
              <w:t>2.8</w:t>
            </w:r>
          </w:p>
        </w:tc>
        <w:tc>
          <w:tcPr>
            <w:tcW w:w="621" w:type="dxa"/>
            <w:shd w:val="clear" w:color="auto" w:fill="auto"/>
            <w:vAlign w:val="center"/>
          </w:tcPr>
          <w:p w14:paraId="18523B85">
            <w:pPr>
              <w:pStyle w:val="8"/>
              <w:suppressLineNumbers w:val="0"/>
              <w:bidi w:val="0"/>
              <w:spacing w:before="0" w:beforeAutospacing="0" w:after="0" w:afterAutospacing="0"/>
              <w:ind w:left="0" w:right="0"/>
              <w:rPr>
                <w:rFonts w:hint="default"/>
                <w:highlight w:val="none"/>
              </w:rPr>
            </w:pPr>
            <w:r>
              <w:rPr>
                <w:rFonts w:hint="default"/>
                <w:highlight w:val="none"/>
              </w:rPr>
              <w:t>2.37</w:t>
            </w:r>
          </w:p>
        </w:tc>
        <w:tc>
          <w:tcPr>
            <w:tcW w:w="621" w:type="dxa"/>
            <w:shd w:val="clear" w:color="auto" w:fill="auto"/>
            <w:vAlign w:val="center"/>
          </w:tcPr>
          <w:p w14:paraId="7855B485">
            <w:pPr>
              <w:pStyle w:val="8"/>
              <w:suppressLineNumbers w:val="0"/>
              <w:bidi w:val="0"/>
              <w:spacing w:before="0" w:beforeAutospacing="0" w:after="0" w:afterAutospacing="0"/>
              <w:ind w:left="0" w:right="0"/>
              <w:rPr>
                <w:rFonts w:hint="default"/>
                <w:highlight w:val="none"/>
              </w:rPr>
            </w:pPr>
            <w:r>
              <w:rPr>
                <w:rFonts w:hint="default"/>
                <w:highlight w:val="none"/>
              </w:rPr>
              <w:t>2.27</w:t>
            </w:r>
          </w:p>
        </w:tc>
        <w:tc>
          <w:tcPr>
            <w:tcW w:w="621" w:type="dxa"/>
            <w:shd w:val="clear" w:color="auto" w:fill="auto"/>
            <w:vAlign w:val="center"/>
          </w:tcPr>
          <w:p w14:paraId="79F0DA1E">
            <w:pPr>
              <w:pStyle w:val="8"/>
              <w:suppressLineNumbers w:val="0"/>
              <w:bidi w:val="0"/>
              <w:spacing w:before="0" w:beforeAutospacing="0" w:after="0" w:afterAutospacing="0"/>
              <w:ind w:left="0" w:right="0"/>
              <w:rPr>
                <w:rFonts w:hint="default"/>
                <w:highlight w:val="none"/>
              </w:rPr>
            </w:pPr>
            <w:r>
              <w:rPr>
                <w:rFonts w:hint="default"/>
                <w:highlight w:val="none"/>
              </w:rPr>
              <w:t>2.71</w:t>
            </w:r>
          </w:p>
        </w:tc>
        <w:tc>
          <w:tcPr>
            <w:tcW w:w="734" w:type="dxa"/>
            <w:shd w:val="clear" w:color="auto" w:fill="auto"/>
            <w:vAlign w:val="center"/>
          </w:tcPr>
          <w:p w14:paraId="2D06A496">
            <w:pPr>
              <w:pStyle w:val="8"/>
              <w:suppressLineNumbers w:val="0"/>
              <w:bidi w:val="0"/>
              <w:spacing w:before="0" w:beforeAutospacing="0" w:after="0" w:afterAutospacing="0"/>
              <w:ind w:left="0" w:right="0"/>
              <w:rPr>
                <w:rFonts w:hint="default"/>
                <w:highlight w:val="none"/>
              </w:rPr>
            </w:pPr>
            <w:r>
              <w:rPr>
                <w:rFonts w:hint="default"/>
                <w:highlight w:val="none"/>
              </w:rPr>
              <w:t>2.65</w:t>
            </w:r>
          </w:p>
        </w:tc>
        <w:tc>
          <w:tcPr>
            <w:tcW w:w="734" w:type="dxa"/>
            <w:shd w:val="clear" w:color="auto" w:fill="auto"/>
            <w:vAlign w:val="center"/>
          </w:tcPr>
          <w:p w14:paraId="2B16CAAA">
            <w:pPr>
              <w:pStyle w:val="8"/>
              <w:suppressLineNumbers w:val="0"/>
              <w:bidi w:val="0"/>
              <w:spacing w:before="0" w:beforeAutospacing="0" w:after="0" w:afterAutospacing="0"/>
              <w:ind w:left="0" w:right="0"/>
              <w:rPr>
                <w:rFonts w:hint="default"/>
                <w:highlight w:val="none"/>
              </w:rPr>
            </w:pPr>
            <w:r>
              <w:rPr>
                <w:rFonts w:hint="default"/>
                <w:highlight w:val="none"/>
              </w:rPr>
              <w:t>2.76</w:t>
            </w:r>
          </w:p>
        </w:tc>
        <w:tc>
          <w:tcPr>
            <w:tcW w:w="734" w:type="dxa"/>
            <w:shd w:val="clear" w:color="auto" w:fill="auto"/>
            <w:vAlign w:val="center"/>
          </w:tcPr>
          <w:p w14:paraId="71A50BC3">
            <w:pPr>
              <w:pStyle w:val="8"/>
              <w:suppressLineNumbers w:val="0"/>
              <w:bidi w:val="0"/>
              <w:spacing w:before="0" w:beforeAutospacing="0" w:after="0" w:afterAutospacing="0"/>
              <w:ind w:left="0" w:right="0"/>
              <w:rPr>
                <w:rFonts w:hint="default"/>
                <w:highlight w:val="none"/>
              </w:rPr>
            </w:pPr>
            <w:r>
              <w:rPr>
                <w:rFonts w:hint="default"/>
                <w:highlight w:val="none"/>
                <w:lang w:val="en-GB"/>
              </w:rPr>
              <w:t>2.65</w:t>
            </w:r>
          </w:p>
        </w:tc>
      </w:tr>
    </w:tbl>
    <w:p w14:paraId="73F8069B">
      <w:pPr>
        <w:pStyle w:val="8"/>
        <w:bidi w:val="0"/>
        <w:rPr>
          <w:highlight w:val="none"/>
        </w:rPr>
      </w:pPr>
      <w:r>
        <w:rPr>
          <w:highlight w:val="none"/>
        </w:rPr>
        <w:drawing>
          <wp:inline distT="0" distB="0" distL="114300" distR="114300">
            <wp:extent cx="4858385" cy="1584325"/>
            <wp:effectExtent l="9525" t="9525" r="27940" b="2540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34"/>
                    <a:stretch>
                      <a:fillRect/>
                    </a:stretch>
                  </pic:blipFill>
                  <pic:spPr>
                    <a:xfrm>
                      <a:off x="0" y="0"/>
                      <a:ext cx="4858385" cy="1584325"/>
                    </a:xfrm>
                    <a:prstGeom prst="rect">
                      <a:avLst/>
                    </a:prstGeom>
                    <a:noFill/>
                    <a:ln>
                      <a:solidFill>
                        <a:schemeClr val="tx1"/>
                      </a:solidFill>
                    </a:ln>
                  </pic:spPr>
                </pic:pic>
              </a:graphicData>
            </a:graphic>
          </wp:inline>
        </w:drawing>
      </w:r>
    </w:p>
    <w:p w14:paraId="0B6E4D2C">
      <w:pPr>
        <w:pStyle w:val="7"/>
        <w:bidi w:val="0"/>
        <w:rPr>
          <w:highlight w:val="none"/>
        </w:rPr>
      </w:pPr>
      <w:r>
        <w:rPr>
          <w:highlight w:val="none"/>
        </w:rPr>
        <w:t>图4-1-3</w:t>
      </w:r>
      <w:r>
        <w:rPr>
          <w:rFonts w:hint="eastAsia"/>
          <w:highlight w:val="none"/>
          <w:lang w:val="en-US" w:eastAsia="zh-CN"/>
        </w:rPr>
        <w:t>近20</w:t>
      </w:r>
      <w:r>
        <w:rPr>
          <w:highlight w:val="none"/>
        </w:rPr>
        <w:t>年平均风速的月变化曲线图</w:t>
      </w:r>
    </w:p>
    <w:p w14:paraId="226CD34C">
      <w:pPr>
        <w:bidi w:val="0"/>
        <w:rPr>
          <w:highlight w:val="none"/>
        </w:rPr>
      </w:pPr>
      <w:bookmarkStart w:id="279" w:name="_Toc25539"/>
      <w:r>
        <w:rPr>
          <w:highlight w:val="none"/>
        </w:rPr>
        <w:t>4、地面温度场</w:t>
      </w:r>
      <w:bookmarkEnd w:id="279"/>
    </w:p>
    <w:p w14:paraId="30B6C519">
      <w:pPr>
        <w:bidi w:val="0"/>
        <w:rPr>
          <w:highlight w:val="none"/>
        </w:rPr>
      </w:pPr>
      <w:r>
        <w:rPr>
          <w:highlight w:val="none"/>
        </w:rPr>
        <w:t>哈尔滨市2022年地面气象资料中每月平均气温变化情况见表4-1-4，年平均气温月变化曲线见图4-1-3。从资料中可以看出哈尔滨市7月份平均气温最高，为24.66ºC，1月份气温平均最低，为-18.49ºC。</w:t>
      </w:r>
    </w:p>
    <w:p w14:paraId="53283235">
      <w:pPr>
        <w:pStyle w:val="7"/>
        <w:bidi w:val="0"/>
        <w:rPr>
          <w:highlight w:val="none"/>
        </w:rPr>
      </w:pPr>
      <w:r>
        <w:rPr>
          <w:highlight w:val="none"/>
        </w:rPr>
        <w:t>表4-1-4</w:t>
      </w:r>
      <w:r>
        <w:rPr>
          <w:rFonts w:hint="eastAsia"/>
          <w:highlight w:val="none"/>
          <w:lang w:val="en-US" w:eastAsia="zh-CN"/>
        </w:rPr>
        <w:t>近20</w:t>
      </w:r>
      <w:r>
        <w:rPr>
          <w:highlight w:val="none"/>
        </w:rPr>
        <w:t>年平均温度的月变化</w:t>
      </w:r>
    </w:p>
    <w:tbl>
      <w:tblPr>
        <w:tblStyle w:val="44"/>
        <w:tblW w:w="8946"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87"/>
        <w:gridCol w:w="687"/>
        <w:gridCol w:w="614"/>
        <w:gridCol w:w="614"/>
        <w:gridCol w:w="614"/>
        <w:gridCol w:w="614"/>
        <w:gridCol w:w="614"/>
        <w:gridCol w:w="614"/>
        <w:gridCol w:w="614"/>
        <w:gridCol w:w="723"/>
        <w:gridCol w:w="723"/>
        <w:gridCol w:w="723"/>
      </w:tblGrid>
      <w:tr w14:paraId="541AF8C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shd w:val="clear" w:color="auto" w:fill="auto"/>
            <w:vAlign w:val="center"/>
          </w:tcPr>
          <w:p w14:paraId="1747AA06">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月份</w:t>
            </w:r>
          </w:p>
        </w:tc>
        <w:tc>
          <w:tcPr>
            <w:tcW w:w="687" w:type="dxa"/>
            <w:shd w:val="clear" w:color="auto" w:fill="auto"/>
            <w:vAlign w:val="center"/>
          </w:tcPr>
          <w:p w14:paraId="4C39BB26">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1月</w:t>
            </w:r>
          </w:p>
        </w:tc>
        <w:tc>
          <w:tcPr>
            <w:tcW w:w="687" w:type="dxa"/>
            <w:shd w:val="clear" w:color="auto" w:fill="auto"/>
            <w:vAlign w:val="center"/>
          </w:tcPr>
          <w:p w14:paraId="2A9376BA">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2月</w:t>
            </w:r>
          </w:p>
        </w:tc>
        <w:tc>
          <w:tcPr>
            <w:tcW w:w="614" w:type="dxa"/>
            <w:shd w:val="clear" w:color="auto" w:fill="auto"/>
            <w:vAlign w:val="center"/>
          </w:tcPr>
          <w:p w14:paraId="53B988F4">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3月</w:t>
            </w:r>
          </w:p>
        </w:tc>
        <w:tc>
          <w:tcPr>
            <w:tcW w:w="614" w:type="dxa"/>
            <w:shd w:val="clear" w:color="auto" w:fill="auto"/>
            <w:vAlign w:val="center"/>
          </w:tcPr>
          <w:p w14:paraId="786600A4">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4月</w:t>
            </w:r>
          </w:p>
        </w:tc>
        <w:tc>
          <w:tcPr>
            <w:tcW w:w="614" w:type="dxa"/>
            <w:shd w:val="clear" w:color="auto" w:fill="auto"/>
            <w:vAlign w:val="center"/>
          </w:tcPr>
          <w:p w14:paraId="4372F3EF">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5月</w:t>
            </w:r>
          </w:p>
        </w:tc>
        <w:tc>
          <w:tcPr>
            <w:tcW w:w="614" w:type="dxa"/>
            <w:shd w:val="clear" w:color="auto" w:fill="auto"/>
            <w:vAlign w:val="center"/>
          </w:tcPr>
          <w:p w14:paraId="43ECCD58">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6月</w:t>
            </w:r>
          </w:p>
        </w:tc>
        <w:tc>
          <w:tcPr>
            <w:tcW w:w="614" w:type="dxa"/>
            <w:shd w:val="clear" w:color="auto" w:fill="auto"/>
            <w:vAlign w:val="center"/>
          </w:tcPr>
          <w:p w14:paraId="3619008D">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7月</w:t>
            </w:r>
          </w:p>
        </w:tc>
        <w:tc>
          <w:tcPr>
            <w:tcW w:w="614" w:type="dxa"/>
            <w:shd w:val="clear" w:color="auto" w:fill="auto"/>
            <w:vAlign w:val="center"/>
          </w:tcPr>
          <w:p w14:paraId="720D8559">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8月</w:t>
            </w:r>
          </w:p>
        </w:tc>
        <w:tc>
          <w:tcPr>
            <w:tcW w:w="614" w:type="dxa"/>
            <w:shd w:val="clear" w:color="auto" w:fill="auto"/>
            <w:vAlign w:val="center"/>
          </w:tcPr>
          <w:p w14:paraId="2C001F1F">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9月</w:t>
            </w:r>
          </w:p>
        </w:tc>
        <w:tc>
          <w:tcPr>
            <w:tcW w:w="723" w:type="dxa"/>
            <w:shd w:val="clear" w:color="auto" w:fill="auto"/>
            <w:vAlign w:val="center"/>
          </w:tcPr>
          <w:p w14:paraId="28BA6490">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10月</w:t>
            </w:r>
          </w:p>
        </w:tc>
        <w:tc>
          <w:tcPr>
            <w:tcW w:w="723" w:type="dxa"/>
            <w:shd w:val="clear" w:color="auto" w:fill="auto"/>
            <w:vAlign w:val="center"/>
          </w:tcPr>
          <w:p w14:paraId="352074E1">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11月</w:t>
            </w:r>
          </w:p>
        </w:tc>
        <w:tc>
          <w:tcPr>
            <w:tcW w:w="723" w:type="dxa"/>
            <w:shd w:val="clear" w:color="auto" w:fill="auto"/>
            <w:vAlign w:val="center"/>
          </w:tcPr>
          <w:p w14:paraId="58DBAB76">
            <w:pPr>
              <w:pStyle w:val="8"/>
              <w:suppressLineNumbers w:val="0"/>
              <w:bidi w:val="0"/>
              <w:spacing w:before="0" w:beforeAutospacing="0" w:after="0" w:afterAutospacing="0"/>
              <w:ind w:left="0" w:right="0"/>
              <w:rPr>
                <w:rFonts w:hint="default"/>
                <w:highlight w:val="none"/>
                <w:lang w:val="en-GB"/>
              </w:rPr>
            </w:pPr>
            <w:r>
              <w:rPr>
                <w:rFonts w:hint="default"/>
                <w:highlight w:val="none"/>
                <w:lang w:val="en-GB"/>
              </w:rPr>
              <w:t>12月</w:t>
            </w:r>
          </w:p>
        </w:tc>
      </w:tr>
      <w:tr w14:paraId="75BFB2F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shd w:val="clear" w:color="auto" w:fill="auto"/>
            <w:vAlign w:val="center"/>
          </w:tcPr>
          <w:p w14:paraId="27F79D03">
            <w:pPr>
              <w:pStyle w:val="8"/>
              <w:suppressLineNumbers w:val="0"/>
              <w:bidi w:val="0"/>
              <w:spacing w:before="0" w:beforeAutospacing="0" w:after="0" w:afterAutospacing="0"/>
              <w:ind w:left="0" w:right="0"/>
              <w:rPr>
                <w:rFonts w:hint="eastAsia" w:eastAsia="宋体"/>
                <w:highlight w:val="none"/>
                <w:lang w:val="en-GB" w:eastAsia="zh-CN"/>
              </w:rPr>
            </w:pPr>
            <w:r>
              <w:rPr>
                <w:rFonts w:hint="default"/>
                <w:highlight w:val="none"/>
                <w:lang w:val="en-GB"/>
              </w:rPr>
              <w:t>气温</w:t>
            </w:r>
            <w:r>
              <w:rPr>
                <w:rFonts w:hint="eastAsia"/>
                <w:highlight w:val="none"/>
                <w:lang w:val="en-GB" w:eastAsia="zh-CN"/>
              </w:rPr>
              <w:t>（</w:t>
            </w:r>
            <w:r>
              <w:rPr>
                <w:rFonts w:hint="default"/>
                <w:highlight w:val="none"/>
                <w:lang w:val="en-GB"/>
              </w:rPr>
              <w:t>℃</w:t>
            </w:r>
            <w:r>
              <w:rPr>
                <w:rFonts w:hint="eastAsia"/>
                <w:highlight w:val="none"/>
                <w:lang w:val="en-GB" w:eastAsia="zh-CN"/>
              </w:rPr>
              <w:t>）</w:t>
            </w:r>
          </w:p>
        </w:tc>
        <w:tc>
          <w:tcPr>
            <w:tcW w:w="687" w:type="dxa"/>
            <w:shd w:val="clear" w:color="auto" w:fill="auto"/>
            <w:vAlign w:val="center"/>
          </w:tcPr>
          <w:p w14:paraId="0B94776F">
            <w:pPr>
              <w:pStyle w:val="8"/>
              <w:suppressLineNumbers w:val="0"/>
              <w:bidi w:val="0"/>
              <w:spacing w:before="0" w:beforeAutospacing="0" w:after="0" w:afterAutospacing="0"/>
              <w:ind w:left="0" w:right="0"/>
              <w:rPr>
                <w:rFonts w:hint="default"/>
                <w:highlight w:val="none"/>
              </w:rPr>
            </w:pPr>
            <w:r>
              <w:rPr>
                <w:rFonts w:hint="default"/>
                <w:highlight w:val="none"/>
              </w:rPr>
              <w:t>-18.49</w:t>
            </w:r>
          </w:p>
        </w:tc>
        <w:tc>
          <w:tcPr>
            <w:tcW w:w="687" w:type="dxa"/>
            <w:shd w:val="clear" w:color="auto" w:fill="auto"/>
            <w:vAlign w:val="center"/>
          </w:tcPr>
          <w:p w14:paraId="40B2092F">
            <w:pPr>
              <w:pStyle w:val="8"/>
              <w:suppressLineNumbers w:val="0"/>
              <w:bidi w:val="0"/>
              <w:spacing w:before="0" w:beforeAutospacing="0" w:after="0" w:afterAutospacing="0"/>
              <w:ind w:left="0" w:right="0"/>
              <w:rPr>
                <w:rFonts w:hint="default"/>
                <w:highlight w:val="none"/>
              </w:rPr>
            </w:pPr>
            <w:r>
              <w:rPr>
                <w:rFonts w:hint="default"/>
                <w:highlight w:val="none"/>
                <w:lang w:val="en-GB"/>
              </w:rPr>
              <w:t>-</w:t>
            </w:r>
            <w:r>
              <w:rPr>
                <w:rFonts w:hint="default"/>
                <w:highlight w:val="none"/>
              </w:rPr>
              <w:t>13.64</w:t>
            </w:r>
          </w:p>
        </w:tc>
        <w:tc>
          <w:tcPr>
            <w:tcW w:w="614" w:type="dxa"/>
            <w:shd w:val="clear" w:color="auto" w:fill="auto"/>
            <w:vAlign w:val="center"/>
          </w:tcPr>
          <w:p w14:paraId="656802B4">
            <w:pPr>
              <w:pStyle w:val="8"/>
              <w:suppressLineNumbers w:val="0"/>
              <w:bidi w:val="0"/>
              <w:spacing w:before="0" w:beforeAutospacing="0" w:after="0" w:afterAutospacing="0"/>
              <w:ind w:left="0" w:right="0"/>
              <w:rPr>
                <w:rFonts w:hint="default"/>
                <w:highlight w:val="none"/>
              </w:rPr>
            </w:pPr>
            <w:r>
              <w:rPr>
                <w:rFonts w:hint="default"/>
                <w:highlight w:val="none"/>
                <w:lang w:val="en-GB"/>
              </w:rPr>
              <w:t>-</w:t>
            </w:r>
            <w:r>
              <w:rPr>
                <w:rFonts w:hint="default"/>
                <w:highlight w:val="none"/>
              </w:rPr>
              <w:t>1.01</w:t>
            </w:r>
          </w:p>
        </w:tc>
        <w:tc>
          <w:tcPr>
            <w:tcW w:w="614" w:type="dxa"/>
            <w:shd w:val="clear" w:color="auto" w:fill="auto"/>
            <w:vAlign w:val="center"/>
          </w:tcPr>
          <w:p w14:paraId="1317155B">
            <w:pPr>
              <w:pStyle w:val="8"/>
              <w:suppressLineNumbers w:val="0"/>
              <w:bidi w:val="0"/>
              <w:spacing w:before="0" w:beforeAutospacing="0" w:after="0" w:afterAutospacing="0"/>
              <w:ind w:left="0" w:right="0"/>
              <w:rPr>
                <w:rFonts w:hint="default"/>
                <w:highlight w:val="none"/>
              </w:rPr>
            </w:pPr>
            <w:r>
              <w:rPr>
                <w:rFonts w:hint="default"/>
                <w:highlight w:val="none"/>
              </w:rPr>
              <w:t>8.86</w:t>
            </w:r>
          </w:p>
        </w:tc>
        <w:tc>
          <w:tcPr>
            <w:tcW w:w="614" w:type="dxa"/>
            <w:shd w:val="clear" w:color="auto" w:fill="auto"/>
            <w:vAlign w:val="center"/>
          </w:tcPr>
          <w:p w14:paraId="2F4FD649">
            <w:pPr>
              <w:pStyle w:val="8"/>
              <w:suppressLineNumbers w:val="0"/>
              <w:bidi w:val="0"/>
              <w:spacing w:before="0" w:beforeAutospacing="0" w:after="0" w:afterAutospacing="0"/>
              <w:ind w:left="0" w:right="0"/>
              <w:rPr>
                <w:rFonts w:hint="default"/>
                <w:highlight w:val="none"/>
              </w:rPr>
            </w:pPr>
            <w:r>
              <w:rPr>
                <w:rFonts w:hint="default"/>
                <w:highlight w:val="none"/>
              </w:rPr>
              <w:t>14.91</w:t>
            </w:r>
          </w:p>
        </w:tc>
        <w:tc>
          <w:tcPr>
            <w:tcW w:w="614" w:type="dxa"/>
            <w:shd w:val="clear" w:color="auto" w:fill="auto"/>
            <w:vAlign w:val="center"/>
          </w:tcPr>
          <w:p w14:paraId="2AED1D82">
            <w:pPr>
              <w:pStyle w:val="8"/>
              <w:suppressLineNumbers w:val="0"/>
              <w:bidi w:val="0"/>
              <w:spacing w:before="0" w:beforeAutospacing="0" w:after="0" w:afterAutospacing="0"/>
              <w:ind w:left="0" w:right="0"/>
              <w:rPr>
                <w:rFonts w:hint="default"/>
                <w:highlight w:val="none"/>
              </w:rPr>
            </w:pPr>
            <w:r>
              <w:rPr>
                <w:rFonts w:hint="default"/>
                <w:highlight w:val="none"/>
              </w:rPr>
              <w:t>20.75</w:t>
            </w:r>
          </w:p>
        </w:tc>
        <w:tc>
          <w:tcPr>
            <w:tcW w:w="614" w:type="dxa"/>
            <w:shd w:val="clear" w:color="auto" w:fill="auto"/>
            <w:vAlign w:val="center"/>
          </w:tcPr>
          <w:p w14:paraId="26BFB87F">
            <w:pPr>
              <w:pStyle w:val="8"/>
              <w:suppressLineNumbers w:val="0"/>
              <w:bidi w:val="0"/>
              <w:spacing w:before="0" w:beforeAutospacing="0" w:after="0" w:afterAutospacing="0"/>
              <w:ind w:left="0" w:right="0"/>
              <w:rPr>
                <w:rFonts w:hint="default"/>
                <w:highlight w:val="none"/>
              </w:rPr>
            </w:pPr>
            <w:r>
              <w:rPr>
                <w:rFonts w:hint="default"/>
                <w:highlight w:val="none"/>
              </w:rPr>
              <w:t>24.66</w:t>
            </w:r>
          </w:p>
        </w:tc>
        <w:tc>
          <w:tcPr>
            <w:tcW w:w="614" w:type="dxa"/>
            <w:shd w:val="clear" w:color="auto" w:fill="auto"/>
            <w:vAlign w:val="center"/>
          </w:tcPr>
          <w:p w14:paraId="5071E8B8">
            <w:pPr>
              <w:pStyle w:val="8"/>
              <w:suppressLineNumbers w:val="0"/>
              <w:bidi w:val="0"/>
              <w:spacing w:before="0" w:beforeAutospacing="0" w:after="0" w:afterAutospacing="0"/>
              <w:ind w:left="0" w:right="0"/>
              <w:rPr>
                <w:rFonts w:hint="default"/>
                <w:highlight w:val="none"/>
              </w:rPr>
            </w:pPr>
            <w:r>
              <w:rPr>
                <w:rFonts w:hint="default"/>
                <w:highlight w:val="none"/>
              </w:rPr>
              <w:t>21.08</w:t>
            </w:r>
          </w:p>
        </w:tc>
        <w:tc>
          <w:tcPr>
            <w:tcW w:w="614" w:type="dxa"/>
            <w:shd w:val="clear" w:color="auto" w:fill="auto"/>
            <w:vAlign w:val="center"/>
          </w:tcPr>
          <w:p w14:paraId="2564D8F0">
            <w:pPr>
              <w:pStyle w:val="8"/>
              <w:suppressLineNumbers w:val="0"/>
              <w:bidi w:val="0"/>
              <w:spacing w:before="0" w:beforeAutospacing="0" w:after="0" w:afterAutospacing="0"/>
              <w:ind w:left="0" w:right="0"/>
              <w:rPr>
                <w:rFonts w:hint="default"/>
                <w:highlight w:val="none"/>
              </w:rPr>
            </w:pPr>
            <w:r>
              <w:rPr>
                <w:rFonts w:hint="default"/>
                <w:highlight w:val="none"/>
              </w:rPr>
              <w:t>16.85</w:t>
            </w:r>
          </w:p>
        </w:tc>
        <w:tc>
          <w:tcPr>
            <w:tcW w:w="723" w:type="dxa"/>
            <w:shd w:val="clear" w:color="auto" w:fill="auto"/>
            <w:vAlign w:val="center"/>
          </w:tcPr>
          <w:p w14:paraId="3FA3E70C">
            <w:pPr>
              <w:pStyle w:val="8"/>
              <w:suppressLineNumbers w:val="0"/>
              <w:bidi w:val="0"/>
              <w:spacing w:before="0" w:beforeAutospacing="0" w:after="0" w:afterAutospacing="0"/>
              <w:ind w:left="0" w:right="0"/>
              <w:rPr>
                <w:rFonts w:hint="default"/>
                <w:highlight w:val="none"/>
              </w:rPr>
            </w:pPr>
            <w:r>
              <w:rPr>
                <w:rFonts w:hint="default"/>
                <w:highlight w:val="none"/>
              </w:rPr>
              <w:t>6.37</w:t>
            </w:r>
          </w:p>
        </w:tc>
        <w:tc>
          <w:tcPr>
            <w:tcW w:w="723" w:type="dxa"/>
            <w:shd w:val="clear" w:color="auto" w:fill="auto"/>
            <w:vAlign w:val="center"/>
          </w:tcPr>
          <w:p w14:paraId="71120879">
            <w:pPr>
              <w:pStyle w:val="8"/>
              <w:suppressLineNumbers w:val="0"/>
              <w:bidi w:val="0"/>
              <w:spacing w:before="0" w:beforeAutospacing="0" w:after="0" w:afterAutospacing="0"/>
              <w:ind w:left="0" w:right="0"/>
              <w:rPr>
                <w:rFonts w:hint="default"/>
                <w:highlight w:val="none"/>
              </w:rPr>
            </w:pPr>
            <w:r>
              <w:rPr>
                <w:rFonts w:hint="default"/>
                <w:highlight w:val="none"/>
              </w:rPr>
              <w:t>-2.8</w:t>
            </w:r>
          </w:p>
        </w:tc>
        <w:tc>
          <w:tcPr>
            <w:tcW w:w="723" w:type="dxa"/>
            <w:shd w:val="clear" w:color="auto" w:fill="auto"/>
            <w:vAlign w:val="center"/>
          </w:tcPr>
          <w:p w14:paraId="48B8452E">
            <w:pPr>
              <w:pStyle w:val="8"/>
              <w:suppressLineNumbers w:val="0"/>
              <w:bidi w:val="0"/>
              <w:spacing w:before="0" w:beforeAutospacing="0" w:after="0" w:afterAutospacing="0"/>
              <w:ind w:left="0" w:right="0"/>
              <w:rPr>
                <w:rFonts w:hint="default"/>
                <w:highlight w:val="none"/>
              </w:rPr>
            </w:pPr>
            <w:r>
              <w:rPr>
                <w:rFonts w:hint="default"/>
                <w:highlight w:val="none"/>
                <w:lang w:val="en-GB"/>
              </w:rPr>
              <w:t>-</w:t>
            </w:r>
            <w:r>
              <w:rPr>
                <w:rFonts w:hint="default"/>
                <w:highlight w:val="none"/>
              </w:rPr>
              <w:t>15.1</w:t>
            </w:r>
          </w:p>
        </w:tc>
      </w:tr>
    </w:tbl>
    <w:p w14:paraId="7411F362">
      <w:pPr>
        <w:pStyle w:val="8"/>
        <w:bidi w:val="0"/>
        <w:rPr>
          <w:highlight w:val="none"/>
        </w:rPr>
      </w:pPr>
      <w:r>
        <w:rPr>
          <w:highlight w:val="none"/>
        </w:rPr>
        <w:drawing>
          <wp:inline distT="0" distB="0" distL="114300" distR="114300">
            <wp:extent cx="4772025" cy="1592580"/>
            <wp:effectExtent l="0" t="0" r="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35"/>
                    <a:srcRect b="5997"/>
                    <a:stretch>
                      <a:fillRect/>
                    </a:stretch>
                  </pic:blipFill>
                  <pic:spPr>
                    <a:xfrm>
                      <a:off x="0" y="0"/>
                      <a:ext cx="4772025" cy="1592580"/>
                    </a:xfrm>
                    <a:prstGeom prst="rect">
                      <a:avLst/>
                    </a:prstGeom>
                    <a:noFill/>
                    <a:ln>
                      <a:solidFill>
                        <a:schemeClr val="tx1"/>
                      </a:solidFill>
                    </a:ln>
                  </pic:spPr>
                </pic:pic>
              </a:graphicData>
            </a:graphic>
          </wp:inline>
        </w:drawing>
      </w:r>
    </w:p>
    <w:p w14:paraId="3254D246">
      <w:pPr>
        <w:pStyle w:val="7"/>
        <w:bidi w:val="0"/>
        <w:rPr>
          <w:highlight w:val="none"/>
        </w:rPr>
      </w:pPr>
      <w:r>
        <w:rPr>
          <w:highlight w:val="none"/>
        </w:rPr>
        <w:t>图4-1-4哈尔滨</w:t>
      </w:r>
      <w:r>
        <w:rPr>
          <w:rFonts w:hint="eastAsia"/>
          <w:highlight w:val="none"/>
          <w:lang w:val="en-US" w:eastAsia="zh-CN"/>
        </w:rPr>
        <w:t>近20</w:t>
      </w:r>
      <w:r>
        <w:rPr>
          <w:highlight w:val="none"/>
        </w:rPr>
        <w:t>年平均温度的月变化曲线</w:t>
      </w:r>
    </w:p>
    <w:p w14:paraId="2184C341">
      <w:pPr>
        <w:pStyle w:val="5"/>
        <w:bidi w:val="0"/>
        <w:rPr>
          <w:highlight w:val="none"/>
        </w:rPr>
      </w:pPr>
      <w:bookmarkStart w:id="280" w:name="_Toc17583"/>
      <w:bookmarkStart w:id="281" w:name="_Toc20985"/>
      <w:r>
        <w:rPr>
          <w:highlight w:val="none"/>
        </w:rPr>
        <w:t>4.1.3地形地貌</w:t>
      </w:r>
      <w:bookmarkEnd w:id="280"/>
      <w:bookmarkEnd w:id="281"/>
    </w:p>
    <w:p w14:paraId="2FB99487">
      <w:pPr>
        <w:bidi w:val="0"/>
        <w:rPr>
          <w:highlight w:val="none"/>
        </w:rPr>
      </w:pPr>
      <w:bookmarkStart w:id="282" w:name="_Toc9869"/>
      <w:bookmarkStart w:id="283" w:name="_Toc241292978"/>
      <w:r>
        <w:rPr>
          <w:highlight w:val="none"/>
        </w:rPr>
        <w:t>1、城市区域</w:t>
      </w:r>
      <w:bookmarkEnd w:id="282"/>
    </w:p>
    <w:p w14:paraId="529BD6DF">
      <w:pPr>
        <w:bidi w:val="0"/>
        <w:rPr>
          <w:highlight w:val="none"/>
        </w:rPr>
      </w:pPr>
      <w:r>
        <w:rPr>
          <w:highlight w:val="none"/>
        </w:rPr>
        <w:t>哈尔滨区域上地貌单元为松花江漫滩、一级阶地及岗阜状高平原，地势从北向南（即从高漫滩到岗阜状高平原）由低（高程120m）逐渐升高（高程130～190m）。西北端的高漫滩地势较低而平坦，其上发育有小型砂垄、砂岗、沼泽或沼泽化地段和牛轭湖。西北部的一级阶地，地势较高（高程130～140m），前缘高出高漫滩10~15m，阶地面较平坦，微向高漫滩倾斜。</w:t>
      </w:r>
    </w:p>
    <w:p w14:paraId="6DD845A8">
      <w:pPr>
        <w:bidi w:val="0"/>
        <w:rPr>
          <w:highlight w:val="none"/>
        </w:rPr>
      </w:pPr>
      <w:r>
        <w:rPr>
          <w:highlight w:val="none"/>
        </w:rPr>
        <w:t>地貌轮廓受基岩地质构造和新构造运动控制，第四纪以后，以沉降为主的震荡运动，形成了一个被第四纪堆积物填充的继承性沉降盆地。由于沉降的不均匀。基底是不平坦的，形成了不连续的洼地和小的隆起。第四纪初期，接受了大量的冰水堆积的沙砾石层，后期沉积了巨厚的黄土粘土，构成了土壤母质。形成剥蚀堆积的两种不同成因的地貌单元，第四纪以后，受流水作用的侵蚀，形成了河谷、漫滩、阶地和平原。哈尔滨市基土为第四纪淤泥层，地表为耕地覆盖，以下均为粉质粘土层，地耐力为110kPa，土壤为季节性冻土。地震烈度为6度。</w:t>
      </w:r>
    </w:p>
    <w:p w14:paraId="5944C457">
      <w:pPr>
        <w:bidi w:val="0"/>
        <w:rPr>
          <w:highlight w:val="none"/>
        </w:rPr>
      </w:pPr>
      <w:bookmarkStart w:id="284" w:name="_Toc7469"/>
      <w:r>
        <w:rPr>
          <w:highlight w:val="none"/>
        </w:rPr>
        <w:t>2、厂区区域</w:t>
      </w:r>
      <w:bookmarkEnd w:id="284"/>
    </w:p>
    <w:p w14:paraId="5EEF71DD">
      <w:pPr>
        <w:bidi w:val="0"/>
        <w:rPr>
          <w:highlight w:val="none"/>
        </w:rPr>
      </w:pPr>
      <w:r>
        <w:rPr>
          <w:highlight w:val="none"/>
        </w:rPr>
        <w:t>厂址处地层由冲积成因粉质粘土组成，粉质粘土状态较好，承载能力较高。季节冻土深度为2.0m，厂址勘察深度25m内未见地下水，地震烈度为6度，场地稳定性较好。</w:t>
      </w:r>
    </w:p>
    <w:p w14:paraId="11BD6B1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eastAsiaTheme="minorEastAsia"/>
          <w:bCs/>
          <w:sz w:val="28"/>
          <w:szCs w:val="28"/>
          <w:highlight w:val="none"/>
        </w:rPr>
      </w:pPr>
      <w:r>
        <w:rPr>
          <w:rFonts w:eastAsiaTheme="minorEastAsia"/>
          <w:bCs/>
          <w:sz w:val="28"/>
          <w:szCs w:val="28"/>
          <w:highlight w:val="none"/>
        </w:rPr>
        <w:drawing>
          <wp:inline distT="0" distB="0" distL="0" distR="0">
            <wp:extent cx="5440680" cy="5177790"/>
            <wp:effectExtent l="9525" t="9525" r="17145" b="13335"/>
            <wp:docPr id="454" name="图片 34" descr="C:\Users\Administrator\Desktop\RLB_P[XNXZ8%]~76KQXEG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34" descr="C:\Users\Administrator\Desktop\RLB_P[XNXZ8%]~76KQXEGQH.jpg"/>
                    <pic:cNvPicPr>
                      <a:picLocks noChangeAspect="1" noChangeArrowheads="1"/>
                    </pic:cNvPicPr>
                  </pic:nvPicPr>
                  <pic:blipFill>
                    <a:blip r:embed="rId36" cstate="print"/>
                    <a:srcRect/>
                    <a:stretch>
                      <a:fillRect/>
                    </a:stretch>
                  </pic:blipFill>
                  <pic:spPr>
                    <a:xfrm>
                      <a:off x="0" y="0"/>
                      <a:ext cx="5440680" cy="5177790"/>
                    </a:xfrm>
                    <a:prstGeom prst="rect">
                      <a:avLst/>
                    </a:prstGeom>
                    <a:noFill/>
                    <a:ln w="9525">
                      <a:solidFill>
                        <a:schemeClr val="tx1"/>
                      </a:solidFill>
                      <a:miter lim="800000"/>
                      <a:headEnd/>
                      <a:tailEnd/>
                    </a:ln>
                  </pic:spPr>
                </pic:pic>
              </a:graphicData>
            </a:graphic>
          </wp:inline>
        </w:drawing>
      </w:r>
    </w:p>
    <w:p w14:paraId="7D9F3561">
      <w:pPr>
        <w:pStyle w:val="7"/>
        <w:bidi w:val="0"/>
        <w:rPr>
          <w:highlight w:val="none"/>
        </w:rPr>
      </w:pPr>
      <w:r>
        <w:rPr>
          <w:highlight w:val="none"/>
        </w:rPr>
        <w:t>图4-1-5</w:t>
      </w:r>
      <w:r>
        <w:rPr>
          <w:rFonts w:hint="eastAsia"/>
          <w:highlight w:val="none"/>
        </w:rPr>
        <w:t xml:space="preserve"> </w:t>
      </w:r>
      <w:r>
        <w:rPr>
          <w:highlight w:val="none"/>
        </w:rPr>
        <w:t>评价区域地形地貌图</w:t>
      </w:r>
    </w:p>
    <w:p w14:paraId="5B0D1BC1">
      <w:pPr>
        <w:pStyle w:val="5"/>
        <w:bidi w:val="0"/>
        <w:rPr>
          <w:highlight w:val="none"/>
        </w:rPr>
      </w:pPr>
      <w:bookmarkStart w:id="285" w:name="_Toc31354"/>
      <w:bookmarkStart w:id="286" w:name="_Toc1941"/>
      <w:r>
        <w:rPr>
          <w:highlight w:val="none"/>
        </w:rPr>
        <w:t>4.1.4地质特征</w:t>
      </w:r>
      <w:bookmarkEnd w:id="285"/>
      <w:bookmarkEnd w:id="286"/>
    </w:p>
    <w:p w14:paraId="75869641">
      <w:pPr>
        <w:bidi w:val="0"/>
        <w:rPr>
          <w:highlight w:val="none"/>
        </w:rPr>
      </w:pPr>
      <w:r>
        <w:rPr>
          <w:highlight w:val="none"/>
        </w:rPr>
        <w:t>哈尔滨整个区域上第四系广泛分布，从松花江漫滩到一级阶地再到岗阜状高平原第四系分布有：全新统近代、现代河流堆积；上更新统顾乡屯组、哈尔滨组；中更新统上荒山组、下荒山组；下更新统猞猁组。下伏白垩系上统嫩江组泥岩、粉砂质泥岩，为隔水层。区域及周边地区地层详见表4-1-5。</w:t>
      </w:r>
    </w:p>
    <w:p w14:paraId="221B5048">
      <w:pPr>
        <w:pStyle w:val="8"/>
        <w:bidi w:val="0"/>
        <w:rPr>
          <w:highlight w:val="none"/>
        </w:rPr>
      </w:pPr>
    </w:p>
    <w:p w14:paraId="4325EB33">
      <w:pPr>
        <w:pStyle w:val="8"/>
        <w:bidi w:val="0"/>
        <w:rPr>
          <w:highlight w:val="none"/>
        </w:rPr>
      </w:pPr>
    </w:p>
    <w:p w14:paraId="483E7ADC">
      <w:pPr>
        <w:pStyle w:val="8"/>
        <w:bidi w:val="0"/>
        <w:rPr>
          <w:highlight w:val="none"/>
        </w:rPr>
      </w:pPr>
    </w:p>
    <w:p w14:paraId="31D6A026">
      <w:pPr>
        <w:pStyle w:val="8"/>
        <w:bidi w:val="0"/>
        <w:rPr>
          <w:highlight w:val="none"/>
        </w:rPr>
      </w:pPr>
    </w:p>
    <w:p w14:paraId="5A6B671B">
      <w:pPr>
        <w:pStyle w:val="8"/>
        <w:bidi w:val="0"/>
        <w:rPr>
          <w:highlight w:val="none"/>
        </w:rPr>
      </w:pPr>
    </w:p>
    <w:p w14:paraId="0DFD1C25">
      <w:pPr>
        <w:pStyle w:val="8"/>
        <w:bidi w:val="0"/>
        <w:rPr>
          <w:highlight w:val="none"/>
        </w:rPr>
      </w:pPr>
    </w:p>
    <w:p w14:paraId="037716D3">
      <w:pPr>
        <w:pStyle w:val="8"/>
        <w:bidi w:val="0"/>
        <w:rPr>
          <w:highlight w:val="none"/>
        </w:rPr>
      </w:pPr>
    </w:p>
    <w:p w14:paraId="0DD0D101">
      <w:pPr>
        <w:pStyle w:val="7"/>
        <w:bidi w:val="0"/>
        <w:rPr>
          <w:highlight w:val="none"/>
        </w:rPr>
      </w:pPr>
      <w:r>
        <w:rPr>
          <w:highlight w:val="none"/>
        </w:rPr>
        <w:t>表4-1-5区域第四系地层简表</w:t>
      </w:r>
    </w:p>
    <w:tbl>
      <w:tblPr>
        <w:tblStyle w:val="44"/>
        <w:tblW w:w="8946"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65"/>
        <w:gridCol w:w="465"/>
        <w:gridCol w:w="960"/>
        <w:gridCol w:w="765"/>
        <w:gridCol w:w="855"/>
        <w:gridCol w:w="4993"/>
      </w:tblGrid>
      <w:tr w14:paraId="01FA3D7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3" w:type="dxa"/>
            <w:shd w:val="clear" w:color="auto" w:fill="auto"/>
            <w:vAlign w:val="center"/>
          </w:tcPr>
          <w:p w14:paraId="49A649CB">
            <w:pPr>
              <w:pStyle w:val="8"/>
              <w:suppressLineNumbers w:val="0"/>
              <w:bidi w:val="0"/>
              <w:spacing w:before="0" w:beforeAutospacing="0" w:after="0" w:afterAutospacing="0"/>
              <w:ind w:left="0" w:right="0"/>
              <w:rPr>
                <w:rFonts w:hint="default"/>
                <w:highlight w:val="none"/>
              </w:rPr>
            </w:pPr>
            <w:r>
              <w:rPr>
                <w:rFonts w:hint="default"/>
                <w:highlight w:val="none"/>
              </w:rPr>
              <w:t>界</w:t>
            </w:r>
          </w:p>
        </w:tc>
        <w:tc>
          <w:tcPr>
            <w:tcW w:w="465" w:type="dxa"/>
            <w:shd w:val="clear" w:color="auto" w:fill="auto"/>
            <w:vAlign w:val="center"/>
          </w:tcPr>
          <w:p w14:paraId="09657B12">
            <w:pPr>
              <w:pStyle w:val="8"/>
              <w:suppressLineNumbers w:val="0"/>
              <w:bidi w:val="0"/>
              <w:spacing w:before="0" w:beforeAutospacing="0" w:after="0" w:afterAutospacing="0"/>
              <w:ind w:left="0" w:right="0"/>
              <w:rPr>
                <w:rFonts w:hint="default"/>
                <w:highlight w:val="none"/>
              </w:rPr>
            </w:pPr>
            <w:r>
              <w:rPr>
                <w:rFonts w:hint="default"/>
                <w:highlight w:val="none"/>
              </w:rPr>
              <w:t>系</w:t>
            </w:r>
          </w:p>
        </w:tc>
        <w:tc>
          <w:tcPr>
            <w:tcW w:w="465" w:type="dxa"/>
            <w:shd w:val="clear" w:color="auto" w:fill="auto"/>
            <w:vAlign w:val="center"/>
          </w:tcPr>
          <w:p w14:paraId="4626EFDE">
            <w:pPr>
              <w:pStyle w:val="8"/>
              <w:suppressLineNumbers w:val="0"/>
              <w:bidi w:val="0"/>
              <w:spacing w:before="0" w:beforeAutospacing="0" w:after="0" w:afterAutospacing="0"/>
              <w:ind w:left="0" w:right="0"/>
              <w:rPr>
                <w:rFonts w:hint="default"/>
                <w:highlight w:val="none"/>
              </w:rPr>
            </w:pPr>
            <w:r>
              <w:rPr>
                <w:rFonts w:hint="default"/>
                <w:highlight w:val="none"/>
              </w:rPr>
              <w:t>统</w:t>
            </w:r>
          </w:p>
        </w:tc>
        <w:tc>
          <w:tcPr>
            <w:tcW w:w="960" w:type="dxa"/>
            <w:shd w:val="clear" w:color="auto" w:fill="auto"/>
            <w:vAlign w:val="center"/>
          </w:tcPr>
          <w:p w14:paraId="302498AF">
            <w:pPr>
              <w:pStyle w:val="8"/>
              <w:suppressLineNumbers w:val="0"/>
              <w:bidi w:val="0"/>
              <w:spacing w:before="0" w:beforeAutospacing="0" w:after="0" w:afterAutospacing="0"/>
              <w:ind w:left="0" w:right="0"/>
              <w:rPr>
                <w:rFonts w:hint="default"/>
                <w:highlight w:val="none"/>
              </w:rPr>
            </w:pPr>
            <w:r>
              <w:rPr>
                <w:rFonts w:hint="default"/>
                <w:highlight w:val="none"/>
              </w:rPr>
              <w:t>组</w:t>
            </w:r>
          </w:p>
        </w:tc>
        <w:tc>
          <w:tcPr>
            <w:tcW w:w="765" w:type="dxa"/>
            <w:shd w:val="clear" w:color="auto" w:fill="auto"/>
            <w:vAlign w:val="center"/>
          </w:tcPr>
          <w:p w14:paraId="223E6F65">
            <w:pPr>
              <w:pStyle w:val="8"/>
              <w:suppressLineNumbers w:val="0"/>
              <w:bidi w:val="0"/>
              <w:spacing w:before="0" w:beforeAutospacing="0" w:after="0" w:afterAutospacing="0"/>
              <w:ind w:left="0" w:right="0"/>
              <w:rPr>
                <w:rFonts w:hint="default"/>
                <w:highlight w:val="none"/>
              </w:rPr>
            </w:pPr>
            <w:r>
              <w:rPr>
                <w:rFonts w:hint="default"/>
                <w:highlight w:val="none"/>
              </w:rPr>
              <w:t>代号</w:t>
            </w:r>
          </w:p>
        </w:tc>
        <w:tc>
          <w:tcPr>
            <w:tcW w:w="855" w:type="dxa"/>
            <w:shd w:val="clear" w:color="auto" w:fill="auto"/>
            <w:vAlign w:val="center"/>
          </w:tcPr>
          <w:p w14:paraId="3BA52183">
            <w:pPr>
              <w:pStyle w:val="8"/>
              <w:suppressLineNumbers w:val="0"/>
              <w:bidi w:val="0"/>
              <w:spacing w:before="0" w:beforeAutospacing="0" w:after="0" w:afterAutospacing="0"/>
              <w:ind w:left="0" w:right="0"/>
              <w:rPr>
                <w:rFonts w:hint="default"/>
                <w:highlight w:val="none"/>
              </w:rPr>
            </w:pPr>
            <w:r>
              <w:rPr>
                <w:rFonts w:hint="default"/>
                <w:highlight w:val="none"/>
              </w:rPr>
              <w:t>厚度</w:t>
            </w:r>
          </w:p>
        </w:tc>
        <w:tc>
          <w:tcPr>
            <w:tcW w:w="4993" w:type="dxa"/>
            <w:shd w:val="clear" w:color="auto" w:fill="auto"/>
            <w:vAlign w:val="center"/>
          </w:tcPr>
          <w:p w14:paraId="2C34FCA7">
            <w:pPr>
              <w:pStyle w:val="8"/>
              <w:suppressLineNumbers w:val="0"/>
              <w:bidi w:val="0"/>
              <w:spacing w:before="0" w:beforeAutospacing="0" w:after="0" w:afterAutospacing="0"/>
              <w:ind w:left="0" w:right="0"/>
              <w:rPr>
                <w:rFonts w:hint="default"/>
                <w:highlight w:val="none"/>
              </w:rPr>
            </w:pPr>
            <w:r>
              <w:rPr>
                <w:rFonts w:hint="default"/>
                <w:highlight w:val="none"/>
              </w:rPr>
              <w:t>岩性简述</w:t>
            </w:r>
          </w:p>
        </w:tc>
      </w:tr>
      <w:tr w14:paraId="0F2EF01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3" w:type="dxa"/>
            <w:vMerge w:val="restart"/>
            <w:shd w:val="clear" w:color="auto" w:fill="auto"/>
            <w:vAlign w:val="center"/>
          </w:tcPr>
          <w:p w14:paraId="55B5E1E5">
            <w:pPr>
              <w:pStyle w:val="8"/>
              <w:suppressLineNumbers w:val="0"/>
              <w:bidi w:val="0"/>
              <w:spacing w:before="0" w:beforeAutospacing="0" w:after="0" w:afterAutospacing="0"/>
              <w:ind w:left="0" w:right="0"/>
              <w:rPr>
                <w:rFonts w:hint="default"/>
                <w:highlight w:val="none"/>
              </w:rPr>
            </w:pPr>
            <w:r>
              <w:rPr>
                <w:rFonts w:hint="default"/>
                <w:highlight w:val="none"/>
              </w:rPr>
              <w:t>新生界</w:t>
            </w:r>
          </w:p>
        </w:tc>
        <w:tc>
          <w:tcPr>
            <w:tcW w:w="465" w:type="dxa"/>
            <w:vMerge w:val="restart"/>
            <w:shd w:val="clear" w:color="auto" w:fill="auto"/>
            <w:vAlign w:val="center"/>
          </w:tcPr>
          <w:p w14:paraId="302D0847">
            <w:pPr>
              <w:pStyle w:val="8"/>
              <w:suppressLineNumbers w:val="0"/>
              <w:bidi w:val="0"/>
              <w:spacing w:before="0" w:beforeAutospacing="0" w:after="0" w:afterAutospacing="0"/>
              <w:ind w:left="0" w:right="0"/>
              <w:rPr>
                <w:rFonts w:hint="default"/>
                <w:highlight w:val="none"/>
              </w:rPr>
            </w:pPr>
            <w:r>
              <w:rPr>
                <w:rFonts w:hint="default"/>
                <w:highlight w:val="none"/>
              </w:rPr>
              <w:t>第四系</w:t>
            </w:r>
          </w:p>
        </w:tc>
        <w:tc>
          <w:tcPr>
            <w:tcW w:w="465" w:type="dxa"/>
            <w:shd w:val="clear" w:color="auto" w:fill="auto"/>
            <w:vAlign w:val="center"/>
          </w:tcPr>
          <w:p w14:paraId="407C26D2">
            <w:pPr>
              <w:pStyle w:val="8"/>
              <w:suppressLineNumbers w:val="0"/>
              <w:bidi w:val="0"/>
              <w:spacing w:before="0" w:beforeAutospacing="0" w:after="0" w:afterAutospacing="0"/>
              <w:ind w:left="0" w:right="0"/>
              <w:rPr>
                <w:rFonts w:hint="default"/>
                <w:highlight w:val="none"/>
              </w:rPr>
            </w:pPr>
            <w:r>
              <w:rPr>
                <w:rFonts w:hint="default"/>
                <w:highlight w:val="none"/>
              </w:rPr>
              <w:t>全新统</w:t>
            </w:r>
          </w:p>
        </w:tc>
        <w:tc>
          <w:tcPr>
            <w:tcW w:w="960" w:type="dxa"/>
            <w:shd w:val="clear" w:color="auto" w:fill="auto"/>
            <w:vAlign w:val="center"/>
          </w:tcPr>
          <w:p w14:paraId="56293264">
            <w:pPr>
              <w:pStyle w:val="8"/>
              <w:suppressLineNumbers w:val="0"/>
              <w:bidi w:val="0"/>
              <w:spacing w:before="0" w:beforeAutospacing="0" w:after="0" w:afterAutospacing="0"/>
              <w:ind w:left="0" w:right="0"/>
              <w:rPr>
                <w:rFonts w:hint="default"/>
                <w:highlight w:val="none"/>
              </w:rPr>
            </w:pPr>
            <w:r>
              <w:rPr>
                <w:rFonts w:hint="default"/>
                <w:highlight w:val="none"/>
              </w:rPr>
              <w:t>冲积层</w:t>
            </w:r>
          </w:p>
        </w:tc>
        <w:tc>
          <w:tcPr>
            <w:tcW w:w="765" w:type="dxa"/>
            <w:shd w:val="clear" w:color="auto" w:fill="auto"/>
            <w:vAlign w:val="center"/>
          </w:tcPr>
          <w:p w14:paraId="7BF5C355">
            <w:pPr>
              <w:pStyle w:val="8"/>
              <w:suppressLineNumbers w:val="0"/>
              <w:bidi w:val="0"/>
              <w:spacing w:before="0" w:beforeAutospacing="0" w:after="0" w:afterAutospacing="0"/>
              <w:ind w:left="0" w:right="0"/>
              <w:rPr>
                <w:rFonts w:hint="default"/>
                <w:highlight w:val="none"/>
              </w:rPr>
            </w:pPr>
            <w:r>
              <w:rPr>
                <w:rFonts w:hint="default" w:eastAsiaTheme="minorEastAsia"/>
                <w:szCs w:val="21"/>
                <w:highlight w:val="none"/>
              </w:rPr>
              <w:object>
                <v:shape id="_x0000_i1025" o:spt="75" type="#_x0000_t75" style="height:17.3pt;width:17.3pt;" o:ole="t" filled="f" coordsize="21600,21600">
                  <v:path/>
                  <v:fill on="f" focussize="0,0"/>
                  <v:stroke/>
                  <v:imagedata r:id="rId37" o:title=""/>
                  <o:lock v:ext="edit" aspectratio="t"/>
                  <w10:wrap type="none"/>
                  <w10:anchorlock/>
                </v:shape>
                <o:OLEObject Type="Embed" ProgID="Visio.Drawing.11" ShapeID="_x0000_i1025" DrawAspect="Content" ObjectID="_1468075725">
                  <o:LockedField>false</o:LockedField>
                </o:OLEObject>
              </w:object>
            </w:r>
          </w:p>
        </w:tc>
        <w:tc>
          <w:tcPr>
            <w:tcW w:w="855" w:type="dxa"/>
            <w:shd w:val="clear" w:color="auto" w:fill="auto"/>
            <w:vAlign w:val="center"/>
          </w:tcPr>
          <w:p w14:paraId="6ACF7B0A">
            <w:pPr>
              <w:pStyle w:val="8"/>
              <w:suppressLineNumbers w:val="0"/>
              <w:bidi w:val="0"/>
              <w:spacing w:before="0" w:beforeAutospacing="0" w:after="0" w:afterAutospacing="0"/>
              <w:ind w:left="0" w:right="0"/>
              <w:rPr>
                <w:rFonts w:hint="default"/>
                <w:highlight w:val="none"/>
              </w:rPr>
            </w:pPr>
            <w:r>
              <w:rPr>
                <w:rFonts w:hint="default"/>
                <w:highlight w:val="none"/>
              </w:rPr>
              <w:t>10-40m</w:t>
            </w:r>
          </w:p>
        </w:tc>
        <w:tc>
          <w:tcPr>
            <w:tcW w:w="4993" w:type="dxa"/>
            <w:shd w:val="clear" w:color="auto" w:fill="auto"/>
            <w:vAlign w:val="center"/>
          </w:tcPr>
          <w:p w14:paraId="6662B099">
            <w:pPr>
              <w:pStyle w:val="8"/>
              <w:suppressLineNumbers w:val="0"/>
              <w:bidi w:val="0"/>
              <w:spacing w:before="0" w:beforeAutospacing="0" w:after="0" w:afterAutospacing="0"/>
              <w:ind w:left="0" w:right="0"/>
              <w:rPr>
                <w:rFonts w:hint="default"/>
                <w:highlight w:val="none"/>
              </w:rPr>
            </w:pPr>
            <w:r>
              <w:rPr>
                <w:rFonts w:hint="default"/>
                <w:highlight w:val="none"/>
              </w:rPr>
              <w:t>运粮河等沟谷地段上部为淤泥质粉质粘土，粉砂土和粉细砂互层。松花江高漫滩上部主要为黄色粉细砂，下部为灰色淤泥质粉质粘土和灰色中粗砂互层，砂以石英为主，含少量铁质结核。</w:t>
            </w:r>
          </w:p>
        </w:tc>
      </w:tr>
      <w:tr w14:paraId="705CEDE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3" w:type="dxa"/>
            <w:vMerge w:val="continue"/>
            <w:shd w:val="clear" w:color="auto" w:fill="auto"/>
            <w:vAlign w:val="center"/>
          </w:tcPr>
          <w:p w14:paraId="606D6E92">
            <w:pPr>
              <w:pStyle w:val="8"/>
              <w:suppressLineNumbers w:val="0"/>
              <w:bidi w:val="0"/>
              <w:spacing w:before="0" w:beforeAutospacing="0" w:after="0" w:afterAutospacing="0"/>
              <w:ind w:left="0" w:right="0"/>
              <w:rPr>
                <w:rFonts w:hint="default"/>
                <w:highlight w:val="none"/>
              </w:rPr>
            </w:pPr>
          </w:p>
        </w:tc>
        <w:tc>
          <w:tcPr>
            <w:tcW w:w="465" w:type="dxa"/>
            <w:vMerge w:val="continue"/>
            <w:shd w:val="clear" w:color="auto" w:fill="auto"/>
            <w:vAlign w:val="center"/>
          </w:tcPr>
          <w:p w14:paraId="060E5AE2">
            <w:pPr>
              <w:pStyle w:val="8"/>
              <w:suppressLineNumbers w:val="0"/>
              <w:bidi w:val="0"/>
              <w:spacing w:before="0" w:beforeAutospacing="0" w:after="0" w:afterAutospacing="0"/>
              <w:ind w:left="0" w:right="0"/>
              <w:rPr>
                <w:rFonts w:hint="default"/>
                <w:highlight w:val="none"/>
              </w:rPr>
            </w:pPr>
          </w:p>
        </w:tc>
        <w:tc>
          <w:tcPr>
            <w:tcW w:w="465" w:type="dxa"/>
            <w:vMerge w:val="restart"/>
            <w:shd w:val="clear" w:color="auto" w:fill="auto"/>
            <w:vAlign w:val="center"/>
          </w:tcPr>
          <w:p w14:paraId="07AF329C">
            <w:pPr>
              <w:pStyle w:val="8"/>
              <w:suppressLineNumbers w:val="0"/>
              <w:bidi w:val="0"/>
              <w:spacing w:before="0" w:beforeAutospacing="0" w:after="0" w:afterAutospacing="0"/>
              <w:ind w:left="0" w:right="0"/>
              <w:rPr>
                <w:rFonts w:hint="default"/>
                <w:highlight w:val="none"/>
              </w:rPr>
            </w:pPr>
            <w:r>
              <w:rPr>
                <w:rFonts w:hint="default"/>
                <w:highlight w:val="none"/>
              </w:rPr>
              <w:t>上更新统</w:t>
            </w:r>
          </w:p>
        </w:tc>
        <w:tc>
          <w:tcPr>
            <w:tcW w:w="960" w:type="dxa"/>
            <w:shd w:val="clear" w:color="auto" w:fill="auto"/>
            <w:vAlign w:val="center"/>
          </w:tcPr>
          <w:p w14:paraId="7A0BF4EE">
            <w:pPr>
              <w:pStyle w:val="8"/>
              <w:suppressLineNumbers w:val="0"/>
              <w:bidi w:val="0"/>
              <w:spacing w:before="0" w:beforeAutospacing="0" w:after="0" w:afterAutospacing="0"/>
              <w:ind w:left="0" w:right="0"/>
              <w:rPr>
                <w:rFonts w:hint="default"/>
                <w:highlight w:val="none"/>
              </w:rPr>
            </w:pPr>
            <w:r>
              <w:rPr>
                <w:rFonts w:hint="default"/>
                <w:highlight w:val="none"/>
              </w:rPr>
              <w:t>顾乡屯组</w:t>
            </w:r>
          </w:p>
        </w:tc>
        <w:tc>
          <w:tcPr>
            <w:tcW w:w="765" w:type="dxa"/>
            <w:shd w:val="clear" w:color="auto" w:fill="auto"/>
            <w:vAlign w:val="center"/>
          </w:tcPr>
          <w:p w14:paraId="1CAA077F">
            <w:pPr>
              <w:pStyle w:val="8"/>
              <w:suppressLineNumbers w:val="0"/>
              <w:bidi w:val="0"/>
              <w:spacing w:before="0" w:beforeAutospacing="0" w:after="0" w:afterAutospacing="0"/>
              <w:ind w:left="0" w:right="0"/>
              <w:rPr>
                <w:rFonts w:hint="default"/>
                <w:highlight w:val="none"/>
              </w:rPr>
            </w:pPr>
            <w:r>
              <w:rPr>
                <w:rFonts w:hint="default" w:eastAsiaTheme="minorEastAsia"/>
                <w:szCs w:val="21"/>
                <w:highlight w:val="none"/>
              </w:rPr>
              <w:object>
                <v:shape id="_x0000_i1026" o:spt="75" type="#_x0000_t75" style="height:19.6pt;width:19.6pt;" o:ole="t" filled="f" coordsize="21600,21600">
                  <v:path/>
                  <v:fill on="f" focussize="0,0"/>
                  <v:stroke/>
                  <v:imagedata r:id="rId39" o:title=""/>
                  <o:lock v:ext="edit" aspectratio="t"/>
                  <w10:wrap type="none"/>
                  <w10:anchorlock/>
                </v:shape>
                <o:OLEObject Type="Embed" ProgID="Equation.3" ShapeID="_x0000_i1026" DrawAspect="Content" ObjectID="_1468075726" r:id="rId38">
                  <o:LockedField>false</o:LockedField>
                </o:OLEObject>
              </w:object>
            </w:r>
          </w:p>
        </w:tc>
        <w:tc>
          <w:tcPr>
            <w:tcW w:w="855" w:type="dxa"/>
            <w:shd w:val="clear" w:color="auto" w:fill="auto"/>
            <w:vAlign w:val="center"/>
          </w:tcPr>
          <w:p w14:paraId="2F32044D">
            <w:pPr>
              <w:pStyle w:val="8"/>
              <w:suppressLineNumbers w:val="0"/>
              <w:bidi w:val="0"/>
              <w:spacing w:before="0" w:beforeAutospacing="0" w:after="0" w:afterAutospacing="0"/>
              <w:ind w:left="0" w:right="0"/>
              <w:rPr>
                <w:rFonts w:hint="default"/>
                <w:highlight w:val="none"/>
              </w:rPr>
            </w:pPr>
            <w:r>
              <w:rPr>
                <w:rFonts w:hint="default"/>
                <w:highlight w:val="none"/>
              </w:rPr>
              <w:t>55-75m</w:t>
            </w:r>
          </w:p>
        </w:tc>
        <w:tc>
          <w:tcPr>
            <w:tcW w:w="4993" w:type="dxa"/>
            <w:shd w:val="clear" w:color="auto" w:fill="auto"/>
            <w:vAlign w:val="center"/>
          </w:tcPr>
          <w:p w14:paraId="4A557E73">
            <w:pPr>
              <w:pStyle w:val="8"/>
              <w:suppressLineNumbers w:val="0"/>
              <w:bidi w:val="0"/>
              <w:spacing w:before="0" w:beforeAutospacing="0" w:after="0" w:afterAutospacing="0"/>
              <w:ind w:left="0" w:right="0"/>
              <w:rPr>
                <w:rFonts w:hint="default"/>
                <w:highlight w:val="none"/>
              </w:rPr>
            </w:pPr>
            <w:r>
              <w:rPr>
                <w:rFonts w:hint="default"/>
                <w:highlight w:val="none"/>
              </w:rPr>
              <w:t>分布于松花江阶地区。上部为黄土状粉质粘土，具孔隙，垂直节理发育，下部为淤泥质粉质粘土、粉砂土和中细砂，含砾石中粗砂互层。显微层理，具铁染和铁质斑点，砂和砾分选较好，砾径3－10mm，磨圆中等，成份以石英为主。</w:t>
            </w:r>
          </w:p>
        </w:tc>
      </w:tr>
      <w:tr w14:paraId="4E7B624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3" w:type="dxa"/>
            <w:vMerge w:val="continue"/>
            <w:shd w:val="clear" w:color="auto" w:fill="auto"/>
            <w:vAlign w:val="center"/>
          </w:tcPr>
          <w:p w14:paraId="2E9D7ED1">
            <w:pPr>
              <w:pStyle w:val="8"/>
              <w:suppressLineNumbers w:val="0"/>
              <w:bidi w:val="0"/>
              <w:spacing w:before="0" w:beforeAutospacing="0" w:after="0" w:afterAutospacing="0"/>
              <w:ind w:left="0" w:right="0"/>
              <w:rPr>
                <w:rFonts w:hint="default"/>
                <w:highlight w:val="none"/>
              </w:rPr>
            </w:pPr>
          </w:p>
        </w:tc>
        <w:tc>
          <w:tcPr>
            <w:tcW w:w="465" w:type="dxa"/>
            <w:vMerge w:val="continue"/>
            <w:shd w:val="clear" w:color="auto" w:fill="auto"/>
            <w:vAlign w:val="center"/>
          </w:tcPr>
          <w:p w14:paraId="424CFA1A">
            <w:pPr>
              <w:pStyle w:val="8"/>
              <w:suppressLineNumbers w:val="0"/>
              <w:bidi w:val="0"/>
              <w:spacing w:before="0" w:beforeAutospacing="0" w:after="0" w:afterAutospacing="0"/>
              <w:ind w:left="0" w:right="0"/>
              <w:rPr>
                <w:rFonts w:hint="default"/>
                <w:highlight w:val="none"/>
              </w:rPr>
            </w:pPr>
          </w:p>
        </w:tc>
        <w:tc>
          <w:tcPr>
            <w:tcW w:w="465" w:type="dxa"/>
            <w:vMerge w:val="continue"/>
            <w:shd w:val="clear" w:color="auto" w:fill="auto"/>
            <w:vAlign w:val="center"/>
          </w:tcPr>
          <w:p w14:paraId="6DD2C04C">
            <w:pPr>
              <w:pStyle w:val="8"/>
              <w:suppressLineNumbers w:val="0"/>
              <w:bidi w:val="0"/>
              <w:spacing w:before="0" w:beforeAutospacing="0" w:after="0" w:afterAutospacing="0"/>
              <w:ind w:left="0" w:right="0"/>
              <w:rPr>
                <w:rFonts w:hint="default"/>
                <w:highlight w:val="none"/>
              </w:rPr>
            </w:pPr>
          </w:p>
        </w:tc>
        <w:tc>
          <w:tcPr>
            <w:tcW w:w="960" w:type="dxa"/>
            <w:shd w:val="clear" w:color="auto" w:fill="auto"/>
            <w:vAlign w:val="center"/>
          </w:tcPr>
          <w:p w14:paraId="468C635C">
            <w:pPr>
              <w:pStyle w:val="8"/>
              <w:suppressLineNumbers w:val="0"/>
              <w:bidi w:val="0"/>
              <w:spacing w:before="0" w:beforeAutospacing="0" w:after="0" w:afterAutospacing="0"/>
              <w:ind w:left="0" w:right="0"/>
              <w:rPr>
                <w:rFonts w:hint="default"/>
                <w:highlight w:val="none"/>
              </w:rPr>
            </w:pPr>
            <w:r>
              <w:rPr>
                <w:rFonts w:hint="default"/>
                <w:highlight w:val="none"/>
              </w:rPr>
              <w:t>哈尔滨组</w:t>
            </w:r>
          </w:p>
        </w:tc>
        <w:tc>
          <w:tcPr>
            <w:tcW w:w="765" w:type="dxa"/>
            <w:shd w:val="clear" w:color="auto" w:fill="auto"/>
            <w:vAlign w:val="center"/>
          </w:tcPr>
          <w:p w14:paraId="6862373B">
            <w:pPr>
              <w:pStyle w:val="8"/>
              <w:suppressLineNumbers w:val="0"/>
              <w:bidi w:val="0"/>
              <w:spacing w:before="0" w:beforeAutospacing="0" w:after="0" w:afterAutospacing="0"/>
              <w:ind w:left="0" w:right="0"/>
              <w:rPr>
                <w:rFonts w:hint="default"/>
                <w:highlight w:val="none"/>
              </w:rPr>
            </w:pPr>
            <w:r>
              <w:rPr>
                <w:rFonts w:hint="default" w:eastAsiaTheme="minorEastAsia"/>
                <w:szCs w:val="21"/>
                <w:highlight w:val="none"/>
              </w:rPr>
              <w:object>
                <v:shape id="_x0000_i1027" o:spt="75" type="#_x0000_t75" style="height:20.75pt;width:17.85pt;" o:ole="t" filled="f" coordsize="21600,21600">
                  <v:path/>
                  <v:fill on="f" focussize="0,0"/>
                  <v:stroke/>
                  <v:imagedata r:id="rId41" o:title=""/>
                  <o:lock v:ext="edit" aspectratio="t"/>
                  <w10:wrap type="none"/>
                  <w10:anchorlock/>
                </v:shape>
                <o:OLEObject Type="Embed" ProgID="Equation.3" ShapeID="_x0000_i1027" DrawAspect="Content" ObjectID="_1468075727" r:id="rId40">
                  <o:LockedField>false</o:LockedField>
                </o:OLEObject>
              </w:object>
            </w:r>
          </w:p>
        </w:tc>
        <w:tc>
          <w:tcPr>
            <w:tcW w:w="855" w:type="dxa"/>
            <w:shd w:val="clear" w:color="auto" w:fill="auto"/>
            <w:vAlign w:val="center"/>
          </w:tcPr>
          <w:p w14:paraId="11D515E0">
            <w:pPr>
              <w:pStyle w:val="8"/>
              <w:suppressLineNumbers w:val="0"/>
              <w:bidi w:val="0"/>
              <w:spacing w:before="0" w:beforeAutospacing="0" w:after="0" w:afterAutospacing="0"/>
              <w:ind w:left="0" w:right="0"/>
              <w:rPr>
                <w:rFonts w:hint="default"/>
                <w:highlight w:val="none"/>
              </w:rPr>
            </w:pPr>
            <w:r>
              <w:rPr>
                <w:rFonts w:hint="default"/>
                <w:highlight w:val="none"/>
              </w:rPr>
              <w:t>8-30m</w:t>
            </w:r>
          </w:p>
        </w:tc>
        <w:tc>
          <w:tcPr>
            <w:tcW w:w="4993" w:type="dxa"/>
            <w:shd w:val="clear" w:color="auto" w:fill="auto"/>
            <w:vAlign w:val="center"/>
          </w:tcPr>
          <w:p w14:paraId="11DA0FB1">
            <w:pPr>
              <w:pStyle w:val="8"/>
              <w:suppressLineNumbers w:val="0"/>
              <w:bidi w:val="0"/>
              <w:spacing w:before="0" w:beforeAutospacing="0" w:after="0" w:afterAutospacing="0"/>
              <w:ind w:left="0" w:right="0"/>
              <w:rPr>
                <w:rFonts w:hint="default"/>
                <w:highlight w:val="none"/>
              </w:rPr>
            </w:pPr>
            <w:r>
              <w:rPr>
                <w:rFonts w:hint="default"/>
                <w:highlight w:val="none"/>
              </w:rPr>
              <w:t>分布于岗阜状高平原上部。黄土状粉质粘土，土黄色，大孔隙，垂直节理发育，含铁锰结核和条带，局部夹粉砂土及细砂透镜体。</w:t>
            </w:r>
          </w:p>
        </w:tc>
      </w:tr>
      <w:tr w14:paraId="21BAF81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3" w:type="dxa"/>
            <w:vMerge w:val="continue"/>
            <w:shd w:val="clear" w:color="auto" w:fill="auto"/>
            <w:vAlign w:val="center"/>
          </w:tcPr>
          <w:p w14:paraId="04ADF890">
            <w:pPr>
              <w:pStyle w:val="8"/>
              <w:suppressLineNumbers w:val="0"/>
              <w:bidi w:val="0"/>
              <w:spacing w:before="0" w:beforeAutospacing="0" w:after="0" w:afterAutospacing="0"/>
              <w:ind w:left="0" w:right="0"/>
              <w:rPr>
                <w:rFonts w:hint="default"/>
                <w:highlight w:val="none"/>
              </w:rPr>
            </w:pPr>
          </w:p>
        </w:tc>
        <w:tc>
          <w:tcPr>
            <w:tcW w:w="465" w:type="dxa"/>
            <w:vMerge w:val="continue"/>
            <w:shd w:val="clear" w:color="auto" w:fill="auto"/>
            <w:vAlign w:val="center"/>
          </w:tcPr>
          <w:p w14:paraId="0EE4A442">
            <w:pPr>
              <w:pStyle w:val="8"/>
              <w:suppressLineNumbers w:val="0"/>
              <w:bidi w:val="0"/>
              <w:spacing w:before="0" w:beforeAutospacing="0" w:after="0" w:afterAutospacing="0"/>
              <w:ind w:left="0" w:right="0"/>
              <w:rPr>
                <w:rFonts w:hint="default"/>
                <w:highlight w:val="none"/>
              </w:rPr>
            </w:pPr>
          </w:p>
        </w:tc>
        <w:tc>
          <w:tcPr>
            <w:tcW w:w="465" w:type="dxa"/>
            <w:vMerge w:val="restart"/>
            <w:shd w:val="clear" w:color="auto" w:fill="auto"/>
            <w:vAlign w:val="center"/>
          </w:tcPr>
          <w:p w14:paraId="51F1ADFC">
            <w:pPr>
              <w:pStyle w:val="8"/>
              <w:suppressLineNumbers w:val="0"/>
              <w:bidi w:val="0"/>
              <w:spacing w:before="0" w:beforeAutospacing="0" w:after="0" w:afterAutospacing="0"/>
              <w:ind w:left="0" w:right="0"/>
              <w:rPr>
                <w:rFonts w:hint="default"/>
                <w:highlight w:val="none"/>
              </w:rPr>
            </w:pPr>
            <w:r>
              <w:rPr>
                <w:rFonts w:hint="default"/>
                <w:highlight w:val="none"/>
              </w:rPr>
              <w:t>中更新统</w:t>
            </w:r>
          </w:p>
        </w:tc>
        <w:tc>
          <w:tcPr>
            <w:tcW w:w="960" w:type="dxa"/>
            <w:shd w:val="clear" w:color="auto" w:fill="auto"/>
            <w:vAlign w:val="center"/>
          </w:tcPr>
          <w:p w14:paraId="61ACA2E2">
            <w:pPr>
              <w:pStyle w:val="8"/>
              <w:suppressLineNumbers w:val="0"/>
              <w:bidi w:val="0"/>
              <w:spacing w:before="0" w:beforeAutospacing="0" w:after="0" w:afterAutospacing="0"/>
              <w:ind w:left="0" w:right="0"/>
              <w:rPr>
                <w:rFonts w:hint="default"/>
                <w:highlight w:val="none"/>
              </w:rPr>
            </w:pPr>
            <w:r>
              <w:rPr>
                <w:rFonts w:hint="default"/>
                <w:highlight w:val="none"/>
              </w:rPr>
              <w:t>上荒山组</w:t>
            </w:r>
          </w:p>
        </w:tc>
        <w:tc>
          <w:tcPr>
            <w:tcW w:w="765" w:type="dxa"/>
            <w:shd w:val="clear" w:color="auto" w:fill="auto"/>
            <w:vAlign w:val="center"/>
          </w:tcPr>
          <w:p w14:paraId="29F86E86">
            <w:pPr>
              <w:pStyle w:val="8"/>
              <w:suppressLineNumbers w:val="0"/>
              <w:bidi w:val="0"/>
              <w:spacing w:before="0" w:beforeAutospacing="0" w:after="0" w:afterAutospacing="0"/>
              <w:ind w:left="0" w:right="0"/>
              <w:rPr>
                <w:rFonts w:hint="default"/>
                <w:highlight w:val="none"/>
              </w:rPr>
            </w:pPr>
            <w:r>
              <w:rPr>
                <w:rFonts w:hint="default" w:eastAsiaTheme="minorEastAsia"/>
                <w:szCs w:val="21"/>
                <w:highlight w:val="none"/>
              </w:rPr>
              <w:object>
                <v:shape id="_x0000_i1028" o:spt="75" type="#_x0000_t75" style="height:17.85pt;width:19.6pt;" o:ole="t" filled="f" coordsize="21600,21600">
                  <v:path/>
                  <v:fill on="f" focussize="0,0"/>
                  <v:stroke/>
                  <v:imagedata r:id="rId43" o:title=""/>
                  <o:lock v:ext="edit" aspectratio="t"/>
                  <w10:wrap type="none"/>
                  <w10:anchorlock/>
                </v:shape>
                <o:OLEObject Type="Embed" ProgID="Equation.3" ShapeID="_x0000_i1028" DrawAspect="Content" ObjectID="_1468075728" r:id="rId42">
                  <o:LockedField>false</o:LockedField>
                </o:OLEObject>
              </w:object>
            </w:r>
          </w:p>
        </w:tc>
        <w:tc>
          <w:tcPr>
            <w:tcW w:w="855" w:type="dxa"/>
            <w:shd w:val="clear" w:color="auto" w:fill="auto"/>
            <w:vAlign w:val="center"/>
          </w:tcPr>
          <w:p w14:paraId="2816B976">
            <w:pPr>
              <w:pStyle w:val="8"/>
              <w:suppressLineNumbers w:val="0"/>
              <w:bidi w:val="0"/>
              <w:spacing w:before="0" w:beforeAutospacing="0" w:after="0" w:afterAutospacing="0"/>
              <w:ind w:left="0" w:right="0"/>
              <w:rPr>
                <w:rFonts w:hint="default"/>
                <w:highlight w:val="none"/>
              </w:rPr>
            </w:pPr>
            <w:r>
              <w:rPr>
                <w:rFonts w:hint="default"/>
                <w:highlight w:val="none"/>
              </w:rPr>
              <w:t>5-38m</w:t>
            </w:r>
          </w:p>
        </w:tc>
        <w:tc>
          <w:tcPr>
            <w:tcW w:w="4993" w:type="dxa"/>
            <w:shd w:val="clear" w:color="auto" w:fill="auto"/>
            <w:vAlign w:val="center"/>
          </w:tcPr>
          <w:p w14:paraId="006AC4EE">
            <w:pPr>
              <w:pStyle w:val="8"/>
              <w:suppressLineNumbers w:val="0"/>
              <w:bidi w:val="0"/>
              <w:spacing w:before="0" w:beforeAutospacing="0" w:after="0" w:afterAutospacing="0"/>
              <w:ind w:left="0" w:right="0"/>
              <w:rPr>
                <w:rFonts w:hint="default"/>
                <w:highlight w:val="none"/>
              </w:rPr>
            </w:pPr>
            <w:r>
              <w:rPr>
                <w:rFonts w:hint="default"/>
                <w:highlight w:val="none"/>
              </w:rPr>
              <w:t>分布于岗阜状高平原中部。粉质粘土，黄褐色，层厚，致密，粘塑性强，含铁质结核，偶见粉砂土或细砂透镜体。</w:t>
            </w:r>
          </w:p>
        </w:tc>
      </w:tr>
      <w:tr w14:paraId="53CFD49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3" w:type="dxa"/>
            <w:vMerge w:val="continue"/>
            <w:shd w:val="clear" w:color="auto" w:fill="auto"/>
            <w:vAlign w:val="center"/>
          </w:tcPr>
          <w:p w14:paraId="47C6FEF5">
            <w:pPr>
              <w:pStyle w:val="8"/>
              <w:suppressLineNumbers w:val="0"/>
              <w:bidi w:val="0"/>
              <w:spacing w:before="0" w:beforeAutospacing="0" w:after="0" w:afterAutospacing="0"/>
              <w:ind w:left="0" w:right="0"/>
              <w:rPr>
                <w:rFonts w:hint="default"/>
                <w:highlight w:val="none"/>
              </w:rPr>
            </w:pPr>
          </w:p>
        </w:tc>
        <w:tc>
          <w:tcPr>
            <w:tcW w:w="465" w:type="dxa"/>
            <w:vMerge w:val="continue"/>
            <w:shd w:val="clear" w:color="auto" w:fill="auto"/>
            <w:vAlign w:val="center"/>
          </w:tcPr>
          <w:p w14:paraId="0E3D43C9">
            <w:pPr>
              <w:pStyle w:val="8"/>
              <w:suppressLineNumbers w:val="0"/>
              <w:bidi w:val="0"/>
              <w:spacing w:before="0" w:beforeAutospacing="0" w:after="0" w:afterAutospacing="0"/>
              <w:ind w:left="0" w:right="0"/>
              <w:rPr>
                <w:rFonts w:hint="default"/>
                <w:highlight w:val="none"/>
              </w:rPr>
            </w:pPr>
          </w:p>
        </w:tc>
        <w:tc>
          <w:tcPr>
            <w:tcW w:w="465" w:type="dxa"/>
            <w:vMerge w:val="continue"/>
            <w:shd w:val="clear" w:color="auto" w:fill="auto"/>
            <w:vAlign w:val="center"/>
          </w:tcPr>
          <w:p w14:paraId="31A58486">
            <w:pPr>
              <w:pStyle w:val="8"/>
              <w:suppressLineNumbers w:val="0"/>
              <w:bidi w:val="0"/>
              <w:spacing w:before="0" w:beforeAutospacing="0" w:after="0" w:afterAutospacing="0"/>
              <w:ind w:left="0" w:right="0"/>
              <w:rPr>
                <w:rFonts w:hint="default"/>
                <w:highlight w:val="none"/>
              </w:rPr>
            </w:pPr>
          </w:p>
        </w:tc>
        <w:tc>
          <w:tcPr>
            <w:tcW w:w="960" w:type="dxa"/>
            <w:shd w:val="clear" w:color="auto" w:fill="auto"/>
            <w:vAlign w:val="center"/>
          </w:tcPr>
          <w:p w14:paraId="7DBF40DD">
            <w:pPr>
              <w:pStyle w:val="8"/>
              <w:suppressLineNumbers w:val="0"/>
              <w:bidi w:val="0"/>
              <w:spacing w:before="0" w:beforeAutospacing="0" w:after="0" w:afterAutospacing="0"/>
              <w:ind w:left="0" w:right="0"/>
              <w:rPr>
                <w:rFonts w:hint="default"/>
                <w:highlight w:val="none"/>
              </w:rPr>
            </w:pPr>
            <w:r>
              <w:rPr>
                <w:rFonts w:hint="default"/>
                <w:highlight w:val="none"/>
              </w:rPr>
              <w:t>下荒山组</w:t>
            </w:r>
          </w:p>
        </w:tc>
        <w:tc>
          <w:tcPr>
            <w:tcW w:w="765" w:type="dxa"/>
            <w:shd w:val="clear" w:color="auto" w:fill="auto"/>
            <w:vAlign w:val="center"/>
          </w:tcPr>
          <w:p w14:paraId="0B29A3B4">
            <w:pPr>
              <w:pStyle w:val="8"/>
              <w:suppressLineNumbers w:val="0"/>
              <w:bidi w:val="0"/>
              <w:spacing w:before="0" w:beforeAutospacing="0" w:after="0" w:afterAutospacing="0"/>
              <w:ind w:left="0" w:right="0"/>
              <w:rPr>
                <w:rFonts w:hint="default"/>
                <w:highlight w:val="none"/>
              </w:rPr>
            </w:pPr>
            <w:r>
              <w:rPr>
                <w:rFonts w:hint="default" w:eastAsiaTheme="minorEastAsia"/>
                <w:szCs w:val="21"/>
                <w:highlight w:val="none"/>
              </w:rPr>
              <w:object>
                <v:shape id="_x0000_i1029" o:spt="75" type="#_x0000_t75" style="height:17.3pt;width:27.65pt;" o:ole="t" filled="f" coordsize="21600,21600">
                  <v:path/>
                  <v:fill on="f" focussize="0,0"/>
                  <v:stroke/>
                  <v:imagedata r:id="rId45" o:title=""/>
                  <o:lock v:ext="edit" aspectratio="t"/>
                  <w10:wrap type="none"/>
                  <w10:anchorlock/>
                </v:shape>
                <o:OLEObject Type="Embed" ProgID="Equation.3" ShapeID="_x0000_i1029" DrawAspect="Content" ObjectID="_1468075729" r:id="rId44">
                  <o:LockedField>false</o:LockedField>
                </o:OLEObject>
              </w:object>
            </w:r>
          </w:p>
        </w:tc>
        <w:tc>
          <w:tcPr>
            <w:tcW w:w="855" w:type="dxa"/>
            <w:shd w:val="clear" w:color="auto" w:fill="auto"/>
            <w:vAlign w:val="center"/>
          </w:tcPr>
          <w:p w14:paraId="73D806E3">
            <w:pPr>
              <w:pStyle w:val="8"/>
              <w:suppressLineNumbers w:val="0"/>
              <w:bidi w:val="0"/>
              <w:spacing w:before="0" w:beforeAutospacing="0" w:after="0" w:afterAutospacing="0"/>
              <w:ind w:left="0" w:right="0"/>
              <w:rPr>
                <w:rFonts w:hint="default"/>
                <w:highlight w:val="none"/>
              </w:rPr>
            </w:pPr>
            <w:r>
              <w:rPr>
                <w:rFonts w:hint="default"/>
                <w:highlight w:val="none"/>
              </w:rPr>
              <w:t>9-30m</w:t>
            </w:r>
          </w:p>
        </w:tc>
        <w:tc>
          <w:tcPr>
            <w:tcW w:w="4993" w:type="dxa"/>
            <w:shd w:val="clear" w:color="auto" w:fill="auto"/>
            <w:vAlign w:val="center"/>
          </w:tcPr>
          <w:p w14:paraId="456226B0">
            <w:pPr>
              <w:pStyle w:val="8"/>
              <w:suppressLineNumbers w:val="0"/>
              <w:bidi w:val="0"/>
              <w:spacing w:before="0" w:beforeAutospacing="0" w:after="0" w:afterAutospacing="0"/>
              <w:ind w:left="0" w:right="0"/>
              <w:rPr>
                <w:rFonts w:hint="default"/>
                <w:highlight w:val="none"/>
              </w:rPr>
            </w:pPr>
            <w:r>
              <w:rPr>
                <w:rFonts w:hint="default"/>
                <w:highlight w:val="none"/>
              </w:rPr>
              <w:t>分布于岗阜状高平原中部。中细砂、中粗砂含砂砾石，黄褐色，分选好，磨圆中等，局部夹砂透镜体，砾石直径多为3－7mm，成份复杂，以石英为主，少量长石和暗色矿物。</w:t>
            </w:r>
          </w:p>
        </w:tc>
      </w:tr>
      <w:tr w14:paraId="0374F1F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3" w:type="dxa"/>
            <w:vMerge w:val="continue"/>
            <w:shd w:val="clear" w:color="auto" w:fill="auto"/>
            <w:vAlign w:val="center"/>
          </w:tcPr>
          <w:p w14:paraId="3B8BA3A0">
            <w:pPr>
              <w:pStyle w:val="8"/>
              <w:suppressLineNumbers w:val="0"/>
              <w:bidi w:val="0"/>
              <w:spacing w:before="0" w:beforeAutospacing="0" w:after="0" w:afterAutospacing="0"/>
              <w:ind w:left="0" w:right="0"/>
              <w:rPr>
                <w:rFonts w:hint="default"/>
                <w:highlight w:val="none"/>
              </w:rPr>
            </w:pPr>
          </w:p>
        </w:tc>
        <w:tc>
          <w:tcPr>
            <w:tcW w:w="465" w:type="dxa"/>
            <w:vMerge w:val="continue"/>
            <w:shd w:val="clear" w:color="auto" w:fill="auto"/>
            <w:vAlign w:val="center"/>
          </w:tcPr>
          <w:p w14:paraId="310E4870">
            <w:pPr>
              <w:pStyle w:val="8"/>
              <w:suppressLineNumbers w:val="0"/>
              <w:bidi w:val="0"/>
              <w:spacing w:before="0" w:beforeAutospacing="0" w:after="0" w:afterAutospacing="0"/>
              <w:ind w:left="0" w:right="0"/>
              <w:rPr>
                <w:rFonts w:hint="default"/>
                <w:highlight w:val="none"/>
              </w:rPr>
            </w:pPr>
          </w:p>
        </w:tc>
        <w:tc>
          <w:tcPr>
            <w:tcW w:w="465" w:type="dxa"/>
            <w:shd w:val="clear" w:color="auto" w:fill="auto"/>
            <w:vAlign w:val="center"/>
          </w:tcPr>
          <w:p w14:paraId="23656AF5">
            <w:pPr>
              <w:pStyle w:val="8"/>
              <w:suppressLineNumbers w:val="0"/>
              <w:bidi w:val="0"/>
              <w:spacing w:before="0" w:beforeAutospacing="0" w:after="0" w:afterAutospacing="0"/>
              <w:ind w:left="0" w:right="0"/>
              <w:rPr>
                <w:rFonts w:hint="default"/>
                <w:highlight w:val="none"/>
              </w:rPr>
            </w:pPr>
            <w:r>
              <w:rPr>
                <w:rFonts w:hint="default"/>
                <w:highlight w:val="none"/>
              </w:rPr>
              <w:t>下更新统</w:t>
            </w:r>
          </w:p>
        </w:tc>
        <w:tc>
          <w:tcPr>
            <w:tcW w:w="960" w:type="dxa"/>
            <w:shd w:val="clear" w:color="auto" w:fill="auto"/>
            <w:vAlign w:val="center"/>
          </w:tcPr>
          <w:p w14:paraId="1C9D1CC3">
            <w:pPr>
              <w:pStyle w:val="8"/>
              <w:suppressLineNumbers w:val="0"/>
              <w:bidi w:val="0"/>
              <w:spacing w:before="0" w:beforeAutospacing="0" w:after="0" w:afterAutospacing="0"/>
              <w:ind w:left="0" w:right="0"/>
              <w:rPr>
                <w:rFonts w:hint="default"/>
                <w:highlight w:val="none"/>
              </w:rPr>
            </w:pPr>
            <w:r>
              <w:rPr>
                <w:rFonts w:hint="default"/>
                <w:highlight w:val="none"/>
              </w:rPr>
              <w:t>猞猁组</w:t>
            </w:r>
          </w:p>
        </w:tc>
        <w:tc>
          <w:tcPr>
            <w:tcW w:w="765" w:type="dxa"/>
            <w:shd w:val="clear" w:color="auto" w:fill="auto"/>
            <w:vAlign w:val="center"/>
          </w:tcPr>
          <w:p w14:paraId="63AC7160">
            <w:pPr>
              <w:pStyle w:val="8"/>
              <w:suppressLineNumbers w:val="0"/>
              <w:bidi w:val="0"/>
              <w:spacing w:before="0" w:beforeAutospacing="0" w:after="0" w:afterAutospacing="0"/>
              <w:ind w:left="0" w:right="0"/>
              <w:rPr>
                <w:rFonts w:hint="default"/>
                <w:highlight w:val="none"/>
              </w:rPr>
            </w:pPr>
            <w:r>
              <w:rPr>
                <w:rFonts w:hint="default" w:eastAsiaTheme="minorEastAsia"/>
                <w:szCs w:val="21"/>
                <w:highlight w:val="none"/>
              </w:rPr>
              <w:object>
                <v:shape id="_x0000_i1030" o:spt="75" type="#_x0000_t75" style="height:20.75pt;width:17.85pt;" o:ole="t" filled="f" coordsize="21600,21600">
                  <v:path/>
                  <v:fill on="f" focussize="0,0"/>
                  <v:stroke/>
                  <v:imagedata r:id="rId47" o:title=""/>
                  <o:lock v:ext="edit" aspectratio="t"/>
                  <w10:wrap type="none"/>
                  <w10:anchorlock/>
                </v:shape>
                <o:OLEObject Type="Embed" ProgID="Equation.3" ShapeID="_x0000_i1030" DrawAspect="Content" ObjectID="_1468075730" r:id="rId46">
                  <o:LockedField>false</o:LockedField>
                </o:OLEObject>
              </w:object>
            </w:r>
          </w:p>
        </w:tc>
        <w:tc>
          <w:tcPr>
            <w:tcW w:w="855" w:type="dxa"/>
            <w:shd w:val="clear" w:color="auto" w:fill="auto"/>
            <w:vAlign w:val="center"/>
          </w:tcPr>
          <w:p w14:paraId="1AD03454">
            <w:pPr>
              <w:pStyle w:val="8"/>
              <w:suppressLineNumbers w:val="0"/>
              <w:bidi w:val="0"/>
              <w:spacing w:before="0" w:beforeAutospacing="0" w:after="0" w:afterAutospacing="0"/>
              <w:ind w:left="0" w:right="0"/>
              <w:rPr>
                <w:rFonts w:hint="default"/>
                <w:highlight w:val="none"/>
              </w:rPr>
            </w:pPr>
            <w:r>
              <w:rPr>
                <w:rFonts w:hint="default"/>
                <w:highlight w:val="none"/>
              </w:rPr>
              <w:t>15-41m</w:t>
            </w:r>
          </w:p>
        </w:tc>
        <w:tc>
          <w:tcPr>
            <w:tcW w:w="4993" w:type="dxa"/>
            <w:shd w:val="clear" w:color="auto" w:fill="auto"/>
            <w:vAlign w:val="center"/>
          </w:tcPr>
          <w:p w14:paraId="7691C27C">
            <w:pPr>
              <w:pStyle w:val="8"/>
              <w:suppressLineNumbers w:val="0"/>
              <w:bidi w:val="0"/>
              <w:spacing w:before="0" w:beforeAutospacing="0" w:after="0" w:afterAutospacing="0"/>
              <w:ind w:left="0" w:right="0"/>
              <w:rPr>
                <w:rFonts w:hint="default"/>
                <w:highlight w:val="none"/>
              </w:rPr>
            </w:pPr>
            <w:r>
              <w:rPr>
                <w:rFonts w:hint="default"/>
                <w:highlight w:val="none"/>
              </w:rPr>
              <w:t>分布于松花江漫滩阶地与岗阜状高平原下部。灰色中粗砂含砾石和深灰色淤泥质粉质粘土互层，砂砾石分选较差，砾径5－10mm。最大达10cm以上，磨圆中等，其间含大量淤泥质粉砂和高岭土，砾石成份复杂。</w:t>
            </w:r>
          </w:p>
        </w:tc>
      </w:tr>
    </w:tbl>
    <w:p w14:paraId="43B15B4B">
      <w:pPr>
        <w:pStyle w:val="5"/>
        <w:bidi w:val="0"/>
        <w:rPr>
          <w:highlight w:val="none"/>
        </w:rPr>
      </w:pPr>
      <w:bookmarkStart w:id="287" w:name="_Toc20006"/>
      <w:bookmarkStart w:id="288" w:name="_Toc23397"/>
      <w:r>
        <w:rPr>
          <w:highlight w:val="none"/>
        </w:rPr>
        <w:t>4.1.5水文地质特征</w:t>
      </w:r>
      <w:bookmarkEnd w:id="287"/>
      <w:bookmarkEnd w:id="288"/>
    </w:p>
    <w:p w14:paraId="5C2564B0">
      <w:pPr>
        <w:bidi w:val="0"/>
        <w:rPr>
          <w:highlight w:val="none"/>
        </w:rPr>
      </w:pPr>
      <w:bookmarkStart w:id="289" w:name="_Toc2371"/>
      <w:r>
        <w:rPr>
          <w:highlight w:val="none"/>
        </w:rPr>
        <w:t>1、流域概况</w:t>
      </w:r>
      <w:bookmarkEnd w:id="289"/>
    </w:p>
    <w:p w14:paraId="540AEE26">
      <w:pPr>
        <w:bidi w:val="0"/>
        <w:rPr>
          <w:highlight w:val="none"/>
        </w:rPr>
      </w:pPr>
      <w:r>
        <w:rPr>
          <w:highlight w:val="none"/>
        </w:rPr>
        <w:t>哈尔滨市境内的大小河流均属于松花江水系和牡丹江水系，松花江发源于吉林省长白山天池，其干流由西向东贯穿哈尔滨市地区中部，流经2309公里汇入黑龙江，是流经哈尔滨市的主要河流。松花江水量丰富，河谷宽阔，地势低平，坡降较缓，主河槽宽400-600m，水深4-7m。年径流量是双峰型，平均年径流量389亿立方米，夏季洪峰高，流量大，春季洪峰流量小。年径流量主要集中在6-9月份，占全年的60%，12月份至次年3月份径流量不足全年的5%。</w:t>
      </w:r>
    </w:p>
    <w:p w14:paraId="5B607E27">
      <w:pPr>
        <w:bidi w:val="0"/>
        <w:rPr>
          <w:highlight w:val="none"/>
        </w:rPr>
      </w:pPr>
      <w:r>
        <w:rPr>
          <w:highlight w:val="none"/>
        </w:rPr>
        <w:t>平房区水资源贫乏，受地形、地质构造影响，境内无江河湖泊。地表水资源主要靠大气降水，在低洼地带积成数条河沟，汇集成马家沟河、何家沟河两条季节性河流和季节性水塘、泡子。本区为哈尔滨地区地下水位最低的地区，一般在50-80m左右，最深可达90m以上，局部地区无含水层。该地区地下水埋藏较深，在最深钻孔25m内未见地下水。因此地下水对混凝土不构成侵蚀，本地区一般也不构成洪水威胁。</w:t>
      </w:r>
    </w:p>
    <w:p w14:paraId="274F16D2">
      <w:pPr>
        <w:bidi w:val="0"/>
        <w:rPr>
          <w:highlight w:val="none"/>
        </w:rPr>
      </w:pPr>
      <w:bookmarkStart w:id="290" w:name="_Toc28243"/>
      <w:r>
        <w:rPr>
          <w:highlight w:val="none"/>
        </w:rPr>
        <w:t>2、水文条件</w:t>
      </w:r>
      <w:bookmarkEnd w:id="290"/>
    </w:p>
    <w:p w14:paraId="6C49104C">
      <w:pPr>
        <w:bidi w:val="0"/>
        <w:rPr>
          <w:highlight w:val="none"/>
        </w:rPr>
      </w:pPr>
      <w:r>
        <w:rPr>
          <w:highlight w:val="none"/>
        </w:rPr>
        <w:t>根据哈尔滨水文站</w:t>
      </w:r>
      <w:r>
        <w:rPr>
          <w:rFonts w:hint="eastAsia"/>
          <w:highlight w:val="none"/>
          <w:lang w:eastAsia="zh-CN"/>
        </w:rPr>
        <w:t>冰情</w:t>
      </w:r>
      <w:r>
        <w:rPr>
          <w:highlight w:val="none"/>
        </w:rPr>
        <w:t>资料统计，多年平均封江日期为11月24日，开江日期为4月9日，平均封冻时间135日。春季开江流冰时间平均为7日左右，最大冰厚为1.25m（1957年3月），平均流冰速度1.05m/s。</w:t>
      </w:r>
    </w:p>
    <w:p w14:paraId="5F50F60A">
      <w:pPr>
        <w:bidi w:val="0"/>
        <w:rPr>
          <w:highlight w:val="none"/>
        </w:rPr>
      </w:pPr>
      <w:bookmarkStart w:id="291" w:name="_Toc14236"/>
      <w:r>
        <w:rPr>
          <w:highlight w:val="none"/>
        </w:rPr>
        <w:t>3、地下水情况</w:t>
      </w:r>
      <w:bookmarkEnd w:id="291"/>
    </w:p>
    <w:p w14:paraId="1B892D61">
      <w:pPr>
        <w:bidi w:val="0"/>
        <w:rPr>
          <w:highlight w:val="none"/>
        </w:rPr>
      </w:pPr>
      <w:r>
        <w:rPr>
          <w:highlight w:val="none"/>
        </w:rPr>
        <w:t>哈尔滨的松花江高漫滩地区蕴藏有第四系全新统细、中、粗砂含砾石层潜水，一级阶地有上更新统顾乡屯组中细砂、中粗砂砾石层弱承压水；中南部的岗阜状高平原普遍赋存这种中更新统下荒山组中粗砂含砾石和下更新统猞猁组中细砂、中粗砂含砾石层承压水。据其接触关系和水位表明，相互间存在水力联系。区域第四系地下水形成补给条件受地质地貌和水文、气象等多种因素的控制和影响。地下水水位标高降至120m，水力坡度降为1/1000~1/2000，区域地下水流向从南到北。</w:t>
      </w:r>
    </w:p>
    <w:p w14:paraId="0B37FD98">
      <w:pPr>
        <w:bidi w:val="0"/>
        <w:rPr>
          <w:highlight w:val="none"/>
        </w:rPr>
      </w:pPr>
      <w:r>
        <w:rPr>
          <w:highlight w:val="none"/>
        </w:rPr>
        <w:t>松花江高漫滩地区砂层含水层埋藏浅，局部出露地表，易接受降水和松花江洪水下渗补给，另外还接受阶地区承压水径流补给，地下水排泄于松花江。一级阶地及岗阜状高平原地势较高，第四系含水层埋藏深度多在20~50m，上覆20~50m弱透水的黄土状土和相对隔水的粉质粘土层。根据动态观测资料和水动力条件表明，在粉质粘土层厚度变薄、裂隙发育的地区，存在降水入渗补给。</w:t>
      </w:r>
    </w:p>
    <w:p w14:paraId="3934F1C6">
      <w:pPr>
        <w:bidi w:val="0"/>
        <w:rPr>
          <w:highlight w:val="none"/>
        </w:rPr>
      </w:pPr>
      <w:r>
        <w:rPr>
          <w:highlight w:val="none"/>
        </w:rPr>
        <w:t>区域各含水层水文地质特征：</w:t>
      </w:r>
    </w:p>
    <w:p w14:paraId="6B406262">
      <w:pPr>
        <w:keepNext w:val="0"/>
        <w:keepLines w:val="0"/>
        <w:widowControl/>
        <w:suppressLineNumbers w:val="0"/>
        <w:jc w:val="left"/>
        <w:rPr>
          <w:highlight w:val="none"/>
        </w:rPr>
      </w:pPr>
      <w:r>
        <w:rPr>
          <w:rFonts w:hint="eastAsia" w:ascii="宋体" w:hAnsi="宋体" w:eastAsia="宋体" w:cs="宋体"/>
          <w:color w:val="000000"/>
          <w:kern w:val="0"/>
          <w:sz w:val="24"/>
          <w:szCs w:val="24"/>
          <w:lang w:val="en-US" w:eastAsia="zh-CN" w:bidi="ar"/>
        </w:rPr>
        <w:t>调查评价区地下水含水岩组有第四系孔隙潜水含水层、第四系松散岩类孔隙 承压水、白垩系泉头组孔隙裂隙承压水含水层。</w:t>
      </w:r>
    </w:p>
    <w:p w14:paraId="33E6F29D">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）第四系上更新统哈尔滨组黄土状亚粘土孔隙潜水含水层 </w:t>
      </w:r>
    </w:p>
    <w:p w14:paraId="335AA35E">
      <w:pPr>
        <w:keepNext w:val="0"/>
        <w:keepLines w:val="0"/>
        <w:widowControl/>
        <w:suppressLineNumbers w:val="0"/>
        <w:jc w:val="left"/>
      </w:pPr>
      <w:r>
        <w:rPr>
          <w:rFonts w:hint="eastAsia" w:ascii="宋体" w:hAnsi="宋体" w:eastAsia="宋体" w:cs="宋体"/>
          <w:color w:val="000000"/>
          <w:kern w:val="0"/>
          <w:sz w:val="24"/>
          <w:szCs w:val="24"/>
          <w:lang w:val="en-US" w:eastAsia="zh-CN" w:bidi="ar"/>
        </w:rPr>
        <w:t>含水层为黄土状夹亚粘土、粉砂土及细砂。该层最厚达</w:t>
      </w:r>
      <w:r>
        <w:rPr>
          <w:rFonts w:hint="default" w:ascii="Times New Roman" w:hAnsi="Times New Roman" w:eastAsia="宋体" w:cs="Times New Roman"/>
          <w:color w:val="000000"/>
          <w:kern w:val="0"/>
          <w:sz w:val="24"/>
          <w:szCs w:val="24"/>
          <w:lang w:val="en-US" w:eastAsia="zh-CN" w:bidi="ar"/>
        </w:rPr>
        <w:t>20</w:t>
      </w:r>
      <w:r>
        <w:rPr>
          <w:rFonts w:hint="eastAsia" w:ascii="宋体" w:hAnsi="宋体" w:eastAsia="宋体" w:cs="宋体"/>
          <w:color w:val="000000"/>
          <w:kern w:val="0"/>
          <w:sz w:val="24"/>
          <w:szCs w:val="24"/>
          <w:lang w:val="en-US" w:eastAsia="zh-CN" w:bidi="ar"/>
        </w:rPr>
        <w:t xml:space="preserve">米，地下水位埋 深 </w:t>
      </w:r>
      <w:r>
        <w:rPr>
          <w:rFonts w:hint="default" w:ascii="Times New Roman" w:hAnsi="Times New Roman" w:eastAsia="宋体" w:cs="Times New Roman"/>
          <w:color w:val="000000"/>
          <w:kern w:val="0"/>
          <w:sz w:val="24"/>
          <w:szCs w:val="24"/>
          <w:lang w:val="en-US" w:eastAsia="zh-CN" w:bidi="ar"/>
        </w:rPr>
        <w:t>0-5m</w:t>
      </w:r>
      <w:r>
        <w:rPr>
          <w:rFonts w:hint="eastAsia" w:ascii="宋体" w:hAnsi="宋体" w:eastAsia="宋体" w:cs="宋体"/>
          <w:color w:val="000000"/>
          <w:kern w:val="0"/>
          <w:sz w:val="24"/>
          <w:szCs w:val="24"/>
          <w:lang w:val="en-US" w:eastAsia="zh-CN" w:bidi="ar"/>
        </w:rPr>
        <w:t>，富水性中等，单井涌水量</w:t>
      </w:r>
      <w:r>
        <w:rPr>
          <w:rFonts w:hint="default" w:ascii="Times New Roman" w:hAnsi="Times New Roman" w:eastAsia="宋体" w:cs="Times New Roman"/>
          <w:color w:val="000000"/>
          <w:kern w:val="0"/>
          <w:sz w:val="24"/>
          <w:szCs w:val="24"/>
          <w:lang w:val="en-US" w:eastAsia="zh-CN" w:bidi="ar"/>
        </w:rPr>
        <w:t>100-1000m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 xml:space="preserve">，化学类型属 </w:t>
      </w:r>
      <w:r>
        <w:rPr>
          <w:rFonts w:hint="default" w:ascii="Times New Roman" w:hAnsi="Times New Roman" w:eastAsia="宋体" w:cs="Times New Roman"/>
          <w:color w:val="000000"/>
          <w:kern w:val="0"/>
          <w:sz w:val="24"/>
          <w:szCs w:val="24"/>
          <w:lang w:val="en-US" w:eastAsia="zh-CN" w:bidi="ar"/>
        </w:rPr>
        <w:t>HCO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 xml:space="preserve">-Ca·Mg </w:t>
      </w:r>
      <w:r>
        <w:rPr>
          <w:rFonts w:hint="eastAsia" w:ascii="宋体" w:hAnsi="宋体" w:eastAsia="宋体" w:cs="宋体"/>
          <w:color w:val="000000"/>
          <w:kern w:val="0"/>
          <w:sz w:val="24"/>
          <w:szCs w:val="24"/>
          <w:lang w:val="en-US" w:eastAsia="zh-CN" w:bidi="ar"/>
        </w:rPr>
        <w:t>或</w:t>
      </w:r>
      <w:r>
        <w:rPr>
          <w:rFonts w:hint="default" w:ascii="Times New Roman" w:hAnsi="Times New Roman" w:eastAsia="宋体" w:cs="Times New Roman"/>
          <w:color w:val="000000"/>
          <w:kern w:val="0"/>
          <w:sz w:val="24"/>
          <w:szCs w:val="24"/>
          <w:lang w:val="en-US" w:eastAsia="zh-CN" w:bidi="ar"/>
        </w:rPr>
        <w:t>HCO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 xml:space="preserve">-Ca·Na </w:t>
      </w:r>
      <w:r>
        <w:rPr>
          <w:rFonts w:hint="eastAsia" w:ascii="宋体" w:hAnsi="宋体" w:eastAsia="宋体" w:cs="宋体"/>
          <w:color w:val="000000"/>
          <w:kern w:val="0"/>
          <w:sz w:val="24"/>
          <w:szCs w:val="24"/>
          <w:lang w:val="en-US" w:eastAsia="zh-CN" w:bidi="ar"/>
        </w:rPr>
        <w:t>型水，矿化度小于</w:t>
      </w:r>
      <w:r>
        <w:rPr>
          <w:rFonts w:hint="default" w:ascii="Times New Roman" w:hAnsi="Times New Roman" w:eastAsia="宋体" w:cs="Times New Roman"/>
          <w:color w:val="000000"/>
          <w:kern w:val="0"/>
          <w:sz w:val="24"/>
          <w:szCs w:val="24"/>
          <w:lang w:val="en-US" w:eastAsia="zh-CN" w:bidi="ar"/>
        </w:rPr>
        <w:t>0.5g/L</w:t>
      </w:r>
      <w:r>
        <w:rPr>
          <w:rFonts w:hint="eastAsia" w:ascii="宋体" w:hAnsi="宋体" w:eastAsia="宋体" w:cs="宋体"/>
          <w:color w:val="000000"/>
          <w:kern w:val="0"/>
          <w:sz w:val="24"/>
          <w:szCs w:val="24"/>
          <w:lang w:val="en-US" w:eastAsia="zh-CN" w:bidi="ar"/>
        </w:rPr>
        <w:t xml:space="preserve">，为低矿化度水。 </w:t>
      </w:r>
    </w:p>
    <w:p w14:paraId="0200B728">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）第四系中更新统砂砾石孔隙承压含水层 </w:t>
      </w:r>
    </w:p>
    <w:p w14:paraId="3D2B9D8D">
      <w:pPr>
        <w:keepNext w:val="0"/>
        <w:keepLines w:val="0"/>
        <w:widowControl/>
        <w:suppressLineNumbers w:val="0"/>
        <w:jc w:val="left"/>
        <w:rPr>
          <w:highlight w:val="none"/>
        </w:rPr>
      </w:pPr>
      <w:r>
        <w:rPr>
          <w:rFonts w:hint="eastAsia" w:ascii="宋体" w:hAnsi="宋体" w:eastAsia="宋体" w:cs="宋体"/>
          <w:color w:val="000000"/>
          <w:kern w:val="0"/>
          <w:sz w:val="24"/>
          <w:szCs w:val="24"/>
          <w:lang w:val="en-US" w:eastAsia="zh-CN" w:bidi="ar"/>
        </w:rPr>
        <w:t xml:space="preserve">赋存于中更新统荒山组粉细砂、中细砂、中粗砂、砂砾石中的孔隙承压水，岩性为冲积洪积砂砾石、中粗砂、中细砂，砾石含量 </w:t>
      </w:r>
      <w:r>
        <w:rPr>
          <w:rFonts w:hint="default" w:ascii="Times New Roman" w:hAnsi="Times New Roman" w:eastAsia="宋体" w:cs="Times New Roman"/>
          <w:color w:val="000000"/>
          <w:kern w:val="0"/>
          <w:sz w:val="24"/>
          <w:szCs w:val="24"/>
          <w:lang w:val="en-US" w:eastAsia="zh-CN" w:bidi="ar"/>
        </w:rPr>
        <w:t>40~60%</w:t>
      </w:r>
      <w:r>
        <w:rPr>
          <w:rFonts w:hint="eastAsia" w:ascii="宋体" w:hAnsi="宋体" w:eastAsia="宋体" w:cs="宋体"/>
          <w:color w:val="000000"/>
          <w:kern w:val="0"/>
          <w:sz w:val="24"/>
          <w:szCs w:val="24"/>
          <w:lang w:val="en-US" w:eastAsia="zh-CN" w:bidi="ar"/>
        </w:rPr>
        <w:t xml:space="preserve">，砾径一般 </w:t>
      </w:r>
      <w:r>
        <w:rPr>
          <w:rFonts w:hint="default" w:ascii="Times New Roman" w:hAnsi="Times New Roman" w:eastAsia="宋体" w:cs="Times New Roman"/>
          <w:color w:val="000000"/>
          <w:kern w:val="0"/>
          <w:sz w:val="24"/>
          <w:szCs w:val="24"/>
          <w:lang w:val="en-US" w:eastAsia="zh-CN" w:bidi="ar"/>
        </w:rPr>
        <w:t xml:space="preserve">1~3 </w:t>
      </w:r>
      <w:r>
        <w:rPr>
          <w:rFonts w:hint="eastAsia" w:ascii="宋体" w:hAnsi="宋体" w:eastAsia="宋体" w:cs="宋体"/>
          <w:color w:val="000000"/>
          <w:kern w:val="0"/>
          <w:sz w:val="24"/>
          <w:szCs w:val="24"/>
          <w:lang w:val="en-US" w:eastAsia="zh-CN" w:bidi="ar"/>
        </w:rPr>
        <w:t>厘米，大者达</w:t>
      </w:r>
      <w:r>
        <w:rPr>
          <w:rFonts w:hint="default" w:ascii="Times New Roman" w:hAnsi="Times New Roman" w:eastAsia="宋体" w:cs="Times New Roman"/>
          <w:color w:val="000000"/>
          <w:kern w:val="0"/>
          <w:sz w:val="24"/>
          <w:szCs w:val="24"/>
          <w:lang w:val="en-US" w:eastAsia="zh-CN" w:bidi="ar"/>
        </w:rPr>
        <w:t>3~5</w:t>
      </w:r>
      <w:r>
        <w:rPr>
          <w:rFonts w:hint="eastAsia" w:ascii="宋体" w:hAnsi="宋体" w:eastAsia="宋体" w:cs="宋体"/>
          <w:color w:val="000000"/>
          <w:kern w:val="0"/>
          <w:sz w:val="24"/>
          <w:szCs w:val="24"/>
          <w:lang w:val="en-US" w:eastAsia="zh-CN" w:bidi="ar"/>
        </w:rPr>
        <w:t>厘米，磨圆度差，多为次圆形。含水层厚</w:t>
      </w:r>
      <w:r>
        <w:rPr>
          <w:rFonts w:hint="default" w:ascii="Times New Roman" w:hAnsi="Times New Roman" w:eastAsia="宋体" w:cs="Times New Roman"/>
          <w:color w:val="000000"/>
          <w:kern w:val="0"/>
          <w:sz w:val="24"/>
          <w:szCs w:val="24"/>
          <w:lang w:val="en-US" w:eastAsia="zh-CN" w:bidi="ar"/>
        </w:rPr>
        <w:t>15-28m</w:t>
      </w:r>
      <w:r>
        <w:rPr>
          <w:rFonts w:hint="eastAsia" w:ascii="宋体" w:hAnsi="宋体" w:eastAsia="宋体" w:cs="宋体"/>
          <w:color w:val="000000"/>
          <w:kern w:val="0"/>
          <w:sz w:val="24"/>
          <w:szCs w:val="24"/>
          <w:lang w:val="en-US" w:eastAsia="zh-CN" w:bidi="ar"/>
        </w:rPr>
        <w:t xml:space="preserve">，上覆较厚的黄土状粉质粘土和粉质粘土，水位埋深 </w:t>
      </w:r>
      <w:r>
        <w:rPr>
          <w:rFonts w:hint="default" w:ascii="Times New Roman" w:hAnsi="Times New Roman" w:eastAsia="宋体" w:cs="Times New Roman"/>
          <w:color w:val="000000"/>
          <w:kern w:val="0"/>
          <w:sz w:val="24"/>
          <w:szCs w:val="24"/>
          <w:lang w:val="en-US" w:eastAsia="zh-CN" w:bidi="ar"/>
        </w:rPr>
        <w:t>5-20m</w:t>
      </w:r>
      <w:r>
        <w:rPr>
          <w:rFonts w:hint="eastAsia" w:ascii="宋体" w:hAnsi="宋体" w:eastAsia="宋体" w:cs="宋体"/>
          <w:color w:val="000000"/>
          <w:kern w:val="0"/>
          <w:sz w:val="24"/>
          <w:szCs w:val="24"/>
          <w:lang w:val="en-US" w:eastAsia="zh-CN" w:bidi="ar"/>
        </w:rPr>
        <w:t xml:space="preserve">，含水层顶板埋深 </w:t>
      </w:r>
      <w:r>
        <w:rPr>
          <w:rFonts w:hint="default" w:ascii="Times New Roman" w:hAnsi="Times New Roman" w:eastAsia="宋体" w:cs="Times New Roman"/>
          <w:color w:val="000000"/>
          <w:kern w:val="0"/>
          <w:sz w:val="24"/>
          <w:szCs w:val="24"/>
          <w:lang w:val="en-US" w:eastAsia="zh-CN" w:bidi="ar"/>
        </w:rPr>
        <w:t>21-34m</w:t>
      </w:r>
      <w:r>
        <w:rPr>
          <w:rFonts w:hint="eastAsia" w:ascii="宋体" w:hAnsi="宋体" w:eastAsia="宋体" w:cs="宋体"/>
          <w:color w:val="000000"/>
          <w:kern w:val="0"/>
          <w:sz w:val="24"/>
          <w:szCs w:val="24"/>
          <w:lang w:val="en-US" w:eastAsia="zh-CN" w:bidi="ar"/>
        </w:rPr>
        <w:t xml:space="preserve">，单井涌水量多为 </w:t>
      </w:r>
      <w:r>
        <w:rPr>
          <w:rFonts w:hint="default" w:ascii="Times New Roman" w:hAnsi="Times New Roman" w:eastAsia="宋体" w:cs="Times New Roman"/>
          <w:color w:val="000000"/>
          <w:kern w:val="0"/>
          <w:sz w:val="24"/>
          <w:szCs w:val="24"/>
          <w:lang w:val="en-US" w:eastAsia="zh-CN" w:bidi="ar"/>
        </w:rPr>
        <w:t>1000-2000m</w:t>
      </w:r>
      <w:r>
        <w:rPr>
          <w:rFonts w:hint="default" w:ascii="Times New Roman" w:hAnsi="Times New Roman" w:eastAsia="宋体" w:cs="Times New Roman"/>
          <w:color w:val="000000"/>
          <w:kern w:val="0"/>
          <w:sz w:val="15"/>
          <w:szCs w:val="15"/>
          <w:lang w:val="en-US" w:eastAsia="zh-CN" w:bidi="ar"/>
        </w:rPr>
        <w:t xml:space="preserve">3 </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 xml:space="preserve">，水化学类型为 </w:t>
      </w:r>
      <w:r>
        <w:rPr>
          <w:rFonts w:hint="default" w:ascii="Times New Roman" w:hAnsi="Times New Roman" w:eastAsia="宋体" w:cs="Times New Roman"/>
          <w:color w:val="000000"/>
          <w:kern w:val="0"/>
          <w:sz w:val="24"/>
          <w:szCs w:val="24"/>
          <w:lang w:val="en-US" w:eastAsia="zh-CN" w:bidi="ar"/>
        </w:rPr>
        <w:t>HCO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-Ca</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HCO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 xml:space="preserve">-Ca·Mg </w:t>
      </w:r>
      <w:r>
        <w:rPr>
          <w:rFonts w:hint="eastAsia" w:ascii="宋体" w:hAnsi="宋体" w:eastAsia="宋体" w:cs="宋体"/>
          <w:color w:val="000000"/>
          <w:kern w:val="0"/>
          <w:sz w:val="24"/>
          <w:szCs w:val="24"/>
          <w:lang w:val="en-US" w:eastAsia="zh-CN" w:bidi="ar"/>
        </w:rPr>
        <w:t xml:space="preserve">型水，矿化度 </w:t>
      </w:r>
      <w:r>
        <w:rPr>
          <w:rFonts w:hint="default" w:ascii="Times New Roman" w:hAnsi="Times New Roman" w:eastAsia="宋体" w:cs="Times New Roman"/>
          <w:color w:val="000000"/>
          <w:kern w:val="0"/>
          <w:sz w:val="24"/>
          <w:szCs w:val="24"/>
          <w:lang w:val="en-US" w:eastAsia="zh-CN" w:bidi="ar"/>
        </w:rPr>
        <w:t>0.23-0.38g/L</w:t>
      </w:r>
      <w:r>
        <w:rPr>
          <w:rFonts w:hint="eastAsia" w:ascii="宋体" w:hAnsi="宋体" w:eastAsia="宋体" w:cs="宋体"/>
          <w:color w:val="000000"/>
          <w:kern w:val="0"/>
          <w:sz w:val="24"/>
          <w:szCs w:val="24"/>
          <w:lang w:val="en-US" w:eastAsia="zh-CN" w:bidi="ar"/>
        </w:rPr>
        <w:t>。</w:t>
      </w:r>
    </w:p>
    <w:p w14:paraId="233E3E09">
      <w:pPr>
        <w:keepNext w:val="0"/>
        <w:keepLines w:val="0"/>
        <w:widowControl/>
        <w:suppressLineNumbers w:val="0"/>
        <w:jc w:val="left"/>
      </w:pPr>
      <w:r>
        <w:rPr>
          <w:highlight w:val="none"/>
        </w:rPr>
        <w:t>（3）</w:t>
      </w:r>
      <w:r>
        <w:rPr>
          <w:rFonts w:hint="eastAsia" w:ascii="宋体" w:hAnsi="宋体" w:eastAsia="宋体" w:cs="宋体"/>
          <w:color w:val="000000"/>
          <w:kern w:val="0"/>
          <w:sz w:val="24"/>
          <w:szCs w:val="24"/>
          <w:lang w:val="en-US" w:eastAsia="zh-CN" w:bidi="ar"/>
        </w:rPr>
        <w:t>白垩系泉头组孔隙裂隙承压水</w:t>
      </w:r>
    </w:p>
    <w:p w14:paraId="3C56BBE4">
      <w:pPr>
        <w:keepNext w:val="0"/>
        <w:keepLines w:val="0"/>
        <w:widowControl/>
        <w:suppressLineNumbers w:val="0"/>
        <w:jc w:val="left"/>
        <w:rPr>
          <w:rFonts w:hint="eastAsia"/>
          <w:highlight w:val="none"/>
          <w:lang w:eastAsia="zh-CN"/>
        </w:rPr>
      </w:pPr>
      <w:r>
        <w:rPr>
          <w:rFonts w:hint="eastAsia" w:ascii="宋体" w:hAnsi="宋体" w:eastAsia="宋体" w:cs="宋体"/>
          <w:color w:val="000000"/>
          <w:kern w:val="0"/>
          <w:sz w:val="24"/>
          <w:szCs w:val="24"/>
          <w:lang w:val="en-US" w:eastAsia="zh-CN" w:bidi="ar"/>
        </w:rPr>
        <w:t xml:space="preserve">含水层由白垩系砂岩、砂砾岩组成，该岩层为泥质胶结，砾石含量较少，仅下部砾石含量略有增多，粒径变粗，一般为 </w:t>
      </w:r>
      <w:r>
        <w:rPr>
          <w:rFonts w:hint="default" w:ascii="Times New Roman" w:hAnsi="Times New Roman" w:eastAsia="宋体" w:cs="Times New Roman"/>
          <w:color w:val="000000"/>
          <w:kern w:val="0"/>
          <w:sz w:val="24"/>
          <w:szCs w:val="24"/>
          <w:lang w:val="en-US" w:eastAsia="zh-CN" w:bidi="ar"/>
        </w:rPr>
        <w:t xml:space="preserve">0.5~1 </w:t>
      </w:r>
      <w:r>
        <w:rPr>
          <w:rFonts w:hint="eastAsia" w:ascii="宋体" w:hAnsi="宋体" w:eastAsia="宋体" w:cs="宋体"/>
          <w:color w:val="000000"/>
          <w:kern w:val="0"/>
          <w:sz w:val="24"/>
          <w:szCs w:val="24"/>
          <w:lang w:val="en-US" w:eastAsia="zh-CN" w:bidi="ar"/>
        </w:rPr>
        <w:t xml:space="preserve">厘米，分选不好，矿物成份以石英、长石为主，次为角闪石及黑云母。顶板埋深 </w:t>
      </w:r>
      <w:r>
        <w:rPr>
          <w:rFonts w:hint="default" w:ascii="Times New Roman" w:hAnsi="Times New Roman" w:eastAsia="宋体" w:cs="Times New Roman"/>
          <w:color w:val="000000"/>
          <w:kern w:val="0"/>
          <w:sz w:val="24"/>
          <w:szCs w:val="24"/>
          <w:lang w:val="en-US" w:eastAsia="zh-CN" w:bidi="ar"/>
        </w:rPr>
        <w:t>20~70m</w:t>
      </w:r>
      <w:r>
        <w:rPr>
          <w:rFonts w:hint="eastAsia" w:ascii="宋体" w:hAnsi="宋体" w:eastAsia="宋体" w:cs="宋体"/>
          <w:color w:val="000000"/>
          <w:kern w:val="0"/>
          <w:sz w:val="24"/>
          <w:szCs w:val="24"/>
          <w:lang w:val="en-US" w:eastAsia="zh-CN" w:bidi="ar"/>
        </w:rPr>
        <w:t xml:space="preserve">，含水层厚度为 </w:t>
      </w:r>
      <w:r>
        <w:rPr>
          <w:rFonts w:hint="default" w:ascii="Times New Roman" w:hAnsi="Times New Roman" w:eastAsia="宋体" w:cs="Times New Roman"/>
          <w:color w:val="000000"/>
          <w:kern w:val="0"/>
          <w:sz w:val="24"/>
          <w:szCs w:val="24"/>
          <w:lang w:val="en-US" w:eastAsia="zh-CN" w:bidi="ar"/>
        </w:rPr>
        <w:t>10~50m</w:t>
      </w:r>
      <w:r>
        <w:rPr>
          <w:rFonts w:hint="eastAsia" w:ascii="宋体" w:hAnsi="宋体" w:eastAsia="宋体" w:cs="宋体"/>
          <w:color w:val="000000"/>
          <w:kern w:val="0"/>
          <w:sz w:val="24"/>
          <w:szCs w:val="24"/>
          <w:lang w:val="en-US" w:eastAsia="zh-CN" w:bidi="ar"/>
        </w:rPr>
        <w:t xml:space="preserve">，水位埋深 </w:t>
      </w:r>
      <w:r>
        <w:rPr>
          <w:rFonts w:hint="default" w:ascii="Times New Roman" w:hAnsi="Times New Roman" w:eastAsia="宋体" w:cs="Times New Roman"/>
          <w:color w:val="000000"/>
          <w:kern w:val="0"/>
          <w:sz w:val="24"/>
          <w:szCs w:val="24"/>
          <w:lang w:val="en-US" w:eastAsia="zh-CN" w:bidi="ar"/>
        </w:rPr>
        <w:t>l0~30m</w:t>
      </w:r>
      <w:r>
        <w:rPr>
          <w:rFonts w:hint="eastAsia" w:ascii="宋体" w:hAnsi="宋体" w:eastAsia="宋体" w:cs="宋体"/>
          <w:color w:val="000000"/>
          <w:kern w:val="0"/>
          <w:sz w:val="24"/>
          <w:szCs w:val="24"/>
          <w:lang w:val="en-US" w:eastAsia="zh-CN" w:bidi="ar"/>
        </w:rPr>
        <w:t xml:space="preserve">，承压水头 </w:t>
      </w:r>
      <w:r>
        <w:rPr>
          <w:rFonts w:hint="default" w:ascii="Times New Roman" w:hAnsi="Times New Roman" w:eastAsia="宋体" w:cs="Times New Roman"/>
          <w:color w:val="000000"/>
          <w:kern w:val="0"/>
          <w:sz w:val="24"/>
          <w:szCs w:val="24"/>
          <w:lang w:val="en-US" w:eastAsia="zh-CN" w:bidi="ar"/>
        </w:rPr>
        <w:t>l0~50m</w:t>
      </w:r>
      <w:r>
        <w:rPr>
          <w:rFonts w:hint="eastAsia" w:ascii="宋体" w:hAnsi="宋体" w:eastAsia="宋体" w:cs="宋体"/>
          <w:color w:val="000000"/>
          <w:kern w:val="0"/>
          <w:sz w:val="24"/>
          <w:szCs w:val="24"/>
          <w:lang w:val="en-US" w:eastAsia="zh-CN" w:bidi="ar"/>
        </w:rPr>
        <w:t>，局部自流，富水性较不均一，单井涌水量</w:t>
      </w:r>
      <w:r>
        <w:rPr>
          <w:rFonts w:hint="default" w:ascii="Times New Roman" w:hAnsi="Times New Roman" w:eastAsia="宋体" w:cs="Times New Roman"/>
          <w:color w:val="000000"/>
          <w:kern w:val="0"/>
          <w:sz w:val="24"/>
          <w:szCs w:val="24"/>
          <w:lang w:val="en-US" w:eastAsia="zh-CN" w:bidi="ar"/>
        </w:rPr>
        <w:t>&lt;500m</w:t>
      </w:r>
      <w:r>
        <w:rPr>
          <w:rFonts w:hint="default" w:ascii="Times New Roman" w:hAnsi="Times New Roman" w:eastAsia="宋体" w:cs="Times New Roman"/>
          <w:color w:val="000000"/>
          <w:kern w:val="0"/>
          <w:sz w:val="15"/>
          <w:szCs w:val="15"/>
          <w:lang w:val="en-US" w:eastAsia="zh-CN" w:bidi="ar"/>
        </w:rPr>
        <w:t xml:space="preserve">3 </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HCO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 xml:space="preserve">-Ca </w:t>
      </w:r>
      <w:r>
        <w:rPr>
          <w:rFonts w:hint="eastAsia" w:ascii="宋体" w:hAnsi="宋体" w:eastAsia="宋体" w:cs="宋体"/>
          <w:color w:val="000000"/>
          <w:kern w:val="0"/>
          <w:sz w:val="24"/>
          <w:szCs w:val="24"/>
          <w:lang w:val="en-US" w:eastAsia="zh-CN" w:bidi="ar"/>
        </w:rPr>
        <w:t xml:space="preserve">型或 </w:t>
      </w:r>
      <w:r>
        <w:rPr>
          <w:rFonts w:hint="default" w:ascii="Times New Roman" w:hAnsi="Times New Roman" w:eastAsia="宋体" w:cs="Times New Roman"/>
          <w:color w:val="000000"/>
          <w:kern w:val="0"/>
          <w:sz w:val="24"/>
          <w:szCs w:val="24"/>
          <w:lang w:val="en-US" w:eastAsia="zh-CN" w:bidi="ar"/>
        </w:rPr>
        <w:t xml:space="preserve">Ca·Na </w:t>
      </w:r>
      <w:r>
        <w:rPr>
          <w:rFonts w:hint="eastAsia" w:ascii="宋体" w:hAnsi="宋体" w:eastAsia="宋体" w:cs="宋体"/>
          <w:color w:val="000000"/>
          <w:kern w:val="0"/>
          <w:sz w:val="24"/>
          <w:szCs w:val="24"/>
          <w:lang w:val="en-US" w:eastAsia="zh-CN" w:bidi="ar"/>
        </w:rPr>
        <w:t>型水，矿化度小于</w:t>
      </w:r>
      <w:r>
        <w:rPr>
          <w:rFonts w:hint="default" w:ascii="Times New Roman" w:hAnsi="Times New Roman" w:eastAsia="宋体" w:cs="Times New Roman"/>
          <w:color w:val="000000"/>
          <w:kern w:val="0"/>
          <w:sz w:val="24"/>
          <w:szCs w:val="24"/>
          <w:lang w:val="en-US" w:eastAsia="zh-CN" w:bidi="ar"/>
        </w:rPr>
        <w:t>0.5g/L</w:t>
      </w:r>
      <w:r>
        <w:rPr>
          <w:rFonts w:hint="eastAsia"/>
          <w:highlight w:val="none"/>
          <w:lang w:eastAsia="zh-CN"/>
        </w:rPr>
        <w:t>。</w:t>
      </w:r>
    </w:p>
    <w:p w14:paraId="1B8512A1">
      <w:pPr>
        <w:bidi w:val="0"/>
        <w:rPr>
          <w:highlight w:val="none"/>
        </w:rPr>
      </w:pPr>
      <w:bookmarkStart w:id="292" w:name="_Toc21767"/>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地下水补给、径流、排泄条件</w:t>
      </w:r>
      <w:bookmarkEnd w:id="292"/>
    </w:p>
    <w:p w14:paraId="590F2F6B">
      <w:pPr>
        <w:bidi w:val="0"/>
        <w:rPr>
          <w:highlight w:val="none"/>
        </w:rPr>
      </w:pPr>
      <w:r>
        <w:rPr>
          <w:highlight w:val="none"/>
        </w:rPr>
        <w:t>区内地下水补给主要为大气降水补给、地表水入渗补给及侧向径流补给，潜水水位变化与大气降水同步进行，而承压水丰水期滞后于潜水丰水期，这说明潜水主要受大气降水及地表水入渗补给，承压水接受潜水</w:t>
      </w:r>
      <w:r>
        <w:rPr>
          <w:rFonts w:hint="eastAsia"/>
          <w:highlight w:val="none"/>
          <w:lang w:eastAsia="zh-CN"/>
        </w:rPr>
        <w:t>径</w:t>
      </w:r>
      <w:r>
        <w:rPr>
          <w:highlight w:val="none"/>
        </w:rPr>
        <w:t>流补给较缓慢，呈滞后状态。此外，承压水还接受侧向径流补给。评价区地下水流向为</w:t>
      </w:r>
      <w:r>
        <w:rPr>
          <w:rFonts w:hint="eastAsia" w:cs="Times New Roman"/>
          <w:color w:val="auto"/>
          <w:szCs w:val="24"/>
          <w:highlight w:val="none"/>
          <w:lang w:eastAsia="zh-CN"/>
        </w:rPr>
        <w:t>东南向西北</w:t>
      </w:r>
      <w:r>
        <w:rPr>
          <w:rFonts w:ascii="Times New Roman" w:hAnsi="Times New Roman" w:eastAsia="宋体" w:cs="Times New Roman"/>
          <w:color w:val="auto"/>
          <w:szCs w:val="24"/>
          <w:highlight w:val="none"/>
        </w:rPr>
        <w:t>方向</w:t>
      </w:r>
      <w:r>
        <w:rPr>
          <w:rFonts w:hint="eastAsia" w:cs="Times New Roman"/>
          <w:color w:val="auto"/>
          <w:szCs w:val="24"/>
          <w:highlight w:val="none"/>
          <w:lang w:eastAsia="zh-CN"/>
        </w:rPr>
        <w:t>，</w:t>
      </w:r>
      <w:r>
        <w:rPr>
          <w:color w:val="auto"/>
          <w:highlight w:val="none"/>
        </w:rPr>
        <w:t>地下水水力坡度约为0.0025</w:t>
      </w:r>
      <w:r>
        <w:rPr>
          <w:highlight w:val="none"/>
        </w:rPr>
        <w:t>。</w:t>
      </w:r>
    </w:p>
    <w:p w14:paraId="4F5CF202">
      <w:pPr>
        <w:bidi w:val="0"/>
        <w:rPr>
          <w:highlight w:val="none"/>
        </w:rPr>
      </w:pPr>
      <w:bookmarkStart w:id="293" w:name="_Toc10470"/>
      <w:r>
        <w:rPr>
          <w:rFonts w:hint="eastAsia"/>
          <w:highlight w:val="none"/>
          <w:lang w:eastAsia="zh-CN"/>
        </w:rPr>
        <w:t>（</w:t>
      </w:r>
      <w:r>
        <w:rPr>
          <w:rFonts w:hint="eastAsia"/>
          <w:highlight w:val="none"/>
          <w:lang w:val="en-US" w:eastAsia="zh-CN"/>
        </w:rPr>
        <w:t>5</w:t>
      </w:r>
      <w:r>
        <w:rPr>
          <w:rFonts w:hint="eastAsia"/>
          <w:highlight w:val="none"/>
          <w:lang w:eastAsia="zh-CN"/>
        </w:rPr>
        <w:t>）</w:t>
      </w:r>
      <w:r>
        <w:rPr>
          <w:highlight w:val="none"/>
        </w:rPr>
        <w:t>地下水动态变化特征</w:t>
      </w:r>
      <w:bookmarkEnd w:id="293"/>
    </w:p>
    <w:p w14:paraId="78315B13">
      <w:pPr>
        <w:keepNext w:val="0"/>
        <w:keepLines w:val="0"/>
        <w:widowControl/>
        <w:suppressLineNumbers w:val="0"/>
        <w:jc w:val="left"/>
        <w:rPr>
          <w:rFonts w:ascii="Times New Roman" w:hAnsi="Times New Roman" w:eastAsia="宋体" w:cs="Times New Roman"/>
          <w:highlight w:val="none"/>
        </w:rPr>
      </w:pPr>
      <w:r>
        <w:rPr>
          <w:rFonts w:hint="eastAsia" w:ascii="宋体" w:hAnsi="宋体" w:eastAsia="宋体" w:cs="宋体"/>
          <w:color w:val="000000"/>
          <w:kern w:val="0"/>
          <w:sz w:val="24"/>
          <w:szCs w:val="24"/>
          <w:lang w:val="en-US" w:eastAsia="zh-CN" w:bidi="ar"/>
        </w:rPr>
        <w:t>评价区区地下水动态变化，主要受大气降水因素影响，局部还受水文因素影响。第四系孔隙潜水水位年变幅</w:t>
      </w:r>
      <w:r>
        <w:rPr>
          <w:rFonts w:hint="default" w:ascii="Times New Roman" w:hAnsi="Times New Roman" w:eastAsia="宋体" w:cs="Times New Roman"/>
          <w:color w:val="000000"/>
          <w:kern w:val="0"/>
          <w:sz w:val="24"/>
          <w:szCs w:val="24"/>
          <w:lang w:val="en-US" w:eastAsia="zh-CN" w:bidi="ar"/>
        </w:rPr>
        <w:t>1~4.5m</w:t>
      </w:r>
      <w:r>
        <w:rPr>
          <w:rFonts w:hint="eastAsia" w:ascii="宋体" w:hAnsi="宋体" w:eastAsia="宋体" w:cs="宋体"/>
          <w:color w:val="000000"/>
          <w:kern w:val="0"/>
          <w:sz w:val="24"/>
          <w:szCs w:val="24"/>
          <w:lang w:val="en-US" w:eastAsia="zh-CN" w:bidi="ar"/>
        </w:rPr>
        <w:t>，最低水位在</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月下旬至</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月初，最高水位出现</w:t>
      </w:r>
      <w:r>
        <w:rPr>
          <w:rFonts w:hint="default" w:ascii="Times New Roman" w:hAnsi="Times New Roman" w:eastAsia="宋体" w:cs="Times New Roman"/>
          <w:color w:val="000000"/>
          <w:kern w:val="0"/>
          <w:sz w:val="24"/>
          <w:szCs w:val="24"/>
          <w:lang w:val="en-US" w:eastAsia="zh-CN" w:bidi="ar"/>
        </w:rPr>
        <w:t>8~9</w:t>
      </w:r>
      <w:r>
        <w:rPr>
          <w:rFonts w:hint="eastAsia" w:ascii="宋体" w:hAnsi="宋体" w:eastAsia="宋体" w:cs="宋体"/>
          <w:color w:val="000000"/>
          <w:kern w:val="0"/>
          <w:sz w:val="24"/>
          <w:szCs w:val="24"/>
          <w:lang w:val="en-US" w:eastAsia="zh-CN" w:bidi="ar"/>
        </w:rPr>
        <w:t>月初的雨季和江河水位高水位期，水位年变幅</w:t>
      </w:r>
      <w:r>
        <w:rPr>
          <w:rFonts w:hint="default" w:ascii="Times New Roman" w:hAnsi="Times New Roman" w:eastAsia="宋体" w:cs="Times New Roman"/>
          <w:color w:val="000000"/>
          <w:kern w:val="0"/>
          <w:sz w:val="24"/>
          <w:szCs w:val="24"/>
          <w:lang w:val="en-US" w:eastAsia="zh-CN" w:bidi="ar"/>
        </w:rPr>
        <w:t>2~4.5m</w:t>
      </w:r>
      <w:r>
        <w:rPr>
          <w:rFonts w:hint="eastAsia" w:ascii="宋体" w:hAnsi="宋体" w:eastAsia="宋体" w:cs="宋体"/>
          <w:color w:val="000000"/>
          <w:kern w:val="0"/>
          <w:sz w:val="24"/>
          <w:szCs w:val="24"/>
          <w:lang w:val="en-US" w:eastAsia="zh-CN" w:bidi="ar"/>
        </w:rPr>
        <w:t>，随着江河岸边越远地下水位受江水影响越小。松花江阶地砂含砾石层孔隙弱承压水位年变幅</w:t>
      </w:r>
      <w:r>
        <w:rPr>
          <w:rFonts w:hint="default" w:ascii="Times New Roman" w:hAnsi="Times New Roman" w:eastAsia="宋体" w:cs="Times New Roman"/>
          <w:color w:val="000000"/>
          <w:kern w:val="0"/>
          <w:sz w:val="24"/>
          <w:szCs w:val="24"/>
          <w:lang w:val="en-US" w:eastAsia="zh-CN" w:bidi="ar"/>
        </w:rPr>
        <w:t>1~2m</w:t>
      </w:r>
      <w:r>
        <w:rPr>
          <w:rFonts w:hint="eastAsia" w:ascii="宋体" w:hAnsi="宋体" w:eastAsia="宋体" w:cs="宋体"/>
          <w:color w:val="000000"/>
          <w:kern w:val="0"/>
          <w:sz w:val="24"/>
          <w:szCs w:val="24"/>
          <w:lang w:val="en-US" w:eastAsia="zh-CN" w:bidi="ar"/>
        </w:rPr>
        <w:t>，高水位期出现在</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月末至</w:t>
      </w:r>
      <w:r>
        <w:rPr>
          <w:rFonts w:hint="default" w:ascii="Times New Roman" w:hAnsi="Times New Roman" w:eastAsia="宋体" w:cs="Times New Roman"/>
          <w:color w:val="000000"/>
          <w:kern w:val="0"/>
          <w:sz w:val="24"/>
          <w:szCs w:val="24"/>
          <w:lang w:val="en-US" w:eastAsia="zh-CN" w:bidi="ar"/>
        </w:rPr>
        <w:t xml:space="preserve">10 </w:t>
      </w:r>
      <w:r>
        <w:rPr>
          <w:rFonts w:hint="eastAsia" w:ascii="宋体" w:hAnsi="宋体" w:eastAsia="宋体" w:cs="宋体"/>
          <w:color w:val="000000"/>
          <w:kern w:val="0"/>
          <w:sz w:val="24"/>
          <w:szCs w:val="24"/>
          <w:lang w:val="en-US" w:eastAsia="zh-CN" w:bidi="ar"/>
        </w:rPr>
        <w:t>月初，滞后雨季</w:t>
      </w:r>
      <w:r>
        <w:rPr>
          <w:rFonts w:hint="default" w:ascii="Times New Roman" w:hAnsi="Times New Roman" w:eastAsia="宋体" w:cs="Times New Roman"/>
          <w:color w:val="000000"/>
          <w:kern w:val="0"/>
          <w:sz w:val="24"/>
          <w:szCs w:val="24"/>
          <w:lang w:val="en-US" w:eastAsia="zh-CN" w:bidi="ar"/>
        </w:rPr>
        <w:t>20-25</w:t>
      </w:r>
      <w:r>
        <w:rPr>
          <w:rFonts w:hint="eastAsia" w:ascii="宋体" w:hAnsi="宋体" w:eastAsia="宋体" w:cs="宋体"/>
          <w:color w:val="000000"/>
          <w:kern w:val="0"/>
          <w:sz w:val="24"/>
          <w:szCs w:val="24"/>
          <w:lang w:val="en-US" w:eastAsia="zh-CN" w:bidi="ar"/>
        </w:rPr>
        <w:t>天，枯水期在翌年的</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月下旬</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月上旬，由于受人为开采影响，春季</w:t>
      </w:r>
      <w:r>
        <w:rPr>
          <w:rFonts w:hint="default" w:ascii="Times New Roman" w:hAnsi="Times New Roman" w:eastAsia="宋体" w:cs="Times New Roman"/>
          <w:color w:val="000000"/>
          <w:kern w:val="0"/>
          <w:sz w:val="24"/>
          <w:szCs w:val="24"/>
          <w:lang w:val="en-US" w:eastAsia="zh-CN" w:bidi="ar"/>
        </w:rPr>
        <w:t>5-6</w:t>
      </w:r>
      <w:r>
        <w:rPr>
          <w:rFonts w:hint="eastAsia" w:ascii="宋体" w:hAnsi="宋体" w:eastAsia="宋体" w:cs="宋体"/>
          <w:color w:val="000000"/>
          <w:kern w:val="0"/>
          <w:sz w:val="24"/>
          <w:szCs w:val="24"/>
          <w:lang w:val="en-US" w:eastAsia="zh-CN" w:bidi="ar"/>
        </w:rPr>
        <w:t>月份水位大幅下降，有时出现抽水井吊泵现象。水温年变幅</w:t>
      </w:r>
      <w:r>
        <w:rPr>
          <w:rFonts w:hint="default" w:ascii="Times New Roman" w:hAnsi="Times New Roman" w:eastAsia="宋体" w:cs="Times New Roman"/>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 xml:space="preserve">℃。孔隙承压水位年变幅 </w:t>
      </w:r>
      <w:r>
        <w:rPr>
          <w:rFonts w:hint="default" w:ascii="Times New Roman" w:hAnsi="Times New Roman" w:eastAsia="宋体" w:cs="Times New Roman"/>
          <w:color w:val="000000"/>
          <w:kern w:val="0"/>
          <w:sz w:val="24"/>
          <w:szCs w:val="24"/>
          <w:lang w:val="en-US" w:eastAsia="zh-CN" w:bidi="ar"/>
        </w:rPr>
        <w:t>1~2m</w:t>
      </w:r>
      <w:r>
        <w:rPr>
          <w:rFonts w:hint="eastAsia" w:ascii="宋体" w:hAnsi="宋体" w:eastAsia="宋体" w:cs="宋体"/>
          <w:color w:val="000000"/>
          <w:kern w:val="0"/>
          <w:sz w:val="24"/>
          <w:szCs w:val="24"/>
          <w:lang w:val="en-US" w:eastAsia="zh-CN" w:bidi="ar"/>
        </w:rPr>
        <w:t>，高水位期在</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月上</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中旬，雨季</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天左右，枯（低）水位期在</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月份初</w:t>
      </w:r>
      <w:r>
        <w:rPr>
          <w:rFonts w:ascii="Times New Roman" w:hAnsi="Times New Roman" w:eastAsia="宋体" w:cs="Times New Roman"/>
          <w:highlight w:val="none"/>
        </w:rPr>
        <w:t>。</w:t>
      </w:r>
    </w:p>
    <w:p w14:paraId="1864A082">
      <w:pPr>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（5）开发与利用现状</w:t>
      </w:r>
    </w:p>
    <w:p w14:paraId="012AEA81">
      <w:pPr>
        <w:keepNext w:val="0"/>
        <w:keepLines w:val="0"/>
        <w:widowControl/>
        <w:suppressLineNumbers w:val="0"/>
        <w:jc w:val="left"/>
        <w:rPr>
          <w:rFonts w:hint="default" w:ascii="Times New Roman" w:hAnsi="Times New Roman" w:eastAsia="宋体" w:cs="Times New Roman"/>
          <w:highlight w:val="none"/>
          <w:lang w:val="en-US" w:eastAsia="zh-CN"/>
        </w:rPr>
      </w:pPr>
      <w:r>
        <w:rPr>
          <w:rFonts w:hint="eastAsia" w:ascii="宋体" w:hAnsi="宋体" w:eastAsia="宋体" w:cs="宋体"/>
          <w:color w:val="000000"/>
          <w:kern w:val="0"/>
          <w:sz w:val="24"/>
          <w:szCs w:val="24"/>
          <w:highlight w:val="none"/>
          <w:lang w:val="en-US" w:eastAsia="zh-CN" w:bidi="ar"/>
        </w:rPr>
        <w:t>评价区地下水现状开采利用目的主要为</w:t>
      </w:r>
      <w:r>
        <w:rPr>
          <w:rFonts w:hint="eastAsia" w:cs="Times New Roman"/>
          <w:highlight w:val="none"/>
          <w:lang w:val="en-US" w:eastAsia="zh-CN"/>
        </w:rPr>
        <w:t>幸福</w:t>
      </w:r>
      <w:r>
        <w:rPr>
          <w:rFonts w:hint="eastAsia" w:ascii="Times New Roman" w:hAnsi="Times New Roman" w:eastAsia="宋体" w:cs="Times New Roman"/>
          <w:highlight w:val="none"/>
          <w:lang w:val="en-US" w:eastAsia="zh-CN"/>
        </w:rPr>
        <w:t>村</w:t>
      </w:r>
      <w:r>
        <w:rPr>
          <w:rFonts w:hint="eastAsia" w:cs="Times New Roman"/>
          <w:highlight w:val="none"/>
          <w:lang w:val="en-US" w:eastAsia="zh-CN"/>
        </w:rPr>
        <w:t>及周边村落</w:t>
      </w:r>
      <w:r>
        <w:rPr>
          <w:rFonts w:hint="eastAsia" w:ascii="宋体" w:hAnsi="宋体" w:eastAsia="宋体" w:cs="宋体"/>
          <w:color w:val="000000"/>
          <w:kern w:val="0"/>
          <w:sz w:val="24"/>
          <w:szCs w:val="24"/>
          <w:highlight w:val="none"/>
          <w:lang w:val="en-US" w:eastAsia="zh-CN" w:bidi="ar"/>
        </w:rPr>
        <w:t>居民生活</w:t>
      </w:r>
      <w:r>
        <w:rPr>
          <w:rFonts w:hint="eastAsia" w:ascii="宋体" w:hAnsi="宋体" w:cs="宋体"/>
          <w:color w:val="000000"/>
          <w:kern w:val="0"/>
          <w:sz w:val="24"/>
          <w:szCs w:val="24"/>
          <w:highlight w:val="none"/>
          <w:lang w:val="en-US" w:eastAsia="zh-CN" w:bidi="ar"/>
        </w:rPr>
        <w:t>饮用</w:t>
      </w:r>
      <w:r>
        <w:rPr>
          <w:rFonts w:hint="eastAsia" w:ascii="Times New Roman" w:hAnsi="Times New Roman" w:eastAsia="宋体" w:cs="Times New Roman"/>
          <w:highlight w:val="none"/>
          <w:lang w:val="en-US" w:eastAsia="zh-CN"/>
        </w:rPr>
        <w:t>水，</w:t>
      </w:r>
      <w:r>
        <w:rPr>
          <w:rFonts w:hint="eastAsia" w:cs="Times New Roman"/>
          <w:highlight w:val="none"/>
          <w:lang w:val="en-US" w:eastAsia="zh-CN"/>
        </w:rPr>
        <w:t>幸福村</w:t>
      </w:r>
      <w:r>
        <w:rPr>
          <w:rFonts w:hint="eastAsia" w:ascii="Times New Roman" w:hAnsi="Times New Roman" w:eastAsia="宋体" w:cs="Times New Roman"/>
          <w:highlight w:val="none"/>
          <w:lang w:val="en-US" w:eastAsia="zh-CN"/>
        </w:rPr>
        <w:t>村饮用水井为</w:t>
      </w:r>
      <w:r>
        <w:rPr>
          <w:rFonts w:hint="eastAsia" w:cs="Times New Roman"/>
          <w:highlight w:val="none"/>
          <w:lang w:val="en-US" w:eastAsia="zh-CN"/>
        </w:rPr>
        <w:t>集中</w:t>
      </w:r>
      <w:r>
        <w:rPr>
          <w:rFonts w:hint="eastAsia" w:ascii="Times New Roman" w:hAnsi="Times New Roman" w:eastAsia="宋体" w:cs="Times New Roman"/>
          <w:highlight w:val="none"/>
          <w:lang w:val="en-US" w:eastAsia="zh-CN"/>
        </w:rPr>
        <w:t>式饮用水井，</w:t>
      </w:r>
      <w:r>
        <w:rPr>
          <w:rFonts w:ascii="Times New Roman" w:hAnsi="Times New Roman" w:eastAsia="宋体" w:cs="Times New Roman"/>
          <w:highlight w:val="none"/>
        </w:rPr>
        <w:t>距离本项目厂界</w:t>
      </w:r>
      <w:r>
        <w:rPr>
          <w:rFonts w:hint="eastAsia" w:cs="Times New Roman"/>
          <w:highlight w:val="none"/>
          <w:lang w:val="en-US" w:eastAsia="zh-CN"/>
        </w:rPr>
        <w:t>32</w:t>
      </w:r>
      <w:r>
        <w:rPr>
          <w:rFonts w:ascii="Times New Roman" w:hAnsi="Times New Roman" w:eastAsia="宋体" w:cs="Times New Roman"/>
          <w:highlight w:val="none"/>
        </w:rPr>
        <w:t>0m，此饮用水井供水人口</w:t>
      </w:r>
      <w:r>
        <w:rPr>
          <w:rFonts w:hint="default" w:ascii="Times New Roman" w:hAnsi="Times New Roman" w:eastAsia="宋体" w:cs="Times New Roman"/>
          <w:highlight w:val="none"/>
        </w:rPr>
        <w:t>为</w:t>
      </w:r>
      <w:r>
        <w:rPr>
          <w:rFonts w:hint="eastAsia" w:cs="Times New Roman"/>
          <w:highlight w:val="none"/>
          <w:lang w:val="en-US" w:eastAsia="zh-CN"/>
        </w:rPr>
        <w:t>1</w:t>
      </w:r>
      <w:r>
        <w:rPr>
          <w:rFonts w:hint="default" w:ascii="Times New Roman" w:hAnsi="Times New Roman" w:eastAsia="宋体" w:cs="Times New Roman"/>
          <w:highlight w:val="none"/>
        </w:rPr>
        <w:t>850人，该水井未划定保护区</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供水方式为</w:t>
      </w:r>
      <w:r>
        <w:rPr>
          <w:rFonts w:hint="default" w:ascii="Times New Roman" w:hAnsi="Times New Roman" w:eastAsia="宋体" w:cs="Times New Roman"/>
          <w:color w:val="000000"/>
          <w:kern w:val="0"/>
          <w:sz w:val="24"/>
          <w:szCs w:val="24"/>
          <w:highlight w:val="none"/>
          <w:lang w:val="en-US" w:eastAsia="zh-CN" w:bidi="ar"/>
        </w:rPr>
        <w:t>生活饮用水井，井深45m，</w:t>
      </w:r>
      <w:r>
        <w:rPr>
          <w:rFonts w:hint="eastAsia" w:ascii="Times New Roman" w:hAnsi="Times New Roman" w:eastAsia="宋体" w:cs="Times New Roman"/>
          <w:color w:val="000000"/>
          <w:kern w:val="0"/>
          <w:sz w:val="24"/>
          <w:szCs w:val="24"/>
          <w:highlight w:val="none"/>
          <w:lang w:val="en-US" w:eastAsia="zh-CN" w:bidi="ar"/>
        </w:rPr>
        <w:t>开采层为承压层，</w:t>
      </w:r>
      <w:r>
        <w:rPr>
          <w:rFonts w:hint="default" w:ascii="Times New Roman" w:hAnsi="Times New Roman" w:eastAsia="宋体" w:cs="Times New Roman"/>
          <w:color w:val="000000"/>
          <w:kern w:val="0"/>
          <w:sz w:val="24"/>
          <w:szCs w:val="24"/>
          <w:highlight w:val="none"/>
          <w:lang w:val="en-US" w:eastAsia="zh-CN" w:bidi="ar"/>
        </w:rPr>
        <w:t>年开采量</w:t>
      </w:r>
      <w:r>
        <w:rPr>
          <w:rFonts w:hint="eastAsia" w:cs="Times New Roman"/>
          <w:color w:val="000000"/>
          <w:kern w:val="0"/>
          <w:sz w:val="24"/>
          <w:szCs w:val="24"/>
          <w:highlight w:val="none"/>
          <w:lang w:val="en-US" w:eastAsia="zh-CN" w:bidi="ar"/>
        </w:rPr>
        <w:t>54020</w:t>
      </w:r>
      <w:r>
        <w:rPr>
          <w:rFonts w:hint="default" w:ascii="Times New Roman" w:hAnsi="Times New Roman" w:eastAsia="宋体" w:cs="Times New Roman"/>
          <w:color w:val="000000"/>
          <w:kern w:val="0"/>
          <w:sz w:val="24"/>
          <w:szCs w:val="24"/>
          <w:highlight w:val="none"/>
          <w:lang w:val="en-US" w:eastAsia="zh-CN" w:bidi="ar"/>
        </w:rPr>
        <w:t>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（用水定额采用《黑龙江省用水定额》（黑龙江省水利厅，2021 年 3 月）中的农村生活用水定额表，按 80L/人·天考虑）</w:t>
      </w:r>
      <w:r>
        <w:rPr>
          <w:rFonts w:hint="eastAsia" w:ascii="Times New Roman" w:hAnsi="Times New Roman" w:eastAsia="宋体" w:cs="Times New Roman"/>
          <w:color w:val="000000"/>
          <w:kern w:val="0"/>
          <w:sz w:val="24"/>
          <w:szCs w:val="24"/>
          <w:highlight w:val="none"/>
          <w:lang w:val="en-US" w:eastAsia="zh-CN" w:bidi="ar"/>
        </w:rPr>
        <w:t>。</w:t>
      </w:r>
    </w:p>
    <w:p w14:paraId="0D614309">
      <w:pPr>
        <w:pStyle w:val="5"/>
        <w:bidi w:val="0"/>
        <w:rPr>
          <w:highlight w:val="none"/>
        </w:rPr>
      </w:pPr>
      <w:bookmarkStart w:id="294" w:name="_Toc13558"/>
      <w:bookmarkStart w:id="295" w:name="_Toc1644"/>
      <w:r>
        <w:rPr>
          <w:highlight w:val="none"/>
        </w:rPr>
        <w:t>4.1.</w:t>
      </w:r>
      <w:bookmarkEnd w:id="283"/>
      <w:r>
        <w:rPr>
          <w:highlight w:val="none"/>
        </w:rPr>
        <w:t>6土壤</w:t>
      </w:r>
      <w:bookmarkEnd w:id="294"/>
      <w:bookmarkEnd w:id="295"/>
    </w:p>
    <w:p w14:paraId="78750691">
      <w:pPr>
        <w:bidi w:val="0"/>
        <w:rPr>
          <w:highlight w:val="none"/>
        </w:rPr>
      </w:pPr>
      <w:r>
        <w:rPr>
          <w:highlight w:val="none"/>
        </w:rPr>
        <w:t>由于受地形、气候、植物等自然因素及人为活动的影响，全市土壤类型较多，共有9个土类、21个亚类、25个土种。</w:t>
      </w:r>
    </w:p>
    <w:p w14:paraId="3ADEB4FA">
      <w:pPr>
        <w:bidi w:val="0"/>
        <w:rPr>
          <w:highlight w:val="none"/>
        </w:rPr>
      </w:pPr>
      <w:r>
        <w:rPr>
          <w:highlight w:val="none"/>
        </w:rPr>
        <w:t>黑土，是郊区及县（市）的主要土壤，也是分布最广、数量最多的土壤类型，集中分布在东北郊、南部和西部，面积为2.14万hm</w:t>
      </w:r>
      <w:r>
        <w:rPr>
          <w:highlight w:val="none"/>
          <w:vertAlign w:val="superscript"/>
        </w:rPr>
        <w:t>2</w:t>
      </w:r>
      <w:r>
        <w:rPr>
          <w:highlight w:val="none"/>
        </w:rPr>
        <w:t>，占总土地面积的47.7%。黑土在全市分为2个亚类（黑土和草甸黑土）、3个土属（粘质黑土、砂质黑土、草甸黑土），共7个土种。黑土土壤养分含量比较丰富，适于各种农作物生长。黑钙土，是全市主要耕作土壤，主要分布在中部平川地和岗平地上，在全市分为3个亚类：黑钙土、淋溶黑钙土、草甸黑钙土，共8个土种。黑钙土养分含量仅次于黑土，适于作物栽培。</w:t>
      </w:r>
    </w:p>
    <w:p w14:paraId="72DF3983">
      <w:pPr>
        <w:bidi w:val="0"/>
        <w:rPr>
          <w:highlight w:val="none"/>
        </w:rPr>
      </w:pPr>
      <w:r>
        <w:rPr>
          <w:highlight w:val="none"/>
        </w:rPr>
        <w:t>草甸土也是全市主要耕作土壤，多数分布在沿江河低洼淋溶地带和松花江台地漫滩地带。草甸土在全市分为6个亚类：草甸土、碱化草甸土、泛滥地草甸土、盐化草甸土、潜育草甸土、</w:t>
      </w:r>
      <w:r>
        <w:rPr>
          <w:highlight w:val="none"/>
        </w:rPr>
        <w:fldChar w:fldCharType="begin"/>
      </w:r>
      <w:r>
        <w:rPr>
          <w:highlight w:val="none"/>
        </w:rPr>
        <w:instrText xml:space="preserve"> HYPERLINK "http://baike.soso.com/v784546.htm?ch=ch.bk.innerlink" \t "_blank" </w:instrText>
      </w:r>
      <w:r>
        <w:rPr>
          <w:highlight w:val="none"/>
        </w:rPr>
        <w:fldChar w:fldCharType="separate"/>
      </w:r>
      <w:r>
        <w:rPr>
          <w:highlight w:val="none"/>
        </w:rPr>
        <w:t>硫酸盐</w:t>
      </w:r>
      <w:r>
        <w:rPr>
          <w:highlight w:val="none"/>
        </w:rPr>
        <w:fldChar w:fldCharType="end"/>
      </w:r>
      <w:r>
        <w:rPr>
          <w:highlight w:val="none"/>
        </w:rPr>
        <w:t>草甸土，共10个土种。草甸土大部分宜耕性较差，宜发展草场和栽植</w:t>
      </w:r>
      <w:r>
        <w:rPr>
          <w:highlight w:val="none"/>
        </w:rPr>
        <w:fldChar w:fldCharType="begin"/>
      </w:r>
      <w:r>
        <w:rPr>
          <w:highlight w:val="none"/>
        </w:rPr>
        <w:instrText xml:space="preserve"> HYPERLINK "http://baike.soso.com/v7685627.htm?ch=ch.bk.innerlink" \t "_blank" </w:instrText>
      </w:r>
      <w:r>
        <w:rPr>
          <w:highlight w:val="none"/>
        </w:rPr>
        <w:fldChar w:fldCharType="separate"/>
      </w:r>
      <w:r>
        <w:rPr>
          <w:highlight w:val="none"/>
        </w:rPr>
        <w:t>薪炭林</w:t>
      </w:r>
      <w:r>
        <w:rPr>
          <w:highlight w:val="none"/>
        </w:rPr>
        <w:fldChar w:fldCharType="end"/>
      </w:r>
      <w:r>
        <w:rPr>
          <w:highlight w:val="none"/>
        </w:rPr>
        <w:t>。</w:t>
      </w:r>
    </w:p>
    <w:p w14:paraId="43DBFF47">
      <w:pPr>
        <w:bidi w:val="0"/>
        <w:rPr>
          <w:highlight w:val="none"/>
        </w:rPr>
      </w:pPr>
      <w:r>
        <w:rPr>
          <w:highlight w:val="none"/>
        </w:rPr>
        <w:t>砂土及</w:t>
      </w:r>
      <w:r>
        <w:rPr>
          <w:highlight w:val="none"/>
        </w:rPr>
        <w:fldChar w:fldCharType="begin"/>
      </w:r>
      <w:r>
        <w:rPr>
          <w:highlight w:val="none"/>
        </w:rPr>
        <w:instrText xml:space="preserve"> HYPERLINK "http://baike.soso.com/v72439.htm?ch=ch.bk.innerlink" \t "_blank" </w:instrText>
      </w:r>
      <w:r>
        <w:rPr>
          <w:highlight w:val="none"/>
        </w:rPr>
        <w:fldChar w:fldCharType="separate"/>
      </w:r>
      <w:r>
        <w:rPr>
          <w:highlight w:val="none"/>
        </w:rPr>
        <w:t>沼泽土</w:t>
      </w:r>
      <w:r>
        <w:rPr>
          <w:highlight w:val="none"/>
        </w:rPr>
        <w:fldChar w:fldCharType="end"/>
      </w:r>
      <w:r>
        <w:rPr>
          <w:highlight w:val="none"/>
        </w:rPr>
        <w:t>，主要分布于江河两岸河滩和低洼地块，适于发展渔业、牧业。</w:t>
      </w:r>
    </w:p>
    <w:p w14:paraId="2E0D6C94">
      <w:pPr>
        <w:bidi w:val="0"/>
        <w:rPr>
          <w:highlight w:val="none"/>
        </w:rPr>
      </w:pPr>
      <w:r>
        <w:rPr>
          <w:highlight w:val="none"/>
        </w:rPr>
        <w:t>哈尔滨市植被以地带性植被红松林、针阔叶混交林、天然次生林、人工林、草原和农田植被为主，其中面积最大的是森林植被，森林覆盖率达42.39%，辖区内野生植物种类丰富，据不完全统计，有植物950余种，以松花江为界，江北植被属于小兴安岭植被。</w:t>
      </w:r>
    </w:p>
    <w:p w14:paraId="3189ADFA">
      <w:pPr>
        <w:pStyle w:val="5"/>
        <w:bidi w:val="0"/>
        <w:rPr>
          <w:highlight w:val="none"/>
        </w:rPr>
      </w:pPr>
      <w:bookmarkStart w:id="296" w:name="_Toc16110"/>
      <w:bookmarkStart w:id="297" w:name="_Toc24048"/>
      <w:r>
        <w:rPr>
          <w:highlight w:val="none"/>
        </w:rPr>
        <w:t>4.1.</w:t>
      </w:r>
      <w:bookmarkStart w:id="298" w:name="_Toc241292979"/>
      <w:r>
        <w:rPr>
          <w:highlight w:val="none"/>
        </w:rPr>
        <w:t>7森林、植被</w:t>
      </w:r>
      <w:bookmarkEnd w:id="296"/>
      <w:bookmarkEnd w:id="297"/>
    </w:p>
    <w:p w14:paraId="5BEDFCE5">
      <w:pPr>
        <w:bidi w:val="0"/>
        <w:rPr>
          <w:rFonts w:eastAsiaTheme="minorEastAsia"/>
          <w:highlight w:val="none"/>
        </w:rPr>
      </w:pPr>
      <w:r>
        <w:rPr>
          <w:highlight w:val="none"/>
        </w:rPr>
        <w:t>哈尔滨市全市植被以地带性植被红松林、针阔叶混交林、天然次生林、人工林、草原和农田植被为主，其中面积最大的是森林植被，森林覆盖率达42.39%，辖区内野生植物种类丰富，据不完全统计，有植物950余种。以松花江为界，江北植被属小兴安岭植被亚区，江南植被属长白山系张广才岭植被亚区。</w:t>
      </w:r>
    </w:p>
    <w:p w14:paraId="7704D1BF">
      <w:pPr>
        <w:pStyle w:val="5"/>
        <w:bidi w:val="0"/>
        <w:rPr>
          <w:highlight w:val="none"/>
        </w:rPr>
      </w:pPr>
      <w:bookmarkStart w:id="299" w:name="_Toc23551"/>
      <w:bookmarkStart w:id="300" w:name="_Toc18377"/>
      <w:r>
        <w:rPr>
          <w:highlight w:val="none"/>
        </w:rPr>
        <w:t>4.1.8</w:t>
      </w:r>
      <w:bookmarkEnd w:id="298"/>
      <w:r>
        <w:rPr>
          <w:highlight w:val="none"/>
        </w:rPr>
        <w:t>生态环境</w:t>
      </w:r>
      <w:bookmarkEnd w:id="299"/>
      <w:bookmarkEnd w:id="300"/>
    </w:p>
    <w:p w14:paraId="53F78F0F">
      <w:pPr>
        <w:bidi w:val="0"/>
        <w:rPr>
          <w:highlight w:val="none"/>
        </w:rPr>
      </w:pPr>
      <w:r>
        <w:rPr>
          <w:highlight w:val="none"/>
        </w:rPr>
        <w:t>由于多年的开发活动，本区自然生态环境已被人工生态环境所取代。哈尔滨区内土地肥沃，植被主要以水稻、玉米、大豆等粮食作物为主，其他农作物主要为蔬菜。此外，道路、河道两旁及房前屋后</w:t>
      </w:r>
      <w:r>
        <w:rPr>
          <w:rFonts w:hint="eastAsia"/>
          <w:highlight w:val="none"/>
          <w:lang w:eastAsia="zh-CN"/>
        </w:rPr>
        <w:t>栽种</w:t>
      </w:r>
      <w:r>
        <w:rPr>
          <w:highlight w:val="none"/>
        </w:rPr>
        <w:t>的各种绿化或经济林木也有效地改善了生态环境质量。本区陆生动物除了人工饲养的牛、猪、鸡、兔、羊之外，还有少量的野生动物，包括鸟、鼠、蛙、昆虫等，无大型野生哺乳动物。</w:t>
      </w:r>
    </w:p>
    <w:p w14:paraId="6A403DB2">
      <w:pPr>
        <w:bidi w:val="0"/>
        <w:rPr>
          <w:highlight w:val="none"/>
        </w:rPr>
      </w:pPr>
      <w:r>
        <w:rPr>
          <w:highlight w:val="none"/>
        </w:rPr>
        <w:t>本项目位于城市建设区范围内，项目区域范围内不涉及</w:t>
      </w:r>
      <w:r>
        <w:rPr>
          <w:rFonts w:hint="eastAsia"/>
          <w:highlight w:val="none"/>
          <w:lang w:eastAsia="zh-CN"/>
        </w:rPr>
        <w:t>珍稀野生</w:t>
      </w:r>
      <w:r>
        <w:rPr>
          <w:highlight w:val="none"/>
        </w:rPr>
        <w:t>保护植物及动物。</w:t>
      </w:r>
    </w:p>
    <w:p w14:paraId="779CF397">
      <w:pPr>
        <w:pStyle w:val="4"/>
        <w:bidi w:val="0"/>
        <w:rPr>
          <w:highlight w:val="none"/>
        </w:rPr>
      </w:pPr>
      <w:bookmarkStart w:id="301" w:name="_Toc8472"/>
      <w:bookmarkStart w:id="302" w:name="_Toc1667"/>
      <w:bookmarkStart w:id="303" w:name="_Toc8"/>
      <w:r>
        <w:rPr>
          <w:highlight w:val="none"/>
        </w:rPr>
        <w:t>4.2环境质量现状调查</w:t>
      </w:r>
      <w:bookmarkEnd w:id="301"/>
      <w:bookmarkEnd w:id="302"/>
      <w:bookmarkEnd w:id="303"/>
    </w:p>
    <w:p w14:paraId="2F87BF4B">
      <w:pPr>
        <w:pStyle w:val="5"/>
        <w:bidi w:val="0"/>
        <w:rPr>
          <w:highlight w:val="none"/>
        </w:rPr>
      </w:pPr>
      <w:bookmarkStart w:id="304" w:name="_Toc21367"/>
      <w:bookmarkStart w:id="305" w:name="_Toc3410"/>
      <w:r>
        <w:rPr>
          <w:highlight w:val="none"/>
        </w:rPr>
        <w:t>4.2.1环境空气质量现状评价</w:t>
      </w:r>
      <w:bookmarkEnd w:id="304"/>
      <w:bookmarkEnd w:id="305"/>
    </w:p>
    <w:p w14:paraId="594E9BC8">
      <w:pPr>
        <w:rPr>
          <w:highlight w:val="none"/>
        </w:rPr>
      </w:pPr>
      <w:r>
        <w:rPr>
          <w:rFonts w:eastAsiaTheme="minorEastAsia"/>
          <w:b/>
          <w:sz w:val="24"/>
          <w:highlight w:val="none"/>
        </w:rPr>
        <w:t>4.2.1.1</w:t>
      </w:r>
      <w:r>
        <w:rPr>
          <w:rFonts w:hAnsiTheme="minorEastAsia" w:eastAsiaTheme="minorEastAsia"/>
          <w:b/>
          <w:sz w:val="24"/>
          <w:highlight w:val="none"/>
        </w:rPr>
        <w:t>区域基本污染物环境质量达标情况</w:t>
      </w:r>
    </w:p>
    <w:p w14:paraId="4FE9054E">
      <w:pPr>
        <w:bidi w:val="0"/>
        <w:rPr>
          <w:rFonts w:hint="default" w:ascii="Times New Roman" w:hAnsi="Times New Roman" w:cs="Times New Roman"/>
          <w:snapToGrid w:val="0"/>
          <w:kern w:val="0"/>
          <w:szCs w:val="21"/>
          <w:highlight w:val="none"/>
        </w:rPr>
      </w:pPr>
      <w:r>
        <w:rPr>
          <w:rFonts w:hint="default"/>
          <w:highlight w:val="none"/>
        </w:rPr>
        <w:t>根据《202</w:t>
      </w:r>
      <w:r>
        <w:rPr>
          <w:rFonts w:hint="eastAsia"/>
          <w:highlight w:val="none"/>
          <w:lang w:val="en-US" w:eastAsia="zh-CN"/>
        </w:rPr>
        <w:t>4</w:t>
      </w:r>
      <w:r>
        <w:rPr>
          <w:rFonts w:hint="default"/>
          <w:highlight w:val="none"/>
        </w:rPr>
        <w:t>年哈尔滨生态环境质量状况年报》，</w:t>
      </w:r>
      <w:r>
        <w:rPr>
          <w:rFonts w:hint="default" w:ascii="Times New Roman" w:hAnsi="Times New Roman" w:cs="Times New Roman"/>
          <w:snapToGrid w:val="0"/>
          <w:kern w:val="0"/>
          <w:szCs w:val="21"/>
          <w:highlight w:val="none"/>
        </w:rPr>
        <w:t>细颗粒物</w:t>
      </w:r>
      <w:r>
        <w:rPr>
          <w:rFonts w:hint="eastAsia" w:ascii="Times New Roman" w:hAnsi="Times New Roman" w:cs="Times New Roman"/>
          <w:snapToGrid w:val="0"/>
          <w:kern w:val="0"/>
          <w:szCs w:val="21"/>
          <w:highlight w:val="none"/>
          <w:lang w:eastAsia="zh-CN"/>
        </w:rPr>
        <w:t>（</w:t>
      </w:r>
      <w:r>
        <w:rPr>
          <w:rFonts w:hint="eastAsia" w:ascii="Times New Roman" w:hAnsi="Times New Roman" w:cs="Times New Roman"/>
          <w:snapToGrid w:val="0"/>
          <w:kern w:val="0"/>
          <w:szCs w:val="21"/>
          <w:highlight w:val="none"/>
          <w:lang w:val="en-US" w:eastAsia="zh-CN"/>
        </w:rPr>
        <w:t>PM</w:t>
      </w:r>
      <w:r>
        <w:rPr>
          <w:rFonts w:hint="eastAsia" w:ascii="Times New Roman" w:hAnsi="Times New Roman" w:cs="Times New Roman"/>
          <w:snapToGrid w:val="0"/>
          <w:kern w:val="0"/>
          <w:szCs w:val="21"/>
          <w:highlight w:val="none"/>
          <w:vertAlign w:val="subscript"/>
          <w:lang w:val="en-US" w:eastAsia="zh-CN"/>
        </w:rPr>
        <w:t>2.5</w:t>
      </w:r>
      <w:r>
        <w:rPr>
          <w:rFonts w:hint="eastAsia" w:ascii="Times New Roman" w:hAnsi="Times New Roman" w:cs="Times New Roman"/>
          <w:snapToGrid w:val="0"/>
          <w:kern w:val="0"/>
          <w:szCs w:val="21"/>
          <w:highlight w:val="none"/>
          <w:lang w:eastAsia="zh-CN"/>
        </w:rPr>
        <w:t>）</w:t>
      </w:r>
      <w:r>
        <w:rPr>
          <w:rFonts w:hint="default" w:ascii="Times New Roman" w:hAnsi="Times New Roman" w:cs="Times New Roman"/>
          <w:snapToGrid w:val="0"/>
          <w:kern w:val="0"/>
          <w:szCs w:val="21"/>
          <w:highlight w:val="none"/>
        </w:rPr>
        <w:t>日均值浓度范围3-425微克/立方米，全年日均值达标322天，日均值达标率88.0%</w:t>
      </w:r>
      <w:r>
        <w:rPr>
          <w:rFonts w:hint="eastAsia" w:ascii="Times New Roman" w:hAnsi="Times New Roman" w:cs="Times New Roman"/>
          <w:snapToGrid w:val="0"/>
          <w:kern w:val="0"/>
          <w:szCs w:val="21"/>
          <w:highlight w:val="none"/>
          <w:lang w:eastAsia="zh-CN"/>
        </w:rPr>
        <w:t>；</w:t>
      </w:r>
      <w:r>
        <w:rPr>
          <w:rFonts w:hint="default" w:ascii="Times New Roman" w:hAnsi="Times New Roman" w:cs="Times New Roman"/>
          <w:snapToGrid w:val="0"/>
          <w:kern w:val="0"/>
          <w:szCs w:val="21"/>
          <w:highlight w:val="none"/>
        </w:rPr>
        <w:t>年均浓度40微克/立方米，超年二级标准0.14倍</w:t>
      </w:r>
      <w:r>
        <w:rPr>
          <w:rFonts w:hint="eastAsia" w:ascii="Times New Roman" w:hAnsi="Times New Roman" w:cs="Times New Roman"/>
          <w:snapToGrid w:val="0"/>
          <w:kern w:val="0"/>
          <w:szCs w:val="21"/>
          <w:highlight w:val="none"/>
          <w:lang w:eastAsia="zh-CN"/>
        </w:rPr>
        <w:t>；</w:t>
      </w:r>
      <w:r>
        <w:rPr>
          <w:rFonts w:hint="default" w:ascii="Times New Roman" w:hAnsi="Times New Roman" w:cs="Times New Roman"/>
          <w:snapToGrid w:val="0"/>
          <w:kern w:val="0"/>
          <w:szCs w:val="21"/>
          <w:highlight w:val="none"/>
        </w:rPr>
        <w:t>日均值第95百分位浓度124微克/立方米，超日二级标准0.65倍，总体评价超标。可吸入颗粒物(PM</w:t>
      </w:r>
      <w:r>
        <w:rPr>
          <w:rFonts w:hint="eastAsia" w:ascii="Times New Roman" w:hAnsi="Times New Roman" w:cs="Times New Roman"/>
          <w:snapToGrid w:val="0"/>
          <w:kern w:val="0"/>
          <w:szCs w:val="21"/>
          <w:highlight w:val="none"/>
          <w:vertAlign w:val="subscript"/>
          <w:lang w:val="en-US" w:eastAsia="zh-CN"/>
        </w:rPr>
        <w:t>10</w:t>
      </w:r>
      <w:r>
        <w:rPr>
          <w:rFonts w:hint="default" w:ascii="Times New Roman" w:hAnsi="Times New Roman" w:cs="Times New Roman"/>
          <w:snapToGrid w:val="0"/>
          <w:kern w:val="0"/>
          <w:szCs w:val="21"/>
          <w:highlight w:val="none"/>
        </w:rPr>
        <w:t>)日均值浓度范围为8-480微克/立方米，全年日均值达标344天，日均值达标率94.0%。</w:t>
      </w:r>
    </w:p>
    <w:p w14:paraId="43C8166B">
      <w:pPr>
        <w:bidi w:val="0"/>
        <w:ind w:left="0" w:leftChars="0" w:firstLine="0" w:firstLineChars="0"/>
        <w:rPr>
          <w:rFonts w:hint="eastAsia" w:eastAsia="宋体"/>
          <w:highlight w:val="none"/>
          <w:lang w:val="en-US" w:eastAsia="zh-CN"/>
        </w:rPr>
      </w:pPr>
      <w:r>
        <w:rPr>
          <w:rFonts w:hint="default" w:ascii="Times New Roman" w:hAnsi="Times New Roman" w:cs="Times New Roman"/>
          <w:snapToGrid w:val="0"/>
          <w:kern w:val="0"/>
          <w:szCs w:val="21"/>
          <w:highlight w:val="none"/>
        </w:rPr>
        <w:t>年均浓度62微克/立方米，达年二级标准，日均值第95百分位浓度151微克/立方米</w:t>
      </w:r>
      <w:r>
        <w:rPr>
          <w:rFonts w:hint="eastAsia" w:ascii="Times New Roman" w:hAnsi="Times New Roman" w:cs="Times New Roman"/>
          <w:snapToGrid w:val="0"/>
          <w:kern w:val="0"/>
          <w:szCs w:val="21"/>
          <w:highlight w:val="none"/>
          <w:lang w:eastAsia="zh-CN"/>
        </w:rPr>
        <w:t>，</w:t>
      </w:r>
      <w:r>
        <w:rPr>
          <w:rFonts w:hint="default" w:ascii="Times New Roman" w:hAnsi="Times New Roman" w:cs="Times New Roman"/>
          <w:snapToGrid w:val="0"/>
          <w:kern w:val="0"/>
          <w:szCs w:val="21"/>
          <w:highlight w:val="none"/>
        </w:rPr>
        <w:t>超日二级标准0.01倍</w:t>
      </w:r>
      <w:r>
        <w:rPr>
          <w:rFonts w:hint="eastAsia" w:ascii="Times New Roman" w:hAnsi="Times New Roman" w:cs="Times New Roman"/>
          <w:snapToGrid w:val="0"/>
          <w:kern w:val="0"/>
          <w:szCs w:val="21"/>
          <w:highlight w:val="none"/>
          <w:lang w:eastAsia="zh-CN"/>
        </w:rPr>
        <w:t>，</w:t>
      </w:r>
      <w:r>
        <w:rPr>
          <w:rFonts w:hint="default" w:ascii="Times New Roman" w:hAnsi="Times New Roman" w:cs="Times New Roman"/>
          <w:snapToGrid w:val="0"/>
          <w:kern w:val="0"/>
          <w:szCs w:val="21"/>
          <w:highlight w:val="none"/>
        </w:rPr>
        <w:t>总体评价超标。二氧化氮(NO</w:t>
      </w:r>
      <w:r>
        <w:rPr>
          <w:rFonts w:hint="eastAsia" w:ascii="Times New Roman" w:hAnsi="Times New Roman" w:cs="Times New Roman"/>
          <w:snapToGrid w:val="0"/>
          <w:kern w:val="0"/>
          <w:szCs w:val="21"/>
          <w:highlight w:val="none"/>
          <w:vertAlign w:val="subscript"/>
          <w:lang w:val="en-US" w:eastAsia="zh-CN"/>
        </w:rPr>
        <w:t>2</w:t>
      </w:r>
      <w:r>
        <w:rPr>
          <w:rFonts w:hint="default" w:ascii="Times New Roman" w:hAnsi="Times New Roman" w:cs="Times New Roman"/>
          <w:snapToGrid w:val="0"/>
          <w:kern w:val="0"/>
          <w:szCs w:val="21"/>
          <w:highlight w:val="none"/>
        </w:rPr>
        <w:t>)日均值浓度范围为9-94微克/立方米，全年日均值达标364天，日均值达标率99.5%。年均浓度29微克/立方米，达年二级标准，日均值第98百分位浓度57微克/立方米，达日二级标准，总体评价达标。二氧化硫(SO</w:t>
      </w:r>
      <w:r>
        <w:rPr>
          <w:rFonts w:hint="default" w:ascii="Times New Roman" w:hAnsi="Times New Roman" w:cs="Times New Roman"/>
          <w:snapToGrid w:val="0"/>
          <w:kern w:val="0"/>
          <w:szCs w:val="21"/>
          <w:highlight w:val="none"/>
          <w:vertAlign w:val="subscript"/>
        </w:rPr>
        <w:t>2</w:t>
      </w:r>
      <w:r>
        <w:rPr>
          <w:rFonts w:hint="default" w:ascii="Times New Roman" w:hAnsi="Times New Roman" w:cs="Times New Roman"/>
          <w:snapToGrid w:val="0"/>
          <w:kern w:val="0"/>
          <w:szCs w:val="21"/>
          <w:highlight w:val="none"/>
        </w:rPr>
        <w:t>)日均值浓度范围为5-25微克/立方米，全年日均值达标365天，日均值达标率100%。年均浓度10微克/立方米，达年二级标准，日均值第98百分位浓度21微克/立方米，达日二级标准，总体评价达标。一氧化碳(CO)日均值浓度范围为0.3-2.0毫克/立方米，全年日均值达标365天，日均值达标率100%。日均值第95百分位浓度1.1毫克/立方米，达年二级标准，总体评价达标。臭氧(O</w:t>
      </w:r>
      <w:r>
        <w:rPr>
          <w:rFonts w:hint="default" w:ascii="Times New Roman" w:hAnsi="Times New Roman" w:cs="Times New Roman"/>
          <w:snapToGrid w:val="0"/>
          <w:kern w:val="0"/>
          <w:szCs w:val="21"/>
          <w:highlight w:val="none"/>
          <w:vertAlign w:val="subscript"/>
        </w:rPr>
        <w:t>3</w:t>
      </w:r>
      <w:r>
        <w:rPr>
          <w:rFonts w:hint="default" w:ascii="Times New Roman" w:hAnsi="Times New Roman" w:cs="Times New Roman"/>
          <w:snapToGrid w:val="0"/>
          <w:kern w:val="0"/>
          <w:szCs w:val="21"/>
          <w:highlight w:val="none"/>
        </w:rPr>
        <w:t>)臭氧的日最大8小时平均值浓度范围为24-198微克/立方米，全年日均值达标357天，日均值达标率97.5%。臭氧日最大8小时平均第90百分位浓度118微克/立方米，</w:t>
      </w:r>
      <w:r>
        <w:rPr>
          <w:rFonts w:hint="eastAsia" w:cs="Times New Roman"/>
          <w:snapToGrid w:val="0"/>
          <w:kern w:val="0"/>
          <w:szCs w:val="21"/>
          <w:highlight w:val="none"/>
          <w:lang w:eastAsia="zh-CN"/>
        </w:rPr>
        <w:t>除可吸入颗粒物及细颗粒物外，均</w:t>
      </w:r>
      <w:r>
        <w:rPr>
          <w:rFonts w:hint="default" w:ascii="Times New Roman" w:hAnsi="Times New Roman" w:cs="Times New Roman"/>
          <w:snapToGrid w:val="0"/>
          <w:kern w:val="0"/>
          <w:szCs w:val="21"/>
          <w:highlight w:val="none"/>
        </w:rPr>
        <w:t>满足《环境空气质里标准》(GB3095-2026)表1中过渡阶段二级标准，总体评价达标。</w:t>
      </w:r>
      <w:r>
        <w:rPr>
          <w:rFonts w:hint="eastAsia" w:cs="Times New Roman"/>
          <w:snapToGrid w:val="0"/>
          <w:kern w:val="0"/>
          <w:szCs w:val="21"/>
          <w:highlight w:val="none"/>
          <w:lang w:val="en-US" w:eastAsia="zh-CN"/>
        </w:rPr>
        <w:t>综上所述，</w:t>
      </w:r>
      <w:r>
        <w:rPr>
          <w:rFonts w:hAnsiTheme="minorEastAsia" w:eastAsiaTheme="minorEastAsia"/>
          <w:sz w:val="24"/>
          <w:highlight w:val="none"/>
        </w:rPr>
        <w:t>本项目所在区域为不达标区。</w:t>
      </w:r>
    </w:p>
    <w:p w14:paraId="455E9D63">
      <w:pPr>
        <w:pStyle w:val="7"/>
        <w:bidi w:val="0"/>
        <w:rPr>
          <w:rFonts w:hint="default"/>
          <w:highlight w:val="none"/>
        </w:rPr>
      </w:pPr>
      <w:r>
        <w:rPr>
          <w:rFonts w:hint="default"/>
          <w:highlight w:val="none"/>
        </w:rPr>
        <w:t>表4-2-</w:t>
      </w:r>
      <w:r>
        <w:rPr>
          <w:rFonts w:hint="eastAsia"/>
          <w:highlight w:val="none"/>
          <w:lang w:val="en-US" w:eastAsia="zh-CN"/>
        </w:rPr>
        <w:t>1</w:t>
      </w:r>
      <w:r>
        <w:rPr>
          <w:highlight w:val="none"/>
        </w:rPr>
        <w:t>区域空气质量现状评价表</w:t>
      </w:r>
    </w:p>
    <w:tbl>
      <w:tblPr>
        <w:tblStyle w:val="741"/>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17"/>
        <w:gridCol w:w="946"/>
        <w:gridCol w:w="963"/>
        <w:gridCol w:w="997"/>
        <w:gridCol w:w="793"/>
        <w:gridCol w:w="1149"/>
        <w:gridCol w:w="1341"/>
      </w:tblGrid>
      <w:tr w14:paraId="5EE3CF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52" w:type="dxa"/>
            <w:tcBorders>
              <w:tl2br w:val="nil"/>
              <w:tr2bl w:val="nil"/>
            </w:tcBorders>
            <w:shd w:val="clear" w:color="auto" w:fill="auto"/>
            <w:vAlign w:val="center"/>
          </w:tcPr>
          <w:p w14:paraId="13C7A31F">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bookmarkStart w:id="306" w:name="_Toc20382"/>
            <w:r>
              <w:rPr>
                <w:rFonts w:hint="default" w:ascii="Times New Roman" w:hAnsi="Times New Roman" w:cs="Times New Roman" w:eastAsiaTheme="minorEastAsia"/>
                <w:b/>
                <w:bCs/>
                <w:snapToGrid w:val="0"/>
                <w:color w:val="000000"/>
                <w:spacing w:val="-4"/>
                <w:sz w:val="21"/>
                <w:szCs w:val="21"/>
                <w:highlight w:val="none"/>
              </w:rPr>
              <w:t>指标</w:t>
            </w:r>
          </w:p>
        </w:tc>
        <w:tc>
          <w:tcPr>
            <w:tcW w:w="559" w:type="dxa"/>
            <w:tcBorders>
              <w:tl2br w:val="nil"/>
              <w:tr2bl w:val="nil"/>
            </w:tcBorders>
            <w:shd w:val="clear" w:color="auto" w:fill="auto"/>
            <w:vAlign w:val="center"/>
          </w:tcPr>
          <w:p w14:paraId="2F632485">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1"/>
                <w:sz w:val="21"/>
                <w:szCs w:val="21"/>
                <w:highlight w:val="none"/>
              </w:rPr>
              <w:t>PM</w:t>
            </w:r>
            <w:r>
              <w:rPr>
                <w:rFonts w:hint="default" w:ascii="Times New Roman" w:hAnsi="Times New Roman" w:cs="Times New Roman" w:eastAsiaTheme="minorEastAsia"/>
                <w:snapToGrid w:val="0"/>
                <w:color w:val="000000"/>
                <w:spacing w:val="-1"/>
                <w:sz w:val="21"/>
                <w:szCs w:val="21"/>
                <w:highlight w:val="none"/>
                <w:vertAlign w:val="subscript"/>
              </w:rPr>
              <w:t>2</w:t>
            </w:r>
            <w:r>
              <w:rPr>
                <w:rFonts w:hint="eastAsia" w:ascii="Times New Roman" w:hAnsi="Times New Roman" w:cs="Times New Roman" w:eastAsiaTheme="minorEastAsia"/>
                <w:snapToGrid w:val="0"/>
                <w:color w:val="000000"/>
                <w:spacing w:val="-1"/>
                <w:sz w:val="21"/>
                <w:szCs w:val="21"/>
                <w:highlight w:val="none"/>
                <w:vertAlign w:val="subscript"/>
                <w:lang w:val="en-US" w:eastAsia="zh-CN"/>
              </w:rPr>
              <w:t>.</w:t>
            </w:r>
            <w:r>
              <w:rPr>
                <w:rFonts w:hint="default" w:ascii="Times New Roman" w:hAnsi="Times New Roman" w:cs="Times New Roman" w:eastAsiaTheme="minorEastAsia"/>
                <w:snapToGrid w:val="0"/>
                <w:color w:val="000000"/>
                <w:spacing w:val="-1"/>
                <w:sz w:val="21"/>
                <w:szCs w:val="21"/>
                <w:highlight w:val="none"/>
                <w:vertAlign w:val="subscript"/>
              </w:rPr>
              <w:t>5</w:t>
            </w:r>
          </w:p>
        </w:tc>
        <w:tc>
          <w:tcPr>
            <w:tcW w:w="569" w:type="dxa"/>
            <w:tcBorders>
              <w:tl2br w:val="nil"/>
              <w:tr2bl w:val="nil"/>
            </w:tcBorders>
            <w:shd w:val="clear" w:color="auto" w:fill="auto"/>
            <w:vAlign w:val="center"/>
          </w:tcPr>
          <w:p w14:paraId="2FA9CAB5">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1"/>
                <w:sz w:val="21"/>
                <w:szCs w:val="21"/>
                <w:highlight w:val="none"/>
              </w:rPr>
              <w:t>PM</w:t>
            </w:r>
            <w:r>
              <w:rPr>
                <w:rFonts w:hint="default" w:ascii="Times New Roman" w:hAnsi="Times New Roman" w:cs="Times New Roman" w:eastAsiaTheme="minorEastAsia"/>
                <w:snapToGrid w:val="0"/>
                <w:color w:val="000000"/>
                <w:spacing w:val="-1"/>
                <w:sz w:val="21"/>
                <w:szCs w:val="21"/>
                <w:highlight w:val="none"/>
                <w:vertAlign w:val="subscript"/>
              </w:rPr>
              <w:t>10</w:t>
            </w:r>
          </w:p>
        </w:tc>
        <w:tc>
          <w:tcPr>
            <w:tcW w:w="589" w:type="dxa"/>
            <w:tcBorders>
              <w:tl2br w:val="nil"/>
              <w:tr2bl w:val="nil"/>
            </w:tcBorders>
            <w:shd w:val="clear" w:color="auto" w:fill="auto"/>
            <w:vAlign w:val="center"/>
          </w:tcPr>
          <w:p w14:paraId="416E934B">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1"/>
                <w:sz w:val="21"/>
                <w:szCs w:val="21"/>
                <w:highlight w:val="none"/>
              </w:rPr>
              <w:t>NO₂</w:t>
            </w:r>
          </w:p>
        </w:tc>
        <w:tc>
          <w:tcPr>
            <w:tcW w:w="469" w:type="dxa"/>
            <w:tcBorders>
              <w:tl2br w:val="nil"/>
              <w:tr2bl w:val="nil"/>
            </w:tcBorders>
            <w:shd w:val="clear" w:color="auto" w:fill="auto"/>
            <w:vAlign w:val="center"/>
          </w:tcPr>
          <w:p w14:paraId="121E85B6">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SO₂</w:t>
            </w:r>
          </w:p>
        </w:tc>
        <w:tc>
          <w:tcPr>
            <w:tcW w:w="679" w:type="dxa"/>
            <w:tcBorders>
              <w:tl2br w:val="nil"/>
              <w:tr2bl w:val="nil"/>
            </w:tcBorders>
            <w:shd w:val="clear" w:color="auto" w:fill="auto"/>
            <w:vAlign w:val="center"/>
          </w:tcPr>
          <w:p w14:paraId="25E45F3A">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1"/>
                <w:sz w:val="21"/>
                <w:szCs w:val="21"/>
                <w:highlight w:val="none"/>
              </w:rPr>
              <w:t>CO(per95)</w:t>
            </w:r>
          </w:p>
          <w:p w14:paraId="62020D7F">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(mg/m³)</w:t>
            </w:r>
          </w:p>
        </w:tc>
        <w:tc>
          <w:tcPr>
            <w:tcW w:w="793" w:type="dxa"/>
            <w:tcBorders>
              <w:tl2br w:val="nil"/>
              <w:tr2bl w:val="nil"/>
            </w:tcBorders>
            <w:shd w:val="clear" w:color="auto" w:fill="auto"/>
            <w:vAlign w:val="center"/>
          </w:tcPr>
          <w:p w14:paraId="7987CF57">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O₃ (per90)</w:t>
            </w:r>
          </w:p>
        </w:tc>
      </w:tr>
      <w:tr w14:paraId="6A0D34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52" w:type="dxa"/>
            <w:tcBorders>
              <w:tl2br w:val="nil"/>
              <w:tr2bl w:val="nil"/>
            </w:tcBorders>
            <w:vAlign w:val="center"/>
          </w:tcPr>
          <w:p w14:paraId="246BF6FD">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3"/>
                <w:sz w:val="21"/>
                <w:szCs w:val="21"/>
                <w:highlight w:val="none"/>
              </w:rPr>
              <w:t>国家二级标准(日)</w:t>
            </w:r>
          </w:p>
        </w:tc>
        <w:tc>
          <w:tcPr>
            <w:tcW w:w="559" w:type="dxa"/>
            <w:tcBorders>
              <w:tl2br w:val="nil"/>
              <w:tr2bl w:val="nil"/>
            </w:tcBorders>
            <w:vAlign w:val="center"/>
          </w:tcPr>
          <w:p w14:paraId="5F0B2ABE">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3"/>
                <w:sz w:val="21"/>
                <w:szCs w:val="21"/>
                <w:highlight w:val="none"/>
              </w:rPr>
              <w:t>75</w:t>
            </w:r>
          </w:p>
        </w:tc>
        <w:tc>
          <w:tcPr>
            <w:tcW w:w="569" w:type="dxa"/>
            <w:tcBorders>
              <w:tl2br w:val="nil"/>
              <w:tr2bl w:val="nil"/>
            </w:tcBorders>
            <w:vAlign w:val="center"/>
          </w:tcPr>
          <w:p w14:paraId="019B1AAE">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150</w:t>
            </w:r>
          </w:p>
        </w:tc>
        <w:tc>
          <w:tcPr>
            <w:tcW w:w="589" w:type="dxa"/>
            <w:tcBorders>
              <w:tl2br w:val="nil"/>
              <w:tr2bl w:val="nil"/>
            </w:tcBorders>
            <w:vAlign w:val="center"/>
          </w:tcPr>
          <w:p w14:paraId="4493177D">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80</w:t>
            </w:r>
          </w:p>
        </w:tc>
        <w:tc>
          <w:tcPr>
            <w:tcW w:w="469" w:type="dxa"/>
            <w:tcBorders>
              <w:tl2br w:val="nil"/>
              <w:tr2bl w:val="nil"/>
            </w:tcBorders>
            <w:vAlign w:val="center"/>
          </w:tcPr>
          <w:p w14:paraId="4938560A">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150</w:t>
            </w:r>
          </w:p>
        </w:tc>
        <w:tc>
          <w:tcPr>
            <w:tcW w:w="679" w:type="dxa"/>
            <w:tcBorders>
              <w:tl2br w:val="nil"/>
              <w:tr2bl w:val="nil"/>
            </w:tcBorders>
            <w:vAlign w:val="center"/>
          </w:tcPr>
          <w:p w14:paraId="5133AD77">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z w:val="21"/>
                <w:szCs w:val="21"/>
                <w:highlight w:val="none"/>
              </w:rPr>
              <w:t>4</w:t>
            </w:r>
          </w:p>
        </w:tc>
        <w:tc>
          <w:tcPr>
            <w:tcW w:w="793" w:type="dxa"/>
            <w:tcBorders>
              <w:tl2br w:val="nil"/>
              <w:tr2bl w:val="nil"/>
            </w:tcBorders>
            <w:vAlign w:val="center"/>
          </w:tcPr>
          <w:p w14:paraId="6ACB25A1">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160</w:t>
            </w:r>
          </w:p>
        </w:tc>
      </w:tr>
      <w:tr w14:paraId="688488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52" w:type="dxa"/>
            <w:tcBorders>
              <w:tl2br w:val="nil"/>
              <w:tr2bl w:val="nil"/>
            </w:tcBorders>
            <w:vAlign w:val="center"/>
          </w:tcPr>
          <w:p w14:paraId="53FD6568">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3"/>
                <w:sz w:val="21"/>
                <w:szCs w:val="21"/>
                <w:highlight w:val="none"/>
              </w:rPr>
              <w:t>国家二级标准(年)</w:t>
            </w:r>
          </w:p>
        </w:tc>
        <w:tc>
          <w:tcPr>
            <w:tcW w:w="559" w:type="dxa"/>
            <w:tcBorders>
              <w:tl2br w:val="nil"/>
              <w:tr2bl w:val="nil"/>
            </w:tcBorders>
            <w:vAlign w:val="center"/>
          </w:tcPr>
          <w:p w14:paraId="5E14950E">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35</w:t>
            </w:r>
          </w:p>
        </w:tc>
        <w:tc>
          <w:tcPr>
            <w:tcW w:w="569" w:type="dxa"/>
            <w:tcBorders>
              <w:tl2br w:val="nil"/>
              <w:tr2bl w:val="nil"/>
            </w:tcBorders>
            <w:vAlign w:val="center"/>
          </w:tcPr>
          <w:p w14:paraId="757EE688">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3"/>
                <w:sz w:val="21"/>
                <w:szCs w:val="21"/>
                <w:highlight w:val="none"/>
              </w:rPr>
              <w:t>70</w:t>
            </w:r>
          </w:p>
        </w:tc>
        <w:tc>
          <w:tcPr>
            <w:tcW w:w="589" w:type="dxa"/>
            <w:tcBorders>
              <w:tl2br w:val="nil"/>
              <w:tr2bl w:val="nil"/>
            </w:tcBorders>
            <w:vAlign w:val="center"/>
          </w:tcPr>
          <w:p w14:paraId="5DBC13CB">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40</w:t>
            </w:r>
          </w:p>
        </w:tc>
        <w:tc>
          <w:tcPr>
            <w:tcW w:w="469" w:type="dxa"/>
            <w:tcBorders>
              <w:tl2br w:val="nil"/>
              <w:tr2bl w:val="nil"/>
            </w:tcBorders>
            <w:vAlign w:val="center"/>
          </w:tcPr>
          <w:p w14:paraId="4EDB9735">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60</w:t>
            </w:r>
          </w:p>
        </w:tc>
        <w:tc>
          <w:tcPr>
            <w:tcW w:w="679" w:type="dxa"/>
            <w:tcBorders>
              <w:tl2br w:val="nil"/>
              <w:tr2bl w:val="nil"/>
            </w:tcBorders>
            <w:vAlign w:val="center"/>
          </w:tcPr>
          <w:p w14:paraId="38AD10A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lang w:val="en-US" w:eastAsia="zh-CN"/>
              </w:rPr>
            </w:pPr>
            <w:r>
              <w:rPr>
                <w:rFonts w:hint="eastAsia" w:ascii="Times New Roman" w:hAnsi="Times New Roman" w:cs="Times New Roman" w:eastAsiaTheme="minorEastAsia"/>
                <w:snapToGrid w:val="0"/>
                <w:color w:val="000000"/>
                <w:sz w:val="21"/>
                <w:szCs w:val="21"/>
                <w:highlight w:val="none"/>
                <w:lang w:val="en-US" w:eastAsia="zh-CN"/>
              </w:rPr>
              <w:t>-</w:t>
            </w:r>
          </w:p>
        </w:tc>
        <w:tc>
          <w:tcPr>
            <w:tcW w:w="793" w:type="dxa"/>
            <w:tcBorders>
              <w:tl2br w:val="nil"/>
              <w:tr2bl w:val="nil"/>
            </w:tcBorders>
            <w:vAlign w:val="center"/>
          </w:tcPr>
          <w:p w14:paraId="79436A8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snapToGrid w:val="0"/>
                <w:color w:val="000000"/>
                <w:sz w:val="21"/>
                <w:szCs w:val="21"/>
                <w:highlight w:val="none"/>
                <w:lang w:val="en-US" w:eastAsia="zh-CN"/>
              </w:rPr>
            </w:pPr>
            <w:r>
              <w:rPr>
                <w:rFonts w:hint="eastAsia" w:ascii="Times New Roman" w:hAnsi="Times New Roman" w:cs="Times New Roman" w:eastAsiaTheme="minorEastAsia"/>
                <w:snapToGrid w:val="0"/>
                <w:color w:val="000000"/>
                <w:sz w:val="21"/>
                <w:szCs w:val="21"/>
                <w:highlight w:val="none"/>
                <w:lang w:val="en-US" w:eastAsia="zh-CN"/>
              </w:rPr>
              <w:t>-</w:t>
            </w:r>
          </w:p>
        </w:tc>
      </w:tr>
      <w:tr w14:paraId="11DE29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52" w:type="dxa"/>
            <w:tcBorders>
              <w:tl2br w:val="nil"/>
              <w:tr2bl w:val="nil"/>
            </w:tcBorders>
            <w:vAlign w:val="center"/>
          </w:tcPr>
          <w:p w14:paraId="7E557C32">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日均值范围</w:t>
            </w:r>
          </w:p>
        </w:tc>
        <w:tc>
          <w:tcPr>
            <w:tcW w:w="559" w:type="dxa"/>
            <w:tcBorders>
              <w:tl2br w:val="nil"/>
              <w:tr2bl w:val="nil"/>
            </w:tcBorders>
            <w:vAlign w:val="center"/>
          </w:tcPr>
          <w:p w14:paraId="6602A599">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3~425</w:t>
            </w:r>
          </w:p>
        </w:tc>
        <w:tc>
          <w:tcPr>
            <w:tcW w:w="569" w:type="dxa"/>
            <w:tcBorders>
              <w:tl2br w:val="nil"/>
              <w:tr2bl w:val="nil"/>
            </w:tcBorders>
            <w:vAlign w:val="center"/>
          </w:tcPr>
          <w:p w14:paraId="3E1A78AA">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1"/>
                <w:sz w:val="21"/>
                <w:szCs w:val="21"/>
                <w:highlight w:val="none"/>
              </w:rPr>
              <w:t>8~480</w:t>
            </w:r>
          </w:p>
        </w:tc>
        <w:tc>
          <w:tcPr>
            <w:tcW w:w="589" w:type="dxa"/>
            <w:tcBorders>
              <w:tl2br w:val="nil"/>
              <w:tr2bl w:val="nil"/>
            </w:tcBorders>
            <w:vAlign w:val="center"/>
          </w:tcPr>
          <w:p w14:paraId="73B9F6A2">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9~94</w:t>
            </w:r>
          </w:p>
        </w:tc>
        <w:tc>
          <w:tcPr>
            <w:tcW w:w="469" w:type="dxa"/>
            <w:tcBorders>
              <w:tl2br w:val="nil"/>
              <w:tr2bl w:val="nil"/>
            </w:tcBorders>
            <w:vAlign w:val="center"/>
          </w:tcPr>
          <w:p w14:paraId="5F72EED1">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5~25</w:t>
            </w:r>
          </w:p>
        </w:tc>
        <w:tc>
          <w:tcPr>
            <w:tcW w:w="679" w:type="dxa"/>
            <w:tcBorders>
              <w:tl2br w:val="nil"/>
              <w:tr2bl w:val="nil"/>
            </w:tcBorders>
            <w:vAlign w:val="center"/>
          </w:tcPr>
          <w:p w14:paraId="1F32B8FA">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1"/>
                <w:sz w:val="21"/>
                <w:szCs w:val="21"/>
                <w:highlight w:val="none"/>
              </w:rPr>
              <w:t>0.3~2.0</w:t>
            </w:r>
          </w:p>
        </w:tc>
        <w:tc>
          <w:tcPr>
            <w:tcW w:w="793" w:type="dxa"/>
            <w:tcBorders>
              <w:tl2br w:val="nil"/>
              <w:tr2bl w:val="nil"/>
            </w:tcBorders>
            <w:vAlign w:val="center"/>
          </w:tcPr>
          <w:p w14:paraId="6C5D02F0">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1"/>
                <w:sz w:val="21"/>
                <w:szCs w:val="21"/>
                <w:highlight w:val="none"/>
              </w:rPr>
              <w:t>24~198</w:t>
            </w:r>
          </w:p>
        </w:tc>
      </w:tr>
      <w:tr w14:paraId="4CA69F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52" w:type="dxa"/>
            <w:tcBorders>
              <w:tl2br w:val="nil"/>
              <w:tr2bl w:val="nil"/>
            </w:tcBorders>
            <w:vAlign w:val="center"/>
          </w:tcPr>
          <w:p w14:paraId="10D93F3F">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3"/>
                <w:sz w:val="21"/>
                <w:szCs w:val="21"/>
                <w:highlight w:val="none"/>
              </w:rPr>
              <w:t>日均值达标率(%)</w:t>
            </w:r>
          </w:p>
        </w:tc>
        <w:tc>
          <w:tcPr>
            <w:tcW w:w="559" w:type="dxa"/>
            <w:tcBorders>
              <w:tl2br w:val="nil"/>
              <w:tr2bl w:val="nil"/>
            </w:tcBorders>
            <w:vAlign w:val="center"/>
          </w:tcPr>
          <w:p w14:paraId="7B6D56E9">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88.0</w:t>
            </w:r>
          </w:p>
        </w:tc>
        <w:tc>
          <w:tcPr>
            <w:tcW w:w="569" w:type="dxa"/>
            <w:tcBorders>
              <w:tl2br w:val="nil"/>
              <w:tr2bl w:val="nil"/>
            </w:tcBorders>
            <w:vAlign w:val="center"/>
          </w:tcPr>
          <w:p w14:paraId="33596900">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94.0</w:t>
            </w:r>
          </w:p>
        </w:tc>
        <w:tc>
          <w:tcPr>
            <w:tcW w:w="589" w:type="dxa"/>
            <w:tcBorders>
              <w:tl2br w:val="nil"/>
              <w:tr2bl w:val="nil"/>
            </w:tcBorders>
            <w:vAlign w:val="center"/>
          </w:tcPr>
          <w:p w14:paraId="261C14A4">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99.5</w:t>
            </w:r>
          </w:p>
        </w:tc>
        <w:tc>
          <w:tcPr>
            <w:tcW w:w="469" w:type="dxa"/>
            <w:tcBorders>
              <w:tl2br w:val="nil"/>
              <w:tr2bl w:val="nil"/>
            </w:tcBorders>
            <w:vAlign w:val="center"/>
          </w:tcPr>
          <w:p w14:paraId="00959084">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100</w:t>
            </w:r>
          </w:p>
        </w:tc>
        <w:tc>
          <w:tcPr>
            <w:tcW w:w="679" w:type="dxa"/>
            <w:tcBorders>
              <w:tl2br w:val="nil"/>
              <w:tr2bl w:val="nil"/>
            </w:tcBorders>
            <w:vAlign w:val="center"/>
          </w:tcPr>
          <w:p w14:paraId="6371B1DA">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100</w:t>
            </w:r>
          </w:p>
        </w:tc>
        <w:tc>
          <w:tcPr>
            <w:tcW w:w="793" w:type="dxa"/>
            <w:tcBorders>
              <w:tl2br w:val="nil"/>
              <w:tr2bl w:val="nil"/>
            </w:tcBorders>
            <w:vAlign w:val="center"/>
          </w:tcPr>
          <w:p w14:paraId="369DC617">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97.5</w:t>
            </w:r>
          </w:p>
        </w:tc>
      </w:tr>
      <w:tr w14:paraId="7A5F26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52" w:type="dxa"/>
            <w:tcBorders>
              <w:tl2br w:val="nil"/>
              <w:tr2bl w:val="nil"/>
            </w:tcBorders>
            <w:vAlign w:val="center"/>
          </w:tcPr>
          <w:p w14:paraId="0E0EF971">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年均值</w:t>
            </w:r>
          </w:p>
        </w:tc>
        <w:tc>
          <w:tcPr>
            <w:tcW w:w="559" w:type="dxa"/>
            <w:tcBorders>
              <w:tl2br w:val="nil"/>
              <w:tr2bl w:val="nil"/>
            </w:tcBorders>
            <w:vAlign w:val="center"/>
          </w:tcPr>
          <w:p w14:paraId="3C88F843">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40</w:t>
            </w:r>
          </w:p>
        </w:tc>
        <w:tc>
          <w:tcPr>
            <w:tcW w:w="569" w:type="dxa"/>
            <w:tcBorders>
              <w:tl2br w:val="nil"/>
              <w:tr2bl w:val="nil"/>
            </w:tcBorders>
            <w:vAlign w:val="center"/>
          </w:tcPr>
          <w:p w14:paraId="7B21CBC8">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62</w:t>
            </w:r>
          </w:p>
        </w:tc>
        <w:tc>
          <w:tcPr>
            <w:tcW w:w="589" w:type="dxa"/>
            <w:tcBorders>
              <w:tl2br w:val="nil"/>
              <w:tr2bl w:val="nil"/>
            </w:tcBorders>
            <w:vAlign w:val="center"/>
          </w:tcPr>
          <w:p w14:paraId="356E853C">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29</w:t>
            </w:r>
          </w:p>
        </w:tc>
        <w:tc>
          <w:tcPr>
            <w:tcW w:w="469" w:type="dxa"/>
            <w:tcBorders>
              <w:tl2br w:val="nil"/>
              <w:tr2bl w:val="nil"/>
            </w:tcBorders>
            <w:vAlign w:val="center"/>
          </w:tcPr>
          <w:p w14:paraId="1E42F69B">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10</w:t>
            </w:r>
          </w:p>
        </w:tc>
        <w:tc>
          <w:tcPr>
            <w:tcW w:w="679" w:type="dxa"/>
            <w:tcBorders>
              <w:tl2br w:val="nil"/>
              <w:tr2bl w:val="nil"/>
            </w:tcBorders>
            <w:vAlign w:val="center"/>
          </w:tcPr>
          <w:p w14:paraId="51CD173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snapToGrid w:val="0"/>
                <w:color w:val="000000"/>
                <w:sz w:val="21"/>
                <w:szCs w:val="21"/>
                <w:highlight w:val="none"/>
                <w:lang w:val="en-US" w:eastAsia="zh-CN"/>
              </w:rPr>
            </w:pPr>
            <w:r>
              <w:rPr>
                <w:rFonts w:hint="eastAsia" w:ascii="Times New Roman" w:hAnsi="Times New Roman" w:cs="Times New Roman" w:eastAsiaTheme="minorEastAsia"/>
                <w:snapToGrid w:val="0"/>
                <w:color w:val="000000"/>
                <w:sz w:val="21"/>
                <w:szCs w:val="21"/>
                <w:highlight w:val="none"/>
                <w:lang w:val="en-US" w:eastAsia="zh-CN"/>
              </w:rPr>
              <w:t>-</w:t>
            </w:r>
          </w:p>
        </w:tc>
        <w:tc>
          <w:tcPr>
            <w:tcW w:w="793" w:type="dxa"/>
            <w:tcBorders>
              <w:tl2br w:val="nil"/>
              <w:tr2bl w:val="nil"/>
            </w:tcBorders>
            <w:vAlign w:val="center"/>
          </w:tcPr>
          <w:p w14:paraId="6292D82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snapToGrid w:val="0"/>
                <w:color w:val="000000"/>
                <w:sz w:val="21"/>
                <w:szCs w:val="21"/>
                <w:highlight w:val="none"/>
                <w:lang w:val="en-US" w:eastAsia="zh-CN"/>
              </w:rPr>
            </w:pPr>
            <w:r>
              <w:rPr>
                <w:rFonts w:hint="eastAsia" w:ascii="Times New Roman" w:hAnsi="Times New Roman" w:cs="Times New Roman" w:eastAsiaTheme="minorEastAsia"/>
                <w:snapToGrid w:val="0"/>
                <w:color w:val="000000"/>
                <w:sz w:val="21"/>
                <w:szCs w:val="21"/>
                <w:highlight w:val="none"/>
                <w:lang w:val="en-US" w:eastAsia="zh-CN"/>
              </w:rPr>
              <w:t>-</w:t>
            </w:r>
          </w:p>
        </w:tc>
      </w:tr>
      <w:tr w14:paraId="49C04E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52" w:type="dxa"/>
            <w:tcBorders>
              <w:tl2br w:val="nil"/>
              <w:tr2bl w:val="nil"/>
            </w:tcBorders>
            <w:vAlign w:val="center"/>
          </w:tcPr>
          <w:p w14:paraId="03670284">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z w:val="21"/>
                <w:szCs w:val="21"/>
                <w:highlight w:val="none"/>
              </w:rPr>
              <w:t>日均值第X百分位数</w:t>
            </w:r>
          </w:p>
        </w:tc>
        <w:tc>
          <w:tcPr>
            <w:tcW w:w="559" w:type="dxa"/>
            <w:tcBorders>
              <w:tl2br w:val="nil"/>
              <w:tr2bl w:val="nil"/>
            </w:tcBorders>
            <w:vAlign w:val="center"/>
          </w:tcPr>
          <w:p w14:paraId="1AF453A7">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124</w:t>
            </w:r>
          </w:p>
        </w:tc>
        <w:tc>
          <w:tcPr>
            <w:tcW w:w="569" w:type="dxa"/>
            <w:tcBorders>
              <w:tl2br w:val="nil"/>
              <w:tr2bl w:val="nil"/>
            </w:tcBorders>
            <w:vAlign w:val="center"/>
          </w:tcPr>
          <w:p w14:paraId="548E367E">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151</w:t>
            </w:r>
          </w:p>
        </w:tc>
        <w:tc>
          <w:tcPr>
            <w:tcW w:w="589" w:type="dxa"/>
            <w:tcBorders>
              <w:tl2br w:val="nil"/>
              <w:tr2bl w:val="nil"/>
            </w:tcBorders>
            <w:vAlign w:val="center"/>
          </w:tcPr>
          <w:p w14:paraId="2E644F55">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57</w:t>
            </w:r>
          </w:p>
        </w:tc>
        <w:tc>
          <w:tcPr>
            <w:tcW w:w="469" w:type="dxa"/>
            <w:tcBorders>
              <w:tl2br w:val="nil"/>
              <w:tr2bl w:val="nil"/>
            </w:tcBorders>
            <w:vAlign w:val="center"/>
          </w:tcPr>
          <w:p w14:paraId="2E3651D9">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21</w:t>
            </w:r>
          </w:p>
        </w:tc>
        <w:tc>
          <w:tcPr>
            <w:tcW w:w="679" w:type="dxa"/>
            <w:tcBorders>
              <w:tl2br w:val="nil"/>
              <w:tr2bl w:val="nil"/>
            </w:tcBorders>
            <w:vAlign w:val="center"/>
          </w:tcPr>
          <w:p w14:paraId="06D6E4A5">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1.1</w:t>
            </w:r>
          </w:p>
        </w:tc>
        <w:tc>
          <w:tcPr>
            <w:tcW w:w="793" w:type="dxa"/>
            <w:tcBorders>
              <w:tl2br w:val="nil"/>
              <w:tr2bl w:val="nil"/>
            </w:tcBorders>
            <w:vAlign w:val="center"/>
          </w:tcPr>
          <w:p w14:paraId="0DD1AD70">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4"/>
                <w:sz w:val="21"/>
                <w:szCs w:val="21"/>
                <w:highlight w:val="none"/>
              </w:rPr>
              <w:t>118</w:t>
            </w:r>
          </w:p>
        </w:tc>
      </w:tr>
      <w:tr w14:paraId="7FFE1C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52" w:type="dxa"/>
            <w:tcBorders>
              <w:tl2br w:val="nil"/>
              <w:tr2bl w:val="nil"/>
            </w:tcBorders>
            <w:vAlign w:val="center"/>
          </w:tcPr>
          <w:p w14:paraId="7AE17026">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1"/>
                <w:sz w:val="21"/>
                <w:szCs w:val="21"/>
                <w:highlight w:val="none"/>
              </w:rPr>
              <w:t>污染物年评价</w:t>
            </w:r>
          </w:p>
        </w:tc>
        <w:tc>
          <w:tcPr>
            <w:tcW w:w="559" w:type="dxa"/>
            <w:tcBorders>
              <w:tl2br w:val="nil"/>
              <w:tr2bl w:val="nil"/>
            </w:tcBorders>
            <w:vAlign w:val="center"/>
          </w:tcPr>
          <w:p w14:paraId="1FCC80FB">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超标</w:t>
            </w:r>
          </w:p>
        </w:tc>
        <w:tc>
          <w:tcPr>
            <w:tcW w:w="569" w:type="dxa"/>
            <w:tcBorders>
              <w:tl2br w:val="nil"/>
              <w:tr2bl w:val="nil"/>
            </w:tcBorders>
            <w:vAlign w:val="center"/>
          </w:tcPr>
          <w:p w14:paraId="144E9CBE">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超标</w:t>
            </w:r>
          </w:p>
        </w:tc>
        <w:tc>
          <w:tcPr>
            <w:tcW w:w="589" w:type="dxa"/>
            <w:tcBorders>
              <w:tl2br w:val="nil"/>
              <w:tr2bl w:val="nil"/>
            </w:tcBorders>
            <w:vAlign w:val="center"/>
          </w:tcPr>
          <w:p w14:paraId="44E9A9E6">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达标</w:t>
            </w:r>
          </w:p>
        </w:tc>
        <w:tc>
          <w:tcPr>
            <w:tcW w:w="469" w:type="dxa"/>
            <w:tcBorders>
              <w:tl2br w:val="nil"/>
              <w:tr2bl w:val="nil"/>
            </w:tcBorders>
            <w:vAlign w:val="center"/>
          </w:tcPr>
          <w:p w14:paraId="30BC9734">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达标</w:t>
            </w:r>
          </w:p>
        </w:tc>
        <w:tc>
          <w:tcPr>
            <w:tcW w:w="679" w:type="dxa"/>
            <w:tcBorders>
              <w:tl2br w:val="nil"/>
              <w:tr2bl w:val="nil"/>
            </w:tcBorders>
            <w:vAlign w:val="center"/>
          </w:tcPr>
          <w:p w14:paraId="04CF887E">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达标</w:t>
            </w:r>
          </w:p>
        </w:tc>
        <w:tc>
          <w:tcPr>
            <w:tcW w:w="793" w:type="dxa"/>
            <w:tcBorders>
              <w:tl2br w:val="nil"/>
              <w:tr2bl w:val="nil"/>
            </w:tcBorders>
            <w:vAlign w:val="center"/>
          </w:tcPr>
          <w:p w14:paraId="338F9009">
            <w:pPr>
              <w:pStyle w:val="775"/>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napToGrid w:val="0"/>
                <w:color w:val="000000"/>
                <w:sz w:val="21"/>
                <w:szCs w:val="21"/>
                <w:highlight w:val="none"/>
              </w:rPr>
            </w:pPr>
            <w:r>
              <w:rPr>
                <w:rFonts w:hint="default" w:ascii="Times New Roman" w:hAnsi="Times New Roman" w:cs="Times New Roman" w:eastAsiaTheme="minorEastAsia"/>
                <w:snapToGrid w:val="0"/>
                <w:color w:val="000000"/>
                <w:spacing w:val="-2"/>
                <w:sz w:val="21"/>
                <w:szCs w:val="21"/>
                <w:highlight w:val="none"/>
              </w:rPr>
              <w:t>达标</w:t>
            </w:r>
          </w:p>
        </w:tc>
      </w:tr>
    </w:tbl>
    <w:p w14:paraId="274B16F7">
      <w:pPr>
        <w:keepNext w:val="0"/>
        <w:keepLines w:val="0"/>
        <w:pageBreakBefore w:val="0"/>
        <w:widowControl w:val="0"/>
        <w:kinsoku/>
        <w:wordWrap w:val="0"/>
        <w:overflowPunct/>
        <w:topLinePunct w:val="0"/>
        <w:autoSpaceDE/>
        <w:autoSpaceDN/>
        <w:bidi w:val="0"/>
        <w:adjustRightInd w:val="0"/>
        <w:snapToGrid w:val="0"/>
        <w:textAlignment w:val="auto"/>
        <w:rPr>
          <w:rFonts w:hAnsiTheme="minorEastAsia" w:eastAsiaTheme="minorEastAsia"/>
          <w:b/>
          <w:sz w:val="24"/>
          <w:highlight w:val="none"/>
        </w:rPr>
      </w:pPr>
      <w:r>
        <w:rPr>
          <w:rFonts w:eastAsiaTheme="minorEastAsia"/>
          <w:b/>
          <w:sz w:val="24"/>
          <w:highlight w:val="none"/>
        </w:rPr>
        <w:t>4.2.1.2</w:t>
      </w:r>
      <w:r>
        <w:rPr>
          <w:rFonts w:hAnsiTheme="minorEastAsia" w:eastAsiaTheme="minorEastAsia"/>
          <w:b/>
          <w:sz w:val="24"/>
          <w:highlight w:val="none"/>
        </w:rPr>
        <w:t>其他污染物环境质量达标情况</w:t>
      </w:r>
    </w:p>
    <w:p w14:paraId="19EBA7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eastAsiaTheme="minorEastAsia"/>
          <w:spacing w:val="0"/>
          <w:kern w:val="0"/>
          <w:position w:val="0"/>
          <w:sz w:val="24"/>
          <w:szCs w:val="24"/>
          <w:highlight w:val="none"/>
          <w:lang w:val="en-US" w:eastAsia="zh-CN"/>
        </w:rPr>
      </w:pPr>
      <w:r>
        <w:rPr>
          <w:rFonts w:hint="eastAsia" w:cs="Times New Roman" w:eastAsiaTheme="minorEastAsia"/>
          <w:spacing w:val="0"/>
          <w:kern w:val="0"/>
          <w:position w:val="0"/>
          <w:sz w:val="24"/>
          <w:szCs w:val="24"/>
          <w:highlight w:val="none"/>
          <w:lang w:val="en-US" w:eastAsia="zh-CN"/>
        </w:rPr>
        <w:t>（1）</w:t>
      </w:r>
      <w:r>
        <w:rPr>
          <w:rFonts w:hint="default" w:ascii="Times New Roman" w:hAnsi="Times New Roman" w:cs="Times New Roman" w:eastAsiaTheme="minorEastAsia"/>
          <w:spacing w:val="0"/>
          <w:kern w:val="0"/>
          <w:position w:val="0"/>
          <w:sz w:val="24"/>
          <w:szCs w:val="24"/>
          <w:highlight w:val="none"/>
          <w:lang w:val="en-US" w:eastAsia="zh-CN"/>
        </w:rPr>
        <w:t>监测条件</w:t>
      </w:r>
    </w:p>
    <w:p w14:paraId="0CAF45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spacing w:val="0"/>
          <w:position w:val="0"/>
          <w:sz w:val="24"/>
          <w:szCs w:val="24"/>
          <w:highlight w:val="none"/>
          <w:lang w:val="zh-CN" w:eastAsia="zh-CN" w:bidi="zh-CN"/>
        </w:rPr>
      </w:pPr>
      <w:r>
        <w:rPr>
          <w:rFonts w:hint="default" w:ascii="Times New Roman" w:hAnsi="Times New Roman" w:cs="Times New Roman" w:eastAsiaTheme="minorEastAsia"/>
          <w:spacing w:val="0"/>
          <w:kern w:val="0"/>
          <w:position w:val="0"/>
          <w:sz w:val="24"/>
          <w:szCs w:val="24"/>
          <w:highlight w:val="none"/>
          <w:lang w:val="en-US" w:eastAsia="zh-CN"/>
        </w:rPr>
        <w:t>根据工程的污染特征、</w:t>
      </w:r>
      <w:r>
        <w:rPr>
          <w:rFonts w:hint="default" w:ascii="Times New Roman" w:hAnsi="Times New Roman" w:eastAsia="宋体" w:cs="Times New Roman"/>
          <w:spacing w:val="0"/>
          <w:position w:val="0"/>
          <w:sz w:val="24"/>
          <w:szCs w:val="24"/>
          <w:highlight w:val="none"/>
          <w:lang w:val="zh-CN" w:eastAsia="zh-CN" w:bidi="zh-CN"/>
        </w:rPr>
        <w:t>当地气象条件、地形分布及评价区域环境功能区划要求等，在评价区内设置</w:t>
      </w:r>
      <w:r>
        <w:rPr>
          <w:rFonts w:hint="default" w:ascii="Times New Roman" w:hAnsi="Times New Roman" w:cs="Times New Roman"/>
          <w:spacing w:val="0"/>
          <w:position w:val="0"/>
          <w:sz w:val="24"/>
          <w:szCs w:val="24"/>
          <w:highlight w:val="none"/>
          <w:lang w:val="en-US" w:eastAsia="zh-CN" w:bidi="zh-CN"/>
        </w:rPr>
        <w:t>1</w:t>
      </w:r>
      <w:r>
        <w:rPr>
          <w:rFonts w:hint="default" w:ascii="Times New Roman" w:hAnsi="Times New Roman" w:eastAsia="宋体" w:cs="Times New Roman"/>
          <w:spacing w:val="0"/>
          <w:position w:val="0"/>
          <w:sz w:val="24"/>
          <w:szCs w:val="24"/>
          <w:highlight w:val="none"/>
          <w:lang w:val="zh-CN" w:eastAsia="zh-CN" w:bidi="zh-CN"/>
        </w:rPr>
        <w:t>个监测点位</w:t>
      </w:r>
      <w:r>
        <w:rPr>
          <w:rFonts w:hint="eastAsia" w:cs="Times New Roman"/>
          <w:spacing w:val="0"/>
          <w:position w:val="0"/>
          <w:sz w:val="24"/>
          <w:szCs w:val="24"/>
          <w:highlight w:val="none"/>
          <w:lang w:val="zh-CN" w:eastAsia="zh-CN" w:bidi="zh-CN"/>
        </w:rPr>
        <w:t>。</w:t>
      </w:r>
    </w:p>
    <w:p w14:paraId="0D7952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eastAsia" w:cs="Times New Roman"/>
          <w:spacing w:val="0"/>
          <w:position w:val="0"/>
          <w:sz w:val="24"/>
          <w:szCs w:val="24"/>
          <w:highlight w:val="none"/>
          <w:lang w:val="en-US" w:eastAsia="zh-CN" w:bidi="zh-CN"/>
        </w:rPr>
      </w:pPr>
      <w:r>
        <w:rPr>
          <w:rFonts w:hint="eastAsia" w:cs="Times New Roman"/>
          <w:spacing w:val="0"/>
          <w:position w:val="0"/>
          <w:sz w:val="24"/>
          <w:szCs w:val="24"/>
          <w:highlight w:val="none"/>
          <w:lang w:val="en-US" w:eastAsia="zh-CN" w:bidi="zh-CN"/>
        </w:rPr>
        <w:t>（2）监测因子</w:t>
      </w:r>
    </w:p>
    <w:p w14:paraId="4AFDF4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cs="Times New Roman"/>
          <w:spacing w:val="0"/>
          <w:position w:val="0"/>
          <w:sz w:val="24"/>
          <w:szCs w:val="24"/>
          <w:highlight w:val="none"/>
          <w:lang w:val="en-US" w:eastAsia="zh-CN" w:bidi="zh-CN"/>
        </w:rPr>
      </w:pPr>
      <w:r>
        <w:rPr>
          <w:rFonts w:hint="default" w:cs="Times New Roman"/>
          <w:spacing w:val="0"/>
          <w:position w:val="0"/>
          <w:sz w:val="24"/>
          <w:szCs w:val="24"/>
          <w:highlight w:val="none"/>
          <w:lang w:val="en-US" w:eastAsia="zh-CN" w:bidi="zh-CN"/>
        </w:rPr>
        <w:t>根据工程分析，确定项目监测因子为非甲烷总烃、</w:t>
      </w:r>
      <w:r>
        <w:rPr>
          <w:rFonts w:hint="eastAsia" w:cs="Times New Roman"/>
          <w:spacing w:val="0"/>
          <w:position w:val="0"/>
          <w:sz w:val="24"/>
          <w:szCs w:val="24"/>
          <w:highlight w:val="none"/>
          <w:lang w:val="en-US" w:eastAsia="zh-CN" w:bidi="zh-CN"/>
        </w:rPr>
        <w:t>TSP、NOx</w:t>
      </w:r>
      <w:r>
        <w:rPr>
          <w:rFonts w:hint="default" w:cs="Times New Roman"/>
          <w:spacing w:val="0"/>
          <w:position w:val="0"/>
          <w:sz w:val="24"/>
          <w:szCs w:val="24"/>
          <w:highlight w:val="none"/>
          <w:lang w:val="en-US" w:eastAsia="zh-CN" w:bidi="zh-CN"/>
        </w:rPr>
        <w:t>。</w:t>
      </w:r>
    </w:p>
    <w:p w14:paraId="1CAB38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spacing w:val="0"/>
          <w:position w:val="0"/>
          <w:sz w:val="24"/>
          <w:szCs w:val="24"/>
          <w:highlight w:val="none"/>
          <w:lang w:val="en-US" w:eastAsia="zh-CN" w:bidi="zh-CN"/>
        </w:rPr>
      </w:pPr>
      <w:r>
        <w:rPr>
          <w:rFonts w:hint="eastAsia" w:cs="Times New Roman"/>
          <w:spacing w:val="0"/>
          <w:position w:val="0"/>
          <w:sz w:val="24"/>
          <w:szCs w:val="24"/>
          <w:highlight w:val="none"/>
          <w:lang w:val="en-US" w:eastAsia="zh-CN" w:bidi="zh-CN"/>
        </w:rPr>
        <w:t>（3）监测点位</w:t>
      </w:r>
    </w:p>
    <w:p w14:paraId="6A6259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cs="Times New Roman"/>
          <w:spacing w:val="0"/>
          <w:position w:val="0"/>
          <w:sz w:val="22"/>
          <w:szCs w:val="22"/>
          <w:highlight w:val="none"/>
          <w:lang w:val="en-US" w:eastAsia="zh-CN" w:bidi="zh-CN"/>
        </w:rPr>
      </w:pPr>
      <w:r>
        <w:rPr>
          <w:rFonts w:hint="default" w:cs="Times New Roman"/>
          <w:spacing w:val="0"/>
          <w:position w:val="0"/>
          <w:sz w:val="24"/>
          <w:szCs w:val="24"/>
          <w:highlight w:val="none"/>
          <w:lang w:val="en-US" w:eastAsia="zh-CN" w:bidi="zh-CN"/>
        </w:rPr>
        <w:t>根据《环境影响评价技术导则大气环境》（HJ2.2-2018）要求，补充监测点位以近20年统计的当地主导风向为轴向，本项目在厂址主导风向下风向</w:t>
      </w:r>
      <w:r>
        <w:rPr>
          <w:rFonts w:hint="eastAsia" w:cs="Times New Roman"/>
          <w:spacing w:val="0"/>
          <w:position w:val="0"/>
          <w:sz w:val="24"/>
          <w:szCs w:val="24"/>
          <w:highlight w:val="none"/>
          <w:lang w:val="en-US" w:eastAsia="zh-CN" w:bidi="zh-CN"/>
        </w:rPr>
        <w:t>20m</w:t>
      </w:r>
      <w:r>
        <w:rPr>
          <w:rFonts w:hint="default" w:cs="Times New Roman"/>
          <w:spacing w:val="0"/>
          <w:position w:val="0"/>
          <w:sz w:val="24"/>
          <w:szCs w:val="24"/>
          <w:highlight w:val="none"/>
          <w:lang w:val="en-US" w:eastAsia="zh-CN" w:bidi="zh-CN"/>
        </w:rPr>
        <w:t>设置</w:t>
      </w:r>
      <w:r>
        <w:rPr>
          <w:rFonts w:hint="eastAsia" w:cs="Times New Roman"/>
          <w:spacing w:val="0"/>
          <w:position w:val="0"/>
          <w:sz w:val="24"/>
          <w:szCs w:val="24"/>
          <w:highlight w:val="none"/>
          <w:lang w:val="en-US" w:eastAsia="zh-CN" w:bidi="zh-CN"/>
        </w:rPr>
        <w:t>1</w:t>
      </w:r>
      <w:r>
        <w:rPr>
          <w:rFonts w:hint="default" w:cs="Times New Roman"/>
          <w:spacing w:val="0"/>
          <w:position w:val="0"/>
          <w:sz w:val="24"/>
          <w:szCs w:val="24"/>
          <w:highlight w:val="none"/>
          <w:lang w:val="en-US" w:eastAsia="zh-CN" w:bidi="zh-CN"/>
        </w:rPr>
        <w:t>个监测点具体见表4</w:t>
      </w:r>
      <w:r>
        <w:rPr>
          <w:rFonts w:hint="eastAsia" w:cs="Times New Roman"/>
          <w:spacing w:val="0"/>
          <w:position w:val="0"/>
          <w:sz w:val="24"/>
          <w:szCs w:val="24"/>
          <w:highlight w:val="none"/>
          <w:lang w:val="en-US" w:eastAsia="zh-CN" w:bidi="zh-CN"/>
        </w:rPr>
        <w:t>-</w:t>
      </w:r>
      <w:r>
        <w:rPr>
          <w:rFonts w:hint="default" w:cs="Times New Roman"/>
          <w:spacing w:val="0"/>
          <w:position w:val="0"/>
          <w:sz w:val="24"/>
          <w:szCs w:val="24"/>
          <w:highlight w:val="none"/>
          <w:lang w:val="en-US" w:eastAsia="zh-CN" w:bidi="zh-CN"/>
        </w:rPr>
        <w:t>2-2和图4</w:t>
      </w:r>
      <w:r>
        <w:rPr>
          <w:rFonts w:hint="eastAsia" w:cs="Times New Roman"/>
          <w:spacing w:val="0"/>
          <w:position w:val="0"/>
          <w:sz w:val="24"/>
          <w:szCs w:val="24"/>
          <w:highlight w:val="none"/>
          <w:lang w:val="en-US" w:eastAsia="zh-CN" w:bidi="zh-CN"/>
        </w:rPr>
        <w:t>-</w:t>
      </w:r>
      <w:r>
        <w:rPr>
          <w:rFonts w:hint="default" w:cs="Times New Roman"/>
          <w:spacing w:val="0"/>
          <w:position w:val="0"/>
          <w:sz w:val="24"/>
          <w:szCs w:val="24"/>
          <w:highlight w:val="none"/>
          <w:lang w:val="en-US" w:eastAsia="zh-CN" w:bidi="zh-CN"/>
        </w:rPr>
        <w:t>2-1。</w:t>
      </w:r>
    </w:p>
    <w:p w14:paraId="40E45B1C">
      <w:pPr>
        <w:pStyle w:val="8"/>
        <w:bidi w:val="0"/>
        <w:rPr>
          <w:rFonts w:hint="default"/>
          <w:highlight w:val="none"/>
        </w:rPr>
      </w:pPr>
    </w:p>
    <w:p w14:paraId="083FF63F">
      <w:pPr>
        <w:pStyle w:val="7"/>
        <w:bidi w:val="0"/>
        <w:rPr>
          <w:rFonts w:hint="default"/>
          <w:highlight w:val="none"/>
        </w:rPr>
      </w:pPr>
      <w:r>
        <w:rPr>
          <w:rFonts w:hint="default"/>
          <w:highlight w:val="none"/>
        </w:rPr>
        <w:t>表4-2-2其他污染物补充监测点基本信息</w:t>
      </w:r>
    </w:p>
    <w:tbl>
      <w:tblPr>
        <w:tblStyle w:val="4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384"/>
        <w:gridCol w:w="1277"/>
        <w:gridCol w:w="1416"/>
        <w:gridCol w:w="994"/>
        <w:gridCol w:w="1416"/>
        <w:gridCol w:w="876"/>
        <w:gridCol w:w="1159"/>
      </w:tblGrid>
      <w:tr w14:paraId="2FC89B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trPr>
        <w:tc>
          <w:tcPr>
            <w:tcW w:w="812" w:type="pct"/>
            <w:vMerge w:val="restart"/>
            <w:tcBorders>
              <w:tl2br w:val="nil"/>
              <w:tr2bl w:val="nil"/>
            </w:tcBorders>
            <w:vAlign w:val="center"/>
          </w:tcPr>
          <w:p w14:paraId="1BD954C6">
            <w:pPr>
              <w:pStyle w:val="8"/>
              <w:suppressLineNumbers w:val="0"/>
              <w:bidi w:val="0"/>
              <w:spacing w:before="0" w:beforeAutospacing="0" w:after="0" w:afterAutospacing="0"/>
              <w:ind w:left="0" w:right="0"/>
              <w:rPr>
                <w:rFonts w:hint="default"/>
                <w:highlight w:val="none"/>
              </w:rPr>
            </w:pPr>
            <w:r>
              <w:rPr>
                <w:rFonts w:hint="default"/>
                <w:highlight w:val="none"/>
              </w:rPr>
              <w:t>监测点名称</w:t>
            </w:r>
          </w:p>
        </w:tc>
        <w:tc>
          <w:tcPr>
            <w:tcW w:w="1580" w:type="pct"/>
            <w:gridSpan w:val="2"/>
            <w:tcBorders>
              <w:tl2br w:val="nil"/>
              <w:tr2bl w:val="nil"/>
            </w:tcBorders>
            <w:vAlign w:val="center"/>
          </w:tcPr>
          <w:p w14:paraId="7AB65ED4">
            <w:pPr>
              <w:pStyle w:val="8"/>
              <w:suppressLineNumbers w:val="0"/>
              <w:bidi w:val="0"/>
              <w:spacing w:before="0" w:beforeAutospacing="0" w:after="0" w:afterAutospacing="0"/>
              <w:ind w:left="0" w:right="0"/>
              <w:rPr>
                <w:rFonts w:hint="default"/>
                <w:highlight w:val="none"/>
              </w:rPr>
            </w:pPr>
            <w:r>
              <w:rPr>
                <w:rFonts w:hint="default"/>
                <w:highlight w:val="none"/>
              </w:rPr>
              <w:t>监测点坐标/°</w:t>
            </w:r>
          </w:p>
        </w:tc>
        <w:tc>
          <w:tcPr>
            <w:tcW w:w="583" w:type="pct"/>
            <w:vMerge w:val="restart"/>
            <w:tcBorders>
              <w:tl2br w:val="nil"/>
              <w:tr2bl w:val="nil"/>
            </w:tcBorders>
            <w:vAlign w:val="center"/>
          </w:tcPr>
          <w:p w14:paraId="7E1B0673">
            <w:pPr>
              <w:pStyle w:val="8"/>
              <w:suppressLineNumbers w:val="0"/>
              <w:bidi w:val="0"/>
              <w:spacing w:before="0" w:beforeAutospacing="0" w:after="0" w:afterAutospacing="0"/>
              <w:ind w:left="0" w:right="0"/>
              <w:rPr>
                <w:rFonts w:hint="default"/>
                <w:highlight w:val="none"/>
              </w:rPr>
            </w:pPr>
            <w:r>
              <w:rPr>
                <w:rFonts w:hint="default"/>
                <w:highlight w:val="none"/>
              </w:rPr>
              <w:t>监测</w:t>
            </w:r>
          </w:p>
          <w:p w14:paraId="29DBF7B4">
            <w:pPr>
              <w:pStyle w:val="8"/>
              <w:suppressLineNumbers w:val="0"/>
              <w:bidi w:val="0"/>
              <w:spacing w:before="0" w:beforeAutospacing="0" w:after="0" w:afterAutospacing="0"/>
              <w:ind w:left="0" w:right="0"/>
              <w:rPr>
                <w:rFonts w:hint="default"/>
                <w:highlight w:val="none"/>
              </w:rPr>
            </w:pPr>
            <w:r>
              <w:rPr>
                <w:rFonts w:hint="default"/>
                <w:highlight w:val="none"/>
              </w:rPr>
              <w:t>因子</w:t>
            </w:r>
          </w:p>
        </w:tc>
        <w:tc>
          <w:tcPr>
            <w:tcW w:w="830" w:type="pct"/>
            <w:vMerge w:val="restart"/>
            <w:tcBorders>
              <w:tl2br w:val="nil"/>
              <w:tr2bl w:val="nil"/>
            </w:tcBorders>
            <w:vAlign w:val="center"/>
          </w:tcPr>
          <w:p w14:paraId="02BDE47C">
            <w:pPr>
              <w:pStyle w:val="8"/>
              <w:suppressLineNumbers w:val="0"/>
              <w:bidi w:val="0"/>
              <w:spacing w:before="0" w:beforeAutospacing="0" w:after="0" w:afterAutospacing="0"/>
              <w:ind w:left="0" w:right="0"/>
              <w:rPr>
                <w:rFonts w:hint="default"/>
                <w:highlight w:val="none"/>
              </w:rPr>
            </w:pPr>
            <w:r>
              <w:rPr>
                <w:rFonts w:hint="default"/>
                <w:highlight w:val="none"/>
              </w:rPr>
              <w:t>监测时段</w:t>
            </w:r>
          </w:p>
        </w:tc>
        <w:tc>
          <w:tcPr>
            <w:tcW w:w="513" w:type="pct"/>
            <w:vMerge w:val="restart"/>
            <w:tcBorders>
              <w:tl2br w:val="nil"/>
              <w:tr2bl w:val="nil"/>
            </w:tcBorders>
            <w:vAlign w:val="center"/>
          </w:tcPr>
          <w:p w14:paraId="048224AB">
            <w:pPr>
              <w:pStyle w:val="8"/>
              <w:suppressLineNumbers w:val="0"/>
              <w:bidi w:val="0"/>
              <w:spacing w:before="0" w:beforeAutospacing="0" w:after="0" w:afterAutospacing="0"/>
              <w:ind w:left="0" w:right="0"/>
              <w:rPr>
                <w:rFonts w:hint="default"/>
                <w:highlight w:val="none"/>
              </w:rPr>
            </w:pPr>
            <w:r>
              <w:rPr>
                <w:rFonts w:hint="default"/>
                <w:highlight w:val="none"/>
              </w:rPr>
              <w:t>相对厂址方位</w:t>
            </w:r>
          </w:p>
        </w:tc>
        <w:tc>
          <w:tcPr>
            <w:tcW w:w="680" w:type="pct"/>
            <w:vMerge w:val="restart"/>
            <w:tcBorders>
              <w:tl2br w:val="nil"/>
              <w:tr2bl w:val="nil"/>
            </w:tcBorders>
            <w:vAlign w:val="center"/>
          </w:tcPr>
          <w:p w14:paraId="736E54AF">
            <w:pPr>
              <w:pStyle w:val="8"/>
              <w:suppressLineNumbers w:val="0"/>
              <w:bidi w:val="0"/>
              <w:spacing w:before="0" w:beforeAutospacing="0" w:after="0" w:afterAutospacing="0"/>
              <w:ind w:left="0" w:right="0"/>
              <w:rPr>
                <w:rFonts w:hint="default"/>
                <w:highlight w:val="none"/>
              </w:rPr>
            </w:pPr>
            <w:r>
              <w:rPr>
                <w:rFonts w:hint="default"/>
                <w:highlight w:val="none"/>
              </w:rPr>
              <w:t>相对厂界距离/m</w:t>
            </w:r>
          </w:p>
        </w:tc>
      </w:tr>
      <w:tr w14:paraId="552B88F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90" w:hRule="atLeast"/>
        </w:trPr>
        <w:tc>
          <w:tcPr>
            <w:tcW w:w="812" w:type="pct"/>
            <w:vMerge w:val="continue"/>
            <w:tcBorders>
              <w:tl2br w:val="nil"/>
              <w:tr2bl w:val="nil"/>
            </w:tcBorders>
            <w:vAlign w:val="center"/>
          </w:tcPr>
          <w:p w14:paraId="51E8D280">
            <w:pPr>
              <w:pStyle w:val="8"/>
              <w:suppressLineNumbers w:val="0"/>
              <w:bidi w:val="0"/>
              <w:spacing w:before="0" w:beforeAutospacing="0" w:after="0" w:afterAutospacing="0"/>
              <w:ind w:left="0" w:right="0"/>
              <w:rPr>
                <w:rFonts w:hint="default"/>
                <w:highlight w:val="none"/>
              </w:rPr>
            </w:pPr>
          </w:p>
        </w:tc>
        <w:tc>
          <w:tcPr>
            <w:tcW w:w="749" w:type="pct"/>
            <w:tcBorders>
              <w:tl2br w:val="nil"/>
              <w:tr2bl w:val="nil"/>
            </w:tcBorders>
            <w:vAlign w:val="center"/>
          </w:tcPr>
          <w:p w14:paraId="452ACF84">
            <w:pPr>
              <w:pStyle w:val="8"/>
              <w:suppressLineNumbers w:val="0"/>
              <w:bidi w:val="0"/>
              <w:spacing w:before="0" w:beforeAutospacing="0" w:after="0" w:afterAutospacing="0"/>
              <w:ind w:left="0" w:right="0"/>
              <w:rPr>
                <w:rFonts w:hint="default"/>
                <w:highlight w:val="none"/>
              </w:rPr>
            </w:pPr>
            <w:r>
              <w:rPr>
                <w:rFonts w:hint="default"/>
                <w:highlight w:val="none"/>
              </w:rPr>
              <w:t>北纬</w:t>
            </w:r>
          </w:p>
        </w:tc>
        <w:tc>
          <w:tcPr>
            <w:tcW w:w="830" w:type="pct"/>
            <w:tcBorders>
              <w:tl2br w:val="nil"/>
              <w:tr2bl w:val="nil"/>
            </w:tcBorders>
            <w:vAlign w:val="center"/>
          </w:tcPr>
          <w:p w14:paraId="6574CB27">
            <w:pPr>
              <w:pStyle w:val="8"/>
              <w:suppressLineNumbers w:val="0"/>
              <w:bidi w:val="0"/>
              <w:spacing w:before="0" w:beforeAutospacing="0" w:after="0" w:afterAutospacing="0"/>
              <w:ind w:left="0" w:right="0"/>
              <w:rPr>
                <w:rFonts w:hint="default"/>
                <w:highlight w:val="none"/>
              </w:rPr>
            </w:pPr>
            <w:r>
              <w:rPr>
                <w:rFonts w:hint="default"/>
                <w:highlight w:val="none"/>
              </w:rPr>
              <w:t>东经</w:t>
            </w:r>
          </w:p>
        </w:tc>
        <w:tc>
          <w:tcPr>
            <w:tcW w:w="583" w:type="pct"/>
            <w:vMerge w:val="continue"/>
            <w:tcBorders>
              <w:tl2br w:val="nil"/>
              <w:tr2bl w:val="nil"/>
            </w:tcBorders>
            <w:vAlign w:val="center"/>
          </w:tcPr>
          <w:p w14:paraId="22940306">
            <w:pPr>
              <w:pStyle w:val="8"/>
              <w:suppressLineNumbers w:val="0"/>
              <w:bidi w:val="0"/>
              <w:spacing w:before="0" w:beforeAutospacing="0" w:after="0" w:afterAutospacing="0"/>
              <w:ind w:left="0" w:right="0"/>
              <w:rPr>
                <w:rFonts w:hint="default"/>
                <w:highlight w:val="none"/>
              </w:rPr>
            </w:pPr>
          </w:p>
        </w:tc>
        <w:tc>
          <w:tcPr>
            <w:tcW w:w="830" w:type="pct"/>
            <w:vMerge w:val="continue"/>
            <w:tcBorders>
              <w:tl2br w:val="nil"/>
              <w:tr2bl w:val="nil"/>
            </w:tcBorders>
            <w:vAlign w:val="center"/>
          </w:tcPr>
          <w:p w14:paraId="25755186">
            <w:pPr>
              <w:pStyle w:val="8"/>
              <w:suppressLineNumbers w:val="0"/>
              <w:bidi w:val="0"/>
              <w:spacing w:before="0" w:beforeAutospacing="0" w:after="0" w:afterAutospacing="0"/>
              <w:ind w:left="0" w:right="0"/>
              <w:rPr>
                <w:rFonts w:hint="default"/>
                <w:highlight w:val="none"/>
              </w:rPr>
            </w:pPr>
          </w:p>
        </w:tc>
        <w:tc>
          <w:tcPr>
            <w:tcW w:w="513" w:type="pct"/>
            <w:vMerge w:val="continue"/>
            <w:tcBorders>
              <w:tl2br w:val="nil"/>
              <w:tr2bl w:val="nil"/>
            </w:tcBorders>
            <w:vAlign w:val="center"/>
          </w:tcPr>
          <w:p w14:paraId="35206BCC">
            <w:pPr>
              <w:pStyle w:val="8"/>
              <w:suppressLineNumbers w:val="0"/>
              <w:bidi w:val="0"/>
              <w:spacing w:before="0" w:beforeAutospacing="0" w:after="0" w:afterAutospacing="0"/>
              <w:ind w:left="0" w:right="0"/>
              <w:rPr>
                <w:rFonts w:hint="default"/>
                <w:highlight w:val="none"/>
              </w:rPr>
            </w:pPr>
          </w:p>
        </w:tc>
        <w:tc>
          <w:tcPr>
            <w:tcW w:w="680" w:type="pct"/>
            <w:vMerge w:val="continue"/>
            <w:tcBorders>
              <w:tl2br w:val="nil"/>
              <w:tr2bl w:val="nil"/>
            </w:tcBorders>
            <w:vAlign w:val="center"/>
          </w:tcPr>
          <w:p w14:paraId="6C13A41D">
            <w:pPr>
              <w:pStyle w:val="8"/>
              <w:suppressLineNumbers w:val="0"/>
              <w:bidi w:val="0"/>
              <w:spacing w:before="0" w:beforeAutospacing="0" w:after="0" w:afterAutospacing="0"/>
              <w:ind w:left="0" w:right="0"/>
              <w:rPr>
                <w:rFonts w:hint="default"/>
                <w:highlight w:val="none"/>
              </w:rPr>
            </w:pPr>
          </w:p>
        </w:tc>
      </w:tr>
      <w:tr w14:paraId="235335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c>
          <w:tcPr>
            <w:tcW w:w="812" w:type="pct"/>
            <w:tcBorders>
              <w:tl2br w:val="nil"/>
              <w:tr2bl w:val="nil"/>
            </w:tcBorders>
            <w:vAlign w:val="center"/>
          </w:tcPr>
          <w:p w14:paraId="5F5D17A6">
            <w:pPr>
              <w:pStyle w:val="8"/>
              <w:suppressLineNumbers w:val="0"/>
              <w:bidi w:val="0"/>
              <w:spacing w:before="0" w:beforeAutospacing="0" w:after="0" w:afterAutospacing="0"/>
              <w:ind w:left="0" w:right="0"/>
              <w:rPr>
                <w:rFonts w:hint="default"/>
                <w:highlight w:val="none"/>
                <w:lang w:val="en-US" w:eastAsia="zh-CN"/>
              </w:rPr>
            </w:pPr>
            <w:r>
              <w:rPr>
                <w:rFonts w:hint="default"/>
                <w:highlight w:val="none"/>
              </w:rPr>
              <w:t>○1</w:t>
            </w:r>
            <w:r>
              <w:rPr>
                <w:rFonts w:hint="eastAsia"/>
                <w:highlight w:val="none"/>
                <w:lang w:val="en-US" w:eastAsia="zh-CN"/>
              </w:rPr>
              <w:t>厂址下风向处</w:t>
            </w:r>
          </w:p>
        </w:tc>
        <w:tc>
          <w:tcPr>
            <w:tcW w:w="1277" w:type="dxa"/>
            <w:tcBorders>
              <w:tl2br w:val="nil"/>
              <w:tr2bl w:val="nil"/>
            </w:tcBorders>
            <w:vAlign w:val="center"/>
          </w:tcPr>
          <w:p w14:paraId="1D8B6B18">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ascii="Times New Roman" w:hAnsi="Times New Roman" w:eastAsia="宋体" w:cs="Times New Roman"/>
                <w:highlight w:val="none"/>
                <w:lang w:val="en-US" w:eastAsia="zh-CN"/>
              </w:rPr>
              <w:t>45.665608981</w:t>
            </w:r>
          </w:p>
        </w:tc>
        <w:tc>
          <w:tcPr>
            <w:tcW w:w="1416" w:type="dxa"/>
            <w:tcBorders>
              <w:tl2br w:val="nil"/>
              <w:tr2bl w:val="nil"/>
            </w:tcBorders>
            <w:vAlign w:val="center"/>
          </w:tcPr>
          <w:p w14:paraId="364C721B">
            <w:pPr>
              <w:pStyle w:val="8"/>
              <w:suppressLineNumbers w:val="0"/>
              <w:bidi w:val="0"/>
              <w:spacing w:before="0" w:beforeAutospacing="0" w:after="0" w:afterAutospacing="0"/>
              <w:ind w:left="0" w:leftChars="0" w:right="0" w:rightChars="0" w:firstLine="0" w:firstLineChars="0"/>
              <w:rPr>
                <w:rFonts w:hint="default"/>
                <w:highlight w:val="none"/>
                <w:lang w:val="en-US" w:eastAsia="zh-CN"/>
              </w:rPr>
            </w:pPr>
            <w:r>
              <w:rPr>
                <w:rFonts w:hint="eastAsia" w:ascii="Times New Roman" w:hAnsi="Times New Roman" w:eastAsia="宋体" w:cs="Times New Roman"/>
                <w:highlight w:val="none"/>
                <w:lang w:val="en-US" w:eastAsia="zh-CN"/>
              </w:rPr>
              <w:t>126.726975539</w:t>
            </w:r>
          </w:p>
        </w:tc>
        <w:tc>
          <w:tcPr>
            <w:tcW w:w="583" w:type="pct"/>
            <w:tcBorders>
              <w:tl2br w:val="nil"/>
              <w:tr2bl w:val="nil"/>
            </w:tcBorders>
            <w:vAlign w:val="center"/>
          </w:tcPr>
          <w:p w14:paraId="2A6BE5DD">
            <w:pPr>
              <w:pStyle w:val="8"/>
              <w:suppressLineNumbers w:val="0"/>
              <w:bidi w:val="0"/>
              <w:spacing w:before="0" w:beforeAutospacing="0" w:after="0" w:afterAutospacing="0"/>
              <w:ind w:left="0" w:right="0"/>
              <w:rPr>
                <w:rFonts w:hint="default"/>
                <w:highlight w:val="none"/>
                <w:lang w:val="en-US" w:eastAsia="zh-CN"/>
              </w:rPr>
            </w:pPr>
            <w:r>
              <w:rPr>
                <w:rFonts w:hint="default"/>
                <w:highlight w:val="none"/>
              </w:rPr>
              <w:t>非甲烷总烃</w:t>
            </w:r>
            <w:r>
              <w:rPr>
                <w:rFonts w:hint="eastAsia"/>
                <w:highlight w:val="none"/>
                <w:lang w:eastAsia="zh-CN"/>
              </w:rPr>
              <w:t>、</w:t>
            </w:r>
            <w:r>
              <w:rPr>
                <w:rFonts w:hint="eastAsia"/>
                <w:highlight w:val="none"/>
                <w:lang w:val="en-US" w:eastAsia="zh-CN"/>
              </w:rPr>
              <w:t>TSP</w:t>
            </w:r>
          </w:p>
        </w:tc>
        <w:tc>
          <w:tcPr>
            <w:tcW w:w="830" w:type="pct"/>
            <w:tcBorders>
              <w:tl2br w:val="nil"/>
              <w:tr2bl w:val="nil"/>
            </w:tcBorders>
            <w:vAlign w:val="center"/>
          </w:tcPr>
          <w:p w14:paraId="6000E2A8">
            <w:pPr>
              <w:pStyle w:val="8"/>
              <w:suppressLineNumbers w:val="0"/>
              <w:bidi w:val="0"/>
              <w:spacing w:before="0" w:beforeAutospacing="0" w:after="0" w:afterAutospacing="0"/>
              <w:ind w:left="0" w:right="0"/>
              <w:rPr>
                <w:rFonts w:hint="default"/>
                <w:highlight w:val="none"/>
              </w:rPr>
            </w:pPr>
            <w:r>
              <w:rPr>
                <w:rFonts w:hint="default"/>
                <w:highlight w:val="none"/>
              </w:rPr>
              <w:t>202</w:t>
            </w:r>
            <w:r>
              <w:rPr>
                <w:rFonts w:hint="eastAsia"/>
                <w:highlight w:val="none"/>
                <w:lang w:val="en-US" w:eastAsia="zh-CN"/>
              </w:rPr>
              <w:t>6</w:t>
            </w:r>
            <w:r>
              <w:rPr>
                <w:rFonts w:hint="default"/>
                <w:highlight w:val="none"/>
              </w:rPr>
              <w:t>年</w:t>
            </w:r>
            <w:r>
              <w:rPr>
                <w:rFonts w:hint="eastAsia"/>
                <w:highlight w:val="none"/>
                <w:lang w:val="en-US" w:eastAsia="zh-CN"/>
              </w:rPr>
              <w:t>09</w:t>
            </w:r>
            <w:r>
              <w:rPr>
                <w:rFonts w:hint="default"/>
                <w:highlight w:val="none"/>
              </w:rPr>
              <w:t>月</w:t>
            </w:r>
            <w:r>
              <w:rPr>
                <w:rFonts w:hint="eastAsia"/>
                <w:highlight w:val="none"/>
                <w:lang w:val="en-US" w:eastAsia="zh-CN"/>
              </w:rPr>
              <w:t>19</w:t>
            </w:r>
            <w:r>
              <w:rPr>
                <w:rFonts w:hint="default"/>
                <w:highlight w:val="none"/>
              </w:rPr>
              <w:t>日~202</w:t>
            </w:r>
            <w:r>
              <w:rPr>
                <w:rFonts w:hint="eastAsia"/>
                <w:highlight w:val="none"/>
                <w:lang w:val="en-US" w:eastAsia="zh-CN"/>
              </w:rPr>
              <w:t>5</w:t>
            </w:r>
            <w:r>
              <w:rPr>
                <w:rFonts w:hint="default"/>
                <w:highlight w:val="none"/>
              </w:rPr>
              <w:t>年</w:t>
            </w:r>
            <w:r>
              <w:rPr>
                <w:rFonts w:hint="eastAsia"/>
                <w:highlight w:val="none"/>
                <w:lang w:val="en-US" w:eastAsia="zh-CN"/>
              </w:rPr>
              <w:t>09</w:t>
            </w:r>
            <w:r>
              <w:rPr>
                <w:rFonts w:hint="default"/>
                <w:highlight w:val="none"/>
              </w:rPr>
              <w:t>月</w:t>
            </w:r>
            <w:r>
              <w:rPr>
                <w:rFonts w:hint="eastAsia"/>
                <w:highlight w:val="none"/>
                <w:lang w:val="en-US" w:eastAsia="zh-CN"/>
              </w:rPr>
              <w:t>25</w:t>
            </w:r>
            <w:r>
              <w:rPr>
                <w:rFonts w:hint="default"/>
                <w:highlight w:val="none"/>
              </w:rPr>
              <w:t>日</w:t>
            </w:r>
          </w:p>
        </w:tc>
        <w:tc>
          <w:tcPr>
            <w:tcW w:w="513" w:type="pct"/>
            <w:tcBorders>
              <w:tl2br w:val="nil"/>
              <w:tr2bl w:val="nil"/>
            </w:tcBorders>
            <w:vAlign w:val="center"/>
          </w:tcPr>
          <w:p w14:paraId="57C480D8">
            <w:pPr>
              <w:pStyle w:val="8"/>
              <w:suppressLineNumbers w:val="0"/>
              <w:bidi w:val="0"/>
              <w:spacing w:before="0" w:beforeAutospacing="0" w:after="0" w:afterAutospacing="0"/>
              <w:ind w:left="0" w:right="0"/>
              <w:rPr>
                <w:rFonts w:hint="eastAsia"/>
                <w:highlight w:val="none"/>
                <w:lang w:eastAsia="zh-CN"/>
              </w:rPr>
            </w:pPr>
            <w:r>
              <w:rPr>
                <w:rFonts w:hint="default"/>
                <w:highlight w:val="none"/>
              </w:rPr>
              <w:t>N</w:t>
            </w:r>
            <w:r>
              <w:rPr>
                <w:rFonts w:hint="eastAsia"/>
                <w:highlight w:val="none"/>
                <w:lang w:val="en-US" w:eastAsia="zh-CN"/>
              </w:rPr>
              <w:t>E</w:t>
            </w:r>
          </w:p>
        </w:tc>
        <w:tc>
          <w:tcPr>
            <w:tcW w:w="680" w:type="pct"/>
            <w:tcBorders>
              <w:tl2br w:val="nil"/>
              <w:tr2bl w:val="nil"/>
            </w:tcBorders>
            <w:vAlign w:val="center"/>
          </w:tcPr>
          <w:p w14:paraId="669DD813">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5</w:t>
            </w:r>
          </w:p>
        </w:tc>
      </w:tr>
    </w:tbl>
    <w:p w14:paraId="5C99B80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spacing w:val="0"/>
          <w:position w:val="0"/>
          <w:sz w:val="24"/>
          <w:highlight w:val="none"/>
        </w:rPr>
      </w:pPr>
      <w:r>
        <w:rPr>
          <w:sz w:val="22"/>
          <w:highlight w:val="none"/>
        </w:rPr>
        <mc:AlternateContent>
          <mc:Choice Requires="wps">
            <w:drawing>
              <wp:anchor distT="0" distB="0" distL="114300" distR="114300" simplePos="0" relativeHeight="251677696" behindDoc="0" locked="0" layoutInCell="1" allowOverlap="1">
                <wp:simplePos x="0" y="0"/>
                <wp:positionH relativeFrom="column">
                  <wp:posOffset>2573655</wp:posOffset>
                </wp:positionH>
                <wp:positionV relativeFrom="paragraph">
                  <wp:posOffset>1586230</wp:posOffset>
                </wp:positionV>
                <wp:extent cx="381000" cy="247650"/>
                <wp:effectExtent l="0" t="0" r="0" b="0"/>
                <wp:wrapNone/>
                <wp:docPr id="338" name="文本框 103"/>
                <wp:cNvGraphicFramePr/>
                <a:graphic xmlns:a="http://schemas.openxmlformats.org/drawingml/2006/main">
                  <a:graphicData uri="http://schemas.microsoft.com/office/word/2010/wordprocessingShape">
                    <wps:wsp>
                      <wps:cNvSpPr txBox="1"/>
                      <wps:spPr>
                        <a:xfrm>
                          <a:off x="3716655" y="2500630"/>
                          <a:ext cx="381000" cy="247650"/>
                        </a:xfrm>
                        <a:prstGeom prst="rect">
                          <a:avLst/>
                        </a:prstGeom>
                        <a:noFill/>
                        <a:ln w="6350">
                          <a:noFill/>
                        </a:ln>
                        <a:effectLst/>
                      </wps:spPr>
                      <wps:txbx>
                        <w:txbxContent>
                          <w:p w14:paraId="435592FD">
                            <w:pPr>
                              <w:rPr>
                                <w:rFonts w:hint="eastAsia" w:eastAsia="微软雅黑"/>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3" o:spid="_x0000_s1026" o:spt="202" type="#_x0000_t202" style="position:absolute;left:0pt;margin-left:202.65pt;margin-top:124.9pt;height:19.5pt;width:30pt;z-index:251677696;mso-width-relative:page;mso-height-relative:page;" filled="f" stroked="f" coordsize="21600,21600" o:gfxdata="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bBT99oAAAALAQAADwAA&#10;AAAAAAABACAAAAAiAAAAZHJzL2Rvd25yZXYueG1sUEsBAhQAFAAAAAgAh07iQHQ7cRhNAgAAgwQA&#10;AA4AAAAAAAAAAQAgAAAAKQEAAGRycy9lMm9Eb2MueG1sUEsFBgAAAAAGAAYAWQEAAOgFAAAAAA==&#10;">
                <v:fill on="f" focussize="0,0"/>
                <v:stroke on="f" weight="0.5pt"/>
                <v:imagedata o:title=""/>
                <o:lock v:ext="edit" aspectratio="f"/>
                <v:textbox>
                  <w:txbxContent>
                    <w:p w14:paraId="435592FD">
                      <w:pPr>
                        <w:rPr>
                          <w:rFonts w:hint="eastAsia" w:eastAsia="微软雅黑"/>
                          <w:lang w:val="en-US" w:eastAsia="zh-CN"/>
                        </w:rPr>
                      </w:pPr>
                      <w:r>
                        <w:rPr>
                          <w:rFonts w:hint="eastAsia"/>
                          <w:lang w:val="en-US" w:eastAsia="zh-CN"/>
                        </w:rPr>
                        <w:t>1</w:t>
                      </w:r>
                    </w:p>
                  </w:txbxContent>
                </v:textbox>
              </v:shape>
            </w:pict>
          </mc:Fallback>
        </mc:AlternateContent>
      </w:r>
      <w:r>
        <w:rPr>
          <w:rFonts w:ascii="Times New Roman" w:hAnsi="Times New Roman" w:cs="Times New Roman"/>
          <w:sz w:val="24"/>
          <w:szCs w:val="18"/>
        </w:rPr>
        <w:drawing>
          <wp:inline distT="0" distB="0" distL="114300" distR="114300">
            <wp:extent cx="4111625" cy="2415540"/>
            <wp:effectExtent l="0" t="0" r="3175" b="3810"/>
            <wp:docPr id="59" name="图片 18" descr="M][MHML[L]ZAZ(IO%J_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descr="M][MHML[L]ZAZ(IO%J_G[TN"/>
                    <pic:cNvPicPr>
                      <a:picLocks noChangeAspect="1"/>
                    </pic:cNvPicPr>
                  </pic:nvPicPr>
                  <pic:blipFill>
                    <a:blip r:embed="rId48"/>
                    <a:stretch>
                      <a:fillRect/>
                    </a:stretch>
                  </pic:blipFill>
                  <pic:spPr>
                    <a:xfrm>
                      <a:off x="0" y="0"/>
                      <a:ext cx="4111625" cy="2415540"/>
                    </a:xfrm>
                    <a:prstGeom prst="rect">
                      <a:avLst/>
                    </a:prstGeom>
                    <a:noFill/>
                    <a:ln>
                      <a:noFill/>
                    </a:ln>
                  </pic:spPr>
                </pic:pic>
              </a:graphicData>
            </a:graphic>
          </wp:inline>
        </w:drawing>
      </w:r>
    </w:p>
    <w:p w14:paraId="6679F6E9">
      <w:pPr>
        <w:pStyle w:val="7"/>
        <w:bidi w:val="0"/>
        <w:rPr>
          <w:rFonts w:hint="default"/>
          <w:highlight w:val="none"/>
        </w:rPr>
      </w:pPr>
      <w:r>
        <w:rPr>
          <w:rFonts w:hint="default"/>
          <w:highlight w:val="none"/>
        </w:rPr>
        <w:t>图4-2-1该项目环境空气补充监测点位</w:t>
      </w:r>
    </w:p>
    <w:p w14:paraId="221B9FA9">
      <w:pPr>
        <w:pStyle w:val="7"/>
        <w:bidi w:val="0"/>
        <w:rPr>
          <w:rFonts w:hint="default"/>
          <w:highlight w:val="none"/>
        </w:rPr>
      </w:pPr>
      <w:r>
        <w:rPr>
          <w:rFonts w:hint="default"/>
          <w:highlight w:val="none"/>
        </w:rPr>
        <w:t>表4-2-3其他污染物环境质量现状（监测结果）表</w:t>
      </w:r>
    </w:p>
    <w:tbl>
      <w:tblPr>
        <w:tblStyle w:val="44"/>
        <w:tblW w:w="510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1"/>
        <w:gridCol w:w="1076"/>
        <w:gridCol w:w="1161"/>
        <w:gridCol w:w="915"/>
        <w:gridCol w:w="1081"/>
        <w:gridCol w:w="815"/>
        <w:gridCol w:w="1114"/>
        <w:gridCol w:w="677"/>
        <w:gridCol w:w="451"/>
        <w:gridCol w:w="427"/>
      </w:tblGrid>
      <w:tr w14:paraId="01CB90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63" w:type="pct"/>
            <w:vMerge w:val="restart"/>
            <w:vAlign w:val="center"/>
          </w:tcPr>
          <w:p w14:paraId="44DDD947">
            <w:pPr>
              <w:pStyle w:val="8"/>
              <w:suppressLineNumbers w:val="0"/>
              <w:bidi w:val="0"/>
              <w:spacing w:before="0" w:beforeAutospacing="0" w:after="0" w:afterAutospacing="0"/>
              <w:ind w:left="0" w:right="0"/>
              <w:rPr>
                <w:rFonts w:hint="default"/>
                <w:highlight w:val="none"/>
              </w:rPr>
            </w:pPr>
            <w:r>
              <w:rPr>
                <w:rFonts w:hint="default"/>
                <w:highlight w:val="none"/>
              </w:rPr>
              <w:t>监测点位</w:t>
            </w:r>
          </w:p>
        </w:tc>
        <w:tc>
          <w:tcPr>
            <w:tcW w:w="1285" w:type="pct"/>
            <w:gridSpan w:val="2"/>
            <w:vAlign w:val="center"/>
          </w:tcPr>
          <w:p w14:paraId="21917E0F">
            <w:pPr>
              <w:pStyle w:val="8"/>
              <w:suppressLineNumbers w:val="0"/>
              <w:bidi w:val="0"/>
              <w:spacing w:before="0" w:beforeAutospacing="0" w:after="0" w:afterAutospacing="0"/>
              <w:ind w:left="0" w:right="0"/>
              <w:rPr>
                <w:rFonts w:hint="default"/>
                <w:highlight w:val="none"/>
              </w:rPr>
            </w:pPr>
            <w:r>
              <w:rPr>
                <w:rFonts w:hint="default"/>
                <w:highlight w:val="none"/>
              </w:rPr>
              <w:t>监测点坐标/°</w:t>
            </w:r>
          </w:p>
        </w:tc>
        <w:tc>
          <w:tcPr>
            <w:tcW w:w="525" w:type="pct"/>
            <w:vMerge w:val="restart"/>
            <w:vAlign w:val="center"/>
          </w:tcPr>
          <w:p w14:paraId="793E2B6C">
            <w:pPr>
              <w:pStyle w:val="8"/>
              <w:suppressLineNumbers w:val="0"/>
              <w:bidi w:val="0"/>
              <w:spacing w:before="0" w:beforeAutospacing="0" w:after="0" w:afterAutospacing="0"/>
              <w:ind w:left="0" w:right="0"/>
              <w:rPr>
                <w:rFonts w:hint="default"/>
                <w:highlight w:val="none"/>
              </w:rPr>
            </w:pPr>
            <w:r>
              <w:rPr>
                <w:rFonts w:hint="default"/>
                <w:highlight w:val="none"/>
              </w:rPr>
              <w:t>污染物</w:t>
            </w:r>
          </w:p>
        </w:tc>
        <w:tc>
          <w:tcPr>
            <w:tcW w:w="621" w:type="pct"/>
            <w:vMerge w:val="restart"/>
            <w:vAlign w:val="center"/>
          </w:tcPr>
          <w:p w14:paraId="109C16F4">
            <w:pPr>
              <w:pStyle w:val="8"/>
              <w:suppressLineNumbers w:val="0"/>
              <w:bidi w:val="0"/>
              <w:spacing w:before="0" w:beforeAutospacing="0" w:after="0" w:afterAutospacing="0"/>
              <w:ind w:left="0" w:right="0"/>
              <w:rPr>
                <w:rFonts w:hint="default"/>
                <w:highlight w:val="none"/>
              </w:rPr>
            </w:pPr>
            <w:r>
              <w:rPr>
                <w:rFonts w:hint="default"/>
                <w:highlight w:val="none"/>
              </w:rPr>
              <w:t>平均时间</w:t>
            </w:r>
          </w:p>
        </w:tc>
        <w:tc>
          <w:tcPr>
            <w:tcW w:w="468" w:type="pct"/>
            <w:vMerge w:val="restart"/>
            <w:vAlign w:val="center"/>
          </w:tcPr>
          <w:p w14:paraId="6D85D151">
            <w:pPr>
              <w:pStyle w:val="8"/>
              <w:suppressLineNumbers w:val="0"/>
              <w:bidi w:val="0"/>
              <w:spacing w:before="0" w:beforeAutospacing="0" w:after="0" w:afterAutospacing="0"/>
              <w:ind w:left="0" w:right="0"/>
              <w:rPr>
                <w:rFonts w:hint="default"/>
                <w:highlight w:val="none"/>
              </w:rPr>
            </w:pPr>
            <w:r>
              <w:rPr>
                <w:rFonts w:hint="default"/>
                <w:highlight w:val="none"/>
              </w:rPr>
              <w:t>评价</w:t>
            </w:r>
          </w:p>
          <w:p w14:paraId="7921065B">
            <w:pPr>
              <w:pStyle w:val="8"/>
              <w:suppressLineNumbers w:val="0"/>
              <w:bidi w:val="0"/>
              <w:spacing w:before="0" w:beforeAutospacing="0" w:after="0" w:afterAutospacing="0"/>
              <w:ind w:left="0" w:right="0"/>
              <w:rPr>
                <w:rFonts w:hint="eastAsia" w:eastAsia="宋体"/>
                <w:highlight w:val="none"/>
                <w:lang w:eastAsia="zh-CN"/>
              </w:rPr>
            </w:pPr>
            <w:r>
              <w:rPr>
                <w:rFonts w:hint="default"/>
                <w:highlight w:val="none"/>
              </w:rPr>
              <w:t>标准/</w:t>
            </w:r>
            <w:r>
              <w:rPr>
                <w:rFonts w:hint="eastAsia"/>
                <w:highlight w:val="none"/>
                <w:lang w:eastAsia="zh-CN"/>
              </w:rPr>
              <w:t>（</w:t>
            </w:r>
            <w:r>
              <w:rPr>
                <w:rFonts w:hint="default"/>
                <w:highlight w:val="none"/>
              </w:rPr>
              <w:t>μg/m</w:t>
            </w:r>
            <w:r>
              <w:rPr>
                <w:rFonts w:hint="default"/>
                <w:highlight w:val="none"/>
                <w:vertAlign w:val="superscript"/>
              </w:rPr>
              <w:t>3</w:t>
            </w:r>
            <w:r>
              <w:rPr>
                <w:rFonts w:hint="eastAsia"/>
                <w:highlight w:val="none"/>
                <w:lang w:eastAsia="zh-CN"/>
              </w:rPr>
              <w:t>）</w:t>
            </w:r>
          </w:p>
        </w:tc>
        <w:tc>
          <w:tcPr>
            <w:tcW w:w="640" w:type="pct"/>
            <w:vMerge w:val="restart"/>
            <w:vAlign w:val="center"/>
          </w:tcPr>
          <w:p w14:paraId="2AD86792">
            <w:pPr>
              <w:pStyle w:val="8"/>
              <w:suppressLineNumbers w:val="0"/>
              <w:bidi w:val="0"/>
              <w:spacing w:before="0" w:beforeAutospacing="0" w:after="0" w:afterAutospacing="0"/>
              <w:ind w:left="0" w:right="0"/>
              <w:rPr>
                <w:rFonts w:hint="eastAsia" w:eastAsia="宋体"/>
                <w:highlight w:val="none"/>
                <w:lang w:eastAsia="zh-CN"/>
              </w:rPr>
            </w:pPr>
            <w:r>
              <w:rPr>
                <w:rFonts w:hint="default"/>
                <w:highlight w:val="none"/>
              </w:rPr>
              <w:t>监测浓度范围/</w:t>
            </w:r>
            <w:r>
              <w:rPr>
                <w:rFonts w:hint="eastAsia"/>
                <w:highlight w:val="none"/>
                <w:lang w:eastAsia="zh-CN"/>
              </w:rPr>
              <w:t>（</w:t>
            </w:r>
            <w:r>
              <w:rPr>
                <w:rFonts w:hint="default"/>
                <w:highlight w:val="none"/>
              </w:rPr>
              <w:t>μg/m</w:t>
            </w:r>
            <w:r>
              <w:rPr>
                <w:rFonts w:hint="default"/>
                <w:highlight w:val="none"/>
                <w:vertAlign w:val="superscript"/>
              </w:rPr>
              <w:t>3</w:t>
            </w:r>
            <w:r>
              <w:rPr>
                <w:rFonts w:hint="eastAsia"/>
                <w:highlight w:val="none"/>
                <w:lang w:eastAsia="zh-CN"/>
              </w:rPr>
              <w:t>）</w:t>
            </w:r>
          </w:p>
        </w:tc>
        <w:tc>
          <w:tcPr>
            <w:tcW w:w="389" w:type="pct"/>
            <w:vMerge w:val="restart"/>
            <w:vAlign w:val="center"/>
          </w:tcPr>
          <w:p w14:paraId="1D3D4FC5">
            <w:pPr>
              <w:pStyle w:val="8"/>
              <w:suppressLineNumbers w:val="0"/>
              <w:bidi w:val="0"/>
              <w:spacing w:before="0" w:beforeAutospacing="0" w:after="0" w:afterAutospacing="0"/>
              <w:ind w:left="0" w:right="0"/>
              <w:rPr>
                <w:rFonts w:hint="default"/>
                <w:highlight w:val="none"/>
              </w:rPr>
            </w:pPr>
            <w:r>
              <w:rPr>
                <w:rFonts w:hint="default"/>
                <w:highlight w:val="none"/>
              </w:rPr>
              <w:t>最大浓度占标率/%</w:t>
            </w:r>
          </w:p>
        </w:tc>
        <w:tc>
          <w:tcPr>
            <w:tcW w:w="259" w:type="pct"/>
            <w:vMerge w:val="restart"/>
            <w:vAlign w:val="center"/>
          </w:tcPr>
          <w:p w14:paraId="5493FF12">
            <w:pPr>
              <w:pStyle w:val="8"/>
              <w:suppressLineNumbers w:val="0"/>
              <w:bidi w:val="0"/>
              <w:spacing w:before="0" w:beforeAutospacing="0" w:after="0" w:afterAutospacing="0"/>
              <w:ind w:left="0" w:right="0"/>
              <w:rPr>
                <w:rFonts w:hint="default"/>
                <w:highlight w:val="none"/>
              </w:rPr>
            </w:pPr>
            <w:r>
              <w:rPr>
                <w:rFonts w:hint="default"/>
                <w:highlight w:val="none"/>
              </w:rPr>
              <w:t>超标率/%</w:t>
            </w:r>
          </w:p>
        </w:tc>
        <w:tc>
          <w:tcPr>
            <w:tcW w:w="245" w:type="pct"/>
            <w:vMerge w:val="restart"/>
            <w:vAlign w:val="center"/>
          </w:tcPr>
          <w:p w14:paraId="12B7422F">
            <w:pPr>
              <w:pStyle w:val="8"/>
              <w:suppressLineNumbers w:val="0"/>
              <w:bidi w:val="0"/>
              <w:spacing w:before="0" w:beforeAutospacing="0" w:after="0" w:afterAutospacing="0"/>
              <w:ind w:left="0" w:right="0"/>
              <w:rPr>
                <w:rFonts w:hint="default"/>
                <w:highlight w:val="none"/>
              </w:rPr>
            </w:pPr>
            <w:r>
              <w:rPr>
                <w:rFonts w:hint="default"/>
                <w:highlight w:val="none"/>
              </w:rPr>
              <w:t>达标情况</w:t>
            </w:r>
          </w:p>
        </w:tc>
      </w:tr>
      <w:tr w14:paraId="660AB8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63" w:type="pct"/>
            <w:vMerge w:val="continue"/>
            <w:vAlign w:val="center"/>
          </w:tcPr>
          <w:p w14:paraId="0EC7F9D1">
            <w:pPr>
              <w:pStyle w:val="8"/>
              <w:suppressLineNumbers w:val="0"/>
              <w:bidi w:val="0"/>
              <w:spacing w:before="0" w:beforeAutospacing="0" w:after="0" w:afterAutospacing="0"/>
              <w:ind w:left="0" w:right="0"/>
              <w:rPr>
                <w:rFonts w:hint="default"/>
                <w:highlight w:val="none"/>
              </w:rPr>
            </w:pPr>
          </w:p>
        </w:tc>
        <w:tc>
          <w:tcPr>
            <w:tcW w:w="618" w:type="pct"/>
            <w:vAlign w:val="center"/>
          </w:tcPr>
          <w:p w14:paraId="6C7280A5">
            <w:pPr>
              <w:pStyle w:val="8"/>
              <w:suppressLineNumbers w:val="0"/>
              <w:bidi w:val="0"/>
              <w:spacing w:before="0" w:beforeAutospacing="0" w:after="0" w:afterAutospacing="0"/>
              <w:ind w:left="0" w:right="0"/>
              <w:rPr>
                <w:rFonts w:hint="default"/>
                <w:highlight w:val="none"/>
              </w:rPr>
            </w:pPr>
            <w:r>
              <w:rPr>
                <w:rFonts w:hint="default"/>
                <w:highlight w:val="none"/>
              </w:rPr>
              <w:t>北纬</w:t>
            </w:r>
          </w:p>
        </w:tc>
        <w:tc>
          <w:tcPr>
            <w:tcW w:w="667" w:type="pct"/>
            <w:vAlign w:val="center"/>
          </w:tcPr>
          <w:p w14:paraId="007D3650">
            <w:pPr>
              <w:pStyle w:val="8"/>
              <w:suppressLineNumbers w:val="0"/>
              <w:bidi w:val="0"/>
              <w:spacing w:before="0" w:beforeAutospacing="0" w:after="0" w:afterAutospacing="0"/>
              <w:ind w:left="0" w:right="0"/>
              <w:rPr>
                <w:rFonts w:hint="default"/>
                <w:highlight w:val="none"/>
              </w:rPr>
            </w:pPr>
            <w:r>
              <w:rPr>
                <w:rFonts w:hint="default"/>
                <w:highlight w:val="none"/>
              </w:rPr>
              <w:t>东经</w:t>
            </w:r>
          </w:p>
        </w:tc>
        <w:tc>
          <w:tcPr>
            <w:tcW w:w="525" w:type="pct"/>
            <w:vMerge w:val="continue"/>
            <w:vAlign w:val="center"/>
          </w:tcPr>
          <w:p w14:paraId="5674CA83">
            <w:pPr>
              <w:pStyle w:val="8"/>
              <w:suppressLineNumbers w:val="0"/>
              <w:bidi w:val="0"/>
              <w:spacing w:before="0" w:beforeAutospacing="0" w:after="0" w:afterAutospacing="0"/>
              <w:ind w:left="0" w:right="0"/>
              <w:rPr>
                <w:rFonts w:hint="default"/>
                <w:highlight w:val="none"/>
              </w:rPr>
            </w:pPr>
          </w:p>
        </w:tc>
        <w:tc>
          <w:tcPr>
            <w:tcW w:w="621" w:type="pct"/>
            <w:vMerge w:val="continue"/>
            <w:vAlign w:val="center"/>
          </w:tcPr>
          <w:p w14:paraId="62CF9461">
            <w:pPr>
              <w:pStyle w:val="8"/>
              <w:suppressLineNumbers w:val="0"/>
              <w:bidi w:val="0"/>
              <w:spacing w:before="0" w:beforeAutospacing="0" w:after="0" w:afterAutospacing="0"/>
              <w:ind w:left="0" w:right="0"/>
              <w:rPr>
                <w:rFonts w:hint="default"/>
                <w:highlight w:val="none"/>
              </w:rPr>
            </w:pPr>
          </w:p>
        </w:tc>
        <w:tc>
          <w:tcPr>
            <w:tcW w:w="468" w:type="pct"/>
            <w:vMerge w:val="continue"/>
            <w:vAlign w:val="center"/>
          </w:tcPr>
          <w:p w14:paraId="717F7789">
            <w:pPr>
              <w:pStyle w:val="8"/>
              <w:suppressLineNumbers w:val="0"/>
              <w:bidi w:val="0"/>
              <w:spacing w:before="0" w:beforeAutospacing="0" w:after="0" w:afterAutospacing="0"/>
              <w:ind w:left="0" w:right="0"/>
              <w:rPr>
                <w:rFonts w:hint="default"/>
                <w:highlight w:val="none"/>
              </w:rPr>
            </w:pPr>
          </w:p>
        </w:tc>
        <w:tc>
          <w:tcPr>
            <w:tcW w:w="640" w:type="pct"/>
            <w:vMerge w:val="continue"/>
            <w:vAlign w:val="center"/>
          </w:tcPr>
          <w:p w14:paraId="29FB21CE">
            <w:pPr>
              <w:pStyle w:val="8"/>
              <w:suppressLineNumbers w:val="0"/>
              <w:bidi w:val="0"/>
              <w:spacing w:before="0" w:beforeAutospacing="0" w:after="0" w:afterAutospacing="0"/>
              <w:ind w:left="0" w:right="0"/>
              <w:rPr>
                <w:rFonts w:hint="default"/>
                <w:highlight w:val="none"/>
              </w:rPr>
            </w:pPr>
          </w:p>
        </w:tc>
        <w:tc>
          <w:tcPr>
            <w:tcW w:w="389" w:type="pct"/>
            <w:vMerge w:val="continue"/>
            <w:vAlign w:val="center"/>
          </w:tcPr>
          <w:p w14:paraId="48EFE18E">
            <w:pPr>
              <w:pStyle w:val="8"/>
              <w:suppressLineNumbers w:val="0"/>
              <w:bidi w:val="0"/>
              <w:spacing w:before="0" w:beforeAutospacing="0" w:after="0" w:afterAutospacing="0"/>
              <w:ind w:left="0" w:right="0"/>
              <w:rPr>
                <w:rFonts w:hint="default"/>
                <w:highlight w:val="none"/>
              </w:rPr>
            </w:pPr>
          </w:p>
        </w:tc>
        <w:tc>
          <w:tcPr>
            <w:tcW w:w="259" w:type="pct"/>
            <w:vMerge w:val="continue"/>
            <w:vAlign w:val="center"/>
          </w:tcPr>
          <w:p w14:paraId="7936F6E2">
            <w:pPr>
              <w:pStyle w:val="8"/>
              <w:suppressLineNumbers w:val="0"/>
              <w:bidi w:val="0"/>
              <w:spacing w:before="0" w:beforeAutospacing="0" w:after="0" w:afterAutospacing="0"/>
              <w:ind w:left="0" w:right="0"/>
              <w:rPr>
                <w:rFonts w:hint="default"/>
                <w:highlight w:val="none"/>
              </w:rPr>
            </w:pPr>
          </w:p>
        </w:tc>
        <w:tc>
          <w:tcPr>
            <w:tcW w:w="245" w:type="pct"/>
            <w:vMerge w:val="continue"/>
            <w:vAlign w:val="center"/>
          </w:tcPr>
          <w:p w14:paraId="583D4E14">
            <w:pPr>
              <w:pStyle w:val="8"/>
              <w:suppressLineNumbers w:val="0"/>
              <w:bidi w:val="0"/>
              <w:spacing w:before="0" w:beforeAutospacing="0" w:after="0" w:afterAutospacing="0"/>
              <w:ind w:left="0" w:right="0"/>
              <w:rPr>
                <w:rFonts w:hint="default"/>
                <w:highlight w:val="none"/>
              </w:rPr>
            </w:pPr>
          </w:p>
        </w:tc>
      </w:tr>
      <w:tr w14:paraId="2C3DB6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63" w:type="pct"/>
            <w:vMerge w:val="restart"/>
            <w:vAlign w:val="center"/>
          </w:tcPr>
          <w:p w14:paraId="40C27F2F">
            <w:pPr>
              <w:pStyle w:val="8"/>
              <w:suppressLineNumbers w:val="0"/>
              <w:bidi w:val="0"/>
              <w:spacing w:before="0" w:beforeAutospacing="0" w:after="0" w:afterAutospacing="0"/>
              <w:ind w:left="0" w:right="0"/>
              <w:rPr>
                <w:rFonts w:hint="default"/>
                <w:highlight w:val="none"/>
              </w:rPr>
            </w:pPr>
            <w:r>
              <w:rPr>
                <w:rFonts w:hint="default"/>
                <w:highlight w:val="none"/>
              </w:rPr>
              <w:t>○1</w:t>
            </w:r>
            <w:r>
              <w:rPr>
                <w:rFonts w:hint="eastAsia"/>
                <w:highlight w:val="none"/>
                <w:lang w:val="en-US" w:eastAsia="zh-CN"/>
              </w:rPr>
              <w:t>厂址下风向处</w:t>
            </w:r>
          </w:p>
        </w:tc>
        <w:tc>
          <w:tcPr>
            <w:tcW w:w="1076" w:type="dxa"/>
            <w:vMerge w:val="restart"/>
            <w:vAlign w:val="center"/>
          </w:tcPr>
          <w:p w14:paraId="779C2AA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45.665608981</w:t>
            </w:r>
          </w:p>
        </w:tc>
        <w:tc>
          <w:tcPr>
            <w:tcW w:w="1161" w:type="dxa"/>
            <w:vMerge w:val="restart"/>
            <w:vAlign w:val="center"/>
          </w:tcPr>
          <w:p w14:paraId="20D6B85E">
            <w:pPr>
              <w:pStyle w:val="8"/>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126.726975539</w:t>
            </w:r>
          </w:p>
        </w:tc>
        <w:tc>
          <w:tcPr>
            <w:tcW w:w="525" w:type="pct"/>
            <w:vAlign w:val="center"/>
          </w:tcPr>
          <w:p w14:paraId="7E5EFCEF">
            <w:pPr>
              <w:pStyle w:val="8"/>
              <w:suppressLineNumbers w:val="0"/>
              <w:bidi w:val="0"/>
              <w:spacing w:before="0" w:beforeAutospacing="0" w:after="0" w:afterAutospacing="0"/>
              <w:ind w:left="0" w:right="0" w:firstLine="0" w:firstLineChars="0"/>
              <w:rPr>
                <w:rFonts w:hint="eastAsia"/>
                <w:highlight w:val="none"/>
                <w:lang w:val="en-US" w:eastAsia="zh-CN"/>
              </w:rPr>
            </w:pPr>
            <w:r>
              <w:rPr>
                <w:rFonts w:hint="default"/>
                <w:highlight w:val="none"/>
              </w:rPr>
              <w:t>非甲烷总烃</w:t>
            </w:r>
          </w:p>
        </w:tc>
        <w:tc>
          <w:tcPr>
            <w:tcW w:w="621" w:type="pct"/>
            <w:vAlign w:val="center"/>
          </w:tcPr>
          <w:p w14:paraId="3DCA89E7">
            <w:pPr>
              <w:pStyle w:val="8"/>
              <w:suppressLineNumbers w:val="0"/>
              <w:bidi w:val="0"/>
              <w:spacing w:before="0" w:beforeAutospacing="0" w:after="0" w:afterAutospacing="0"/>
              <w:ind w:left="0" w:right="0" w:firstLine="0" w:firstLineChars="0"/>
              <w:rPr>
                <w:rFonts w:hint="default"/>
                <w:highlight w:val="none"/>
              </w:rPr>
            </w:pPr>
            <w:r>
              <w:rPr>
                <w:rFonts w:hint="default"/>
                <w:highlight w:val="none"/>
              </w:rPr>
              <w:t>1h值</w:t>
            </w:r>
          </w:p>
        </w:tc>
        <w:tc>
          <w:tcPr>
            <w:tcW w:w="468" w:type="pct"/>
            <w:vAlign w:val="center"/>
          </w:tcPr>
          <w:p w14:paraId="7FA244C7">
            <w:pPr>
              <w:pStyle w:val="8"/>
              <w:suppressLineNumbers w:val="0"/>
              <w:bidi w:val="0"/>
              <w:spacing w:before="0" w:beforeAutospacing="0" w:after="0" w:afterAutospacing="0"/>
              <w:ind w:left="0" w:right="0" w:firstLine="0" w:firstLineChars="0"/>
              <w:rPr>
                <w:rFonts w:hint="default"/>
                <w:highlight w:val="none"/>
                <w:lang w:val="en-US" w:eastAsia="zh-CN"/>
              </w:rPr>
            </w:pPr>
            <w:r>
              <w:rPr>
                <w:rFonts w:hint="default"/>
                <w:highlight w:val="none"/>
              </w:rPr>
              <w:t>2000</w:t>
            </w:r>
          </w:p>
        </w:tc>
        <w:tc>
          <w:tcPr>
            <w:tcW w:w="640" w:type="pct"/>
            <w:vAlign w:val="center"/>
          </w:tcPr>
          <w:p w14:paraId="7570F652">
            <w:pPr>
              <w:pStyle w:val="8"/>
              <w:suppressLineNumbers w:val="0"/>
              <w:bidi w:val="0"/>
              <w:spacing w:before="0" w:beforeAutospacing="0" w:after="0" w:afterAutospacing="0"/>
              <w:ind w:left="0" w:right="0" w:firstLine="0" w:firstLineChars="0"/>
              <w:rPr>
                <w:rFonts w:hint="default" w:eastAsia="宋体"/>
                <w:highlight w:val="none"/>
                <w:lang w:val="en-US" w:eastAsia="zh-CN"/>
              </w:rPr>
            </w:pPr>
            <w:r>
              <w:rPr>
                <w:rFonts w:hint="eastAsia"/>
                <w:highlight w:val="none"/>
                <w:lang w:val="en-US" w:eastAsia="zh-CN"/>
              </w:rPr>
              <w:t>1020</w:t>
            </w:r>
            <w:r>
              <w:rPr>
                <w:rFonts w:hint="default"/>
                <w:highlight w:val="none"/>
              </w:rPr>
              <w:t>-</w:t>
            </w:r>
            <w:r>
              <w:rPr>
                <w:rFonts w:hint="eastAsia"/>
                <w:highlight w:val="none"/>
                <w:lang w:val="en-US" w:eastAsia="zh-CN"/>
              </w:rPr>
              <w:t>1140</w:t>
            </w:r>
          </w:p>
        </w:tc>
        <w:tc>
          <w:tcPr>
            <w:tcW w:w="389" w:type="pct"/>
            <w:vAlign w:val="center"/>
          </w:tcPr>
          <w:p w14:paraId="102EE154">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57</w:t>
            </w:r>
          </w:p>
        </w:tc>
        <w:tc>
          <w:tcPr>
            <w:tcW w:w="259" w:type="pct"/>
            <w:vMerge w:val="restart"/>
            <w:vAlign w:val="center"/>
          </w:tcPr>
          <w:p w14:paraId="220FFCE1">
            <w:pPr>
              <w:pStyle w:val="8"/>
              <w:suppressLineNumbers w:val="0"/>
              <w:bidi w:val="0"/>
              <w:spacing w:before="0" w:beforeAutospacing="0" w:after="0" w:afterAutospacing="0"/>
              <w:ind w:left="0" w:right="0"/>
              <w:rPr>
                <w:rFonts w:hint="default"/>
                <w:highlight w:val="none"/>
              </w:rPr>
            </w:pPr>
            <w:r>
              <w:rPr>
                <w:rFonts w:hint="default"/>
                <w:highlight w:val="none"/>
              </w:rPr>
              <w:t>/</w:t>
            </w:r>
          </w:p>
        </w:tc>
        <w:tc>
          <w:tcPr>
            <w:tcW w:w="245" w:type="pct"/>
            <w:vMerge w:val="restart"/>
            <w:vAlign w:val="center"/>
          </w:tcPr>
          <w:p w14:paraId="310F8AB7">
            <w:pPr>
              <w:pStyle w:val="8"/>
              <w:suppressLineNumbers w:val="0"/>
              <w:bidi w:val="0"/>
              <w:spacing w:before="0" w:beforeAutospacing="0" w:after="0" w:afterAutospacing="0"/>
              <w:ind w:left="0" w:right="0"/>
              <w:rPr>
                <w:rFonts w:hint="default"/>
                <w:highlight w:val="none"/>
              </w:rPr>
            </w:pPr>
            <w:r>
              <w:rPr>
                <w:rFonts w:hint="default"/>
                <w:highlight w:val="none"/>
              </w:rPr>
              <w:t>达标</w:t>
            </w:r>
          </w:p>
        </w:tc>
      </w:tr>
      <w:tr w14:paraId="78D23B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563" w:type="pct"/>
            <w:vMerge w:val="continue"/>
            <w:vAlign w:val="center"/>
          </w:tcPr>
          <w:p w14:paraId="3397AFD6">
            <w:pPr>
              <w:pStyle w:val="8"/>
              <w:suppressLineNumbers w:val="0"/>
              <w:bidi w:val="0"/>
              <w:spacing w:before="0" w:beforeAutospacing="0" w:after="0" w:afterAutospacing="0"/>
              <w:ind w:left="0" w:right="0"/>
              <w:rPr>
                <w:rFonts w:hint="default"/>
                <w:highlight w:val="none"/>
              </w:rPr>
            </w:pPr>
          </w:p>
        </w:tc>
        <w:tc>
          <w:tcPr>
            <w:tcW w:w="618" w:type="pct"/>
            <w:vMerge w:val="continue"/>
            <w:vAlign w:val="center"/>
          </w:tcPr>
          <w:p w14:paraId="2F28FC14">
            <w:pPr>
              <w:pStyle w:val="8"/>
              <w:suppressLineNumbers w:val="0"/>
              <w:bidi w:val="0"/>
              <w:spacing w:before="0" w:beforeAutospacing="0" w:after="0" w:afterAutospacing="0"/>
              <w:ind w:left="0" w:right="0"/>
              <w:rPr>
                <w:rFonts w:hint="default"/>
                <w:highlight w:val="none"/>
              </w:rPr>
            </w:pPr>
          </w:p>
        </w:tc>
        <w:tc>
          <w:tcPr>
            <w:tcW w:w="667" w:type="pct"/>
            <w:vMerge w:val="continue"/>
            <w:vAlign w:val="center"/>
          </w:tcPr>
          <w:p w14:paraId="04614A60">
            <w:pPr>
              <w:pStyle w:val="8"/>
              <w:suppressLineNumbers w:val="0"/>
              <w:bidi w:val="0"/>
              <w:spacing w:before="0" w:beforeAutospacing="0" w:after="0" w:afterAutospacing="0"/>
              <w:ind w:left="0" w:right="0"/>
              <w:rPr>
                <w:rFonts w:hint="default"/>
                <w:highlight w:val="none"/>
              </w:rPr>
            </w:pPr>
          </w:p>
        </w:tc>
        <w:tc>
          <w:tcPr>
            <w:tcW w:w="525" w:type="pct"/>
            <w:vAlign w:val="center"/>
          </w:tcPr>
          <w:p w14:paraId="6EE8FE0F">
            <w:pPr>
              <w:pStyle w:val="8"/>
              <w:suppressLineNumbers w:val="0"/>
              <w:bidi w:val="0"/>
              <w:spacing w:before="0" w:beforeAutospacing="0" w:after="0" w:afterAutospacing="0"/>
              <w:ind w:left="0" w:right="0" w:firstLine="0" w:firstLineChars="0"/>
              <w:rPr>
                <w:rFonts w:hint="default"/>
                <w:highlight w:val="none"/>
              </w:rPr>
            </w:pPr>
            <w:r>
              <w:rPr>
                <w:rFonts w:hint="eastAsia"/>
                <w:highlight w:val="none"/>
                <w:lang w:val="en-US" w:eastAsia="zh-CN"/>
              </w:rPr>
              <w:t>TSP</w:t>
            </w:r>
          </w:p>
        </w:tc>
        <w:tc>
          <w:tcPr>
            <w:tcW w:w="621" w:type="pct"/>
            <w:vAlign w:val="center"/>
          </w:tcPr>
          <w:p w14:paraId="5AC65A65">
            <w:pPr>
              <w:pStyle w:val="8"/>
              <w:suppressLineNumbers w:val="0"/>
              <w:bidi w:val="0"/>
              <w:spacing w:before="0" w:beforeAutospacing="0" w:after="0" w:afterAutospacing="0"/>
              <w:ind w:left="0" w:right="0" w:firstLine="0" w:firstLineChars="0"/>
              <w:rPr>
                <w:rFonts w:hint="default"/>
                <w:highlight w:val="none"/>
              </w:rPr>
            </w:pPr>
            <w:r>
              <w:rPr>
                <w:rFonts w:hint="eastAsia"/>
                <w:highlight w:val="none"/>
                <w:lang w:val="en-US" w:eastAsia="zh-CN"/>
              </w:rPr>
              <w:t>日均</w:t>
            </w:r>
            <w:r>
              <w:rPr>
                <w:rFonts w:hint="default"/>
                <w:highlight w:val="none"/>
              </w:rPr>
              <w:t>值</w:t>
            </w:r>
          </w:p>
        </w:tc>
        <w:tc>
          <w:tcPr>
            <w:tcW w:w="468" w:type="pct"/>
            <w:vAlign w:val="center"/>
          </w:tcPr>
          <w:p w14:paraId="27A11522">
            <w:pPr>
              <w:pStyle w:val="8"/>
              <w:suppressLineNumbers w:val="0"/>
              <w:bidi w:val="0"/>
              <w:spacing w:before="0" w:beforeAutospacing="0" w:after="0" w:afterAutospacing="0"/>
              <w:ind w:left="0" w:right="0" w:firstLine="0" w:firstLineChars="0"/>
              <w:rPr>
                <w:rFonts w:hint="default"/>
                <w:highlight w:val="none"/>
              </w:rPr>
            </w:pPr>
            <w:r>
              <w:rPr>
                <w:rFonts w:hint="eastAsia"/>
                <w:highlight w:val="none"/>
                <w:lang w:val="en-US" w:eastAsia="zh-CN"/>
              </w:rPr>
              <w:t>300</w:t>
            </w:r>
          </w:p>
        </w:tc>
        <w:tc>
          <w:tcPr>
            <w:tcW w:w="640" w:type="pct"/>
            <w:vAlign w:val="center"/>
          </w:tcPr>
          <w:p w14:paraId="0A2348B5">
            <w:pPr>
              <w:pStyle w:val="8"/>
              <w:suppressLineNumbers w:val="0"/>
              <w:bidi w:val="0"/>
              <w:spacing w:before="0" w:beforeAutospacing="0" w:after="0" w:afterAutospacing="0"/>
              <w:ind w:left="0" w:right="0" w:firstLine="0" w:firstLineChars="0"/>
              <w:rPr>
                <w:rFonts w:hint="default"/>
                <w:highlight w:val="none"/>
                <w:lang w:val="en-US"/>
              </w:rPr>
            </w:pPr>
            <w:r>
              <w:rPr>
                <w:rFonts w:hint="eastAsia"/>
                <w:highlight w:val="none"/>
                <w:lang w:val="en-US" w:eastAsia="zh-CN"/>
              </w:rPr>
              <w:t>97-127</w:t>
            </w:r>
          </w:p>
        </w:tc>
        <w:tc>
          <w:tcPr>
            <w:tcW w:w="389" w:type="pct"/>
            <w:vAlign w:val="center"/>
          </w:tcPr>
          <w:p w14:paraId="20C2B240">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42.3</w:t>
            </w:r>
          </w:p>
        </w:tc>
        <w:tc>
          <w:tcPr>
            <w:tcW w:w="259" w:type="pct"/>
            <w:vMerge w:val="continue"/>
            <w:vAlign w:val="center"/>
          </w:tcPr>
          <w:p w14:paraId="5324019F">
            <w:pPr>
              <w:pStyle w:val="8"/>
              <w:suppressLineNumbers w:val="0"/>
              <w:bidi w:val="0"/>
              <w:spacing w:before="0" w:beforeAutospacing="0" w:after="0" w:afterAutospacing="0"/>
              <w:ind w:left="0" w:right="0"/>
              <w:rPr>
                <w:rFonts w:hint="default"/>
                <w:highlight w:val="none"/>
              </w:rPr>
            </w:pPr>
          </w:p>
        </w:tc>
        <w:tc>
          <w:tcPr>
            <w:tcW w:w="245" w:type="pct"/>
            <w:vMerge w:val="continue"/>
            <w:vAlign w:val="center"/>
          </w:tcPr>
          <w:p w14:paraId="0556DEA5">
            <w:pPr>
              <w:pStyle w:val="8"/>
              <w:suppressLineNumbers w:val="0"/>
              <w:bidi w:val="0"/>
              <w:spacing w:before="0" w:beforeAutospacing="0" w:after="0" w:afterAutospacing="0"/>
              <w:ind w:left="0" w:right="0"/>
              <w:rPr>
                <w:rFonts w:hint="default"/>
                <w:highlight w:val="none"/>
              </w:rPr>
            </w:pPr>
          </w:p>
        </w:tc>
      </w:tr>
    </w:tbl>
    <w:p w14:paraId="10DB29C3">
      <w:pPr>
        <w:bidi w:val="0"/>
        <w:rPr>
          <w:rFonts w:hAnsiTheme="minorEastAsia" w:eastAsiaTheme="minorEastAsia"/>
          <w:b/>
          <w:sz w:val="24"/>
          <w:highlight w:val="none"/>
        </w:rPr>
      </w:pPr>
      <w:r>
        <w:rPr>
          <w:rFonts w:hint="default" w:ascii="Times New Roman" w:hAnsi="Times New Roman" w:eastAsia="宋体" w:cs="Times New Roman"/>
          <w:spacing w:val="0"/>
          <w:position w:val="0"/>
          <w:highlight w:val="none"/>
        </w:rPr>
        <w:t>通过监测结果表明，</w:t>
      </w:r>
      <w:r>
        <w:rPr>
          <w:rFonts w:hint="eastAsia" w:ascii="Times New Roman" w:hAnsi="Times New Roman" w:eastAsia="宋体" w:cs="Times New Roman"/>
          <w:spacing w:val="0"/>
          <w:position w:val="0"/>
          <w:highlight w:val="none"/>
          <w:lang w:val="en-US" w:eastAsia="zh-CN"/>
        </w:rPr>
        <w:t>TSP</w:t>
      </w:r>
      <w:r>
        <w:rPr>
          <w:rFonts w:hint="default" w:ascii="Times New Roman" w:hAnsi="Times New Roman" w:eastAsia="宋体" w:cs="Times New Roman"/>
          <w:spacing w:val="0"/>
          <w:position w:val="0"/>
          <w:highlight w:val="none"/>
        </w:rPr>
        <w:t>满足</w:t>
      </w:r>
      <w:r>
        <w:rPr>
          <w:rFonts w:hint="eastAsia" w:ascii="Times New Roman" w:hAnsi="宋体" w:eastAsia="宋体" w:cs="Times New Roman"/>
          <w:sz w:val="24"/>
          <w:szCs w:val="24"/>
          <w:highlight w:val="none"/>
        </w:rPr>
        <w:t>《环境空气质量标准》（</w:t>
      </w:r>
      <w:r>
        <w:rPr>
          <w:rFonts w:ascii="Times New Roman" w:hAnsi="宋体" w:eastAsia="宋体" w:cs="Times New Roman"/>
          <w:sz w:val="24"/>
          <w:szCs w:val="24"/>
          <w:highlight w:val="none"/>
        </w:rPr>
        <w:t>GB3095</w:t>
      </w:r>
      <w:r>
        <w:rPr>
          <w:rFonts w:hint="eastAsia" w:ascii="Times New Roman" w:hAnsi="宋体" w:eastAsia="宋体" w:cs="Times New Roman"/>
          <w:sz w:val="24"/>
          <w:szCs w:val="24"/>
          <w:highlight w:val="none"/>
        </w:rPr>
        <w:t>-</w:t>
      </w:r>
      <w:r>
        <w:rPr>
          <w:rFonts w:ascii="Times New Roman" w:hAnsi="宋体" w:eastAsia="宋体" w:cs="Times New Roman"/>
          <w:sz w:val="24"/>
          <w:szCs w:val="24"/>
          <w:highlight w:val="none"/>
        </w:rPr>
        <w:t>20</w:t>
      </w:r>
      <w:r>
        <w:rPr>
          <w:rFonts w:hint="eastAsia" w:hAnsi="宋体" w:cs="Times New Roman"/>
          <w:sz w:val="24"/>
          <w:szCs w:val="24"/>
          <w:highlight w:val="none"/>
          <w:lang w:val="en-US" w:eastAsia="zh-CN"/>
        </w:rPr>
        <w:t>26</w:t>
      </w:r>
      <w:r>
        <w:rPr>
          <w:rFonts w:hint="eastAsia" w:ascii="Times New Roman" w:hAnsi="宋体" w:eastAsia="宋体" w:cs="Times New Roman"/>
          <w:sz w:val="24"/>
          <w:szCs w:val="24"/>
          <w:highlight w:val="none"/>
        </w:rPr>
        <w:t>）</w:t>
      </w:r>
      <w:r>
        <w:rPr>
          <w:rFonts w:hint="default" w:ascii="Times New Roman" w:hAnsi="Times New Roman" w:cs="Times New Roman"/>
          <w:snapToGrid w:val="0"/>
          <w:kern w:val="0"/>
          <w:szCs w:val="21"/>
          <w:highlight w:val="none"/>
        </w:rPr>
        <w:t>过渡阶段二级标准</w:t>
      </w:r>
      <w:r>
        <w:rPr>
          <w:rFonts w:hint="default" w:ascii="Times New Roman" w:hAnsi="Times New Roman" w:eastAsia="宋体" w:cs="Times New Roman"/>
          <w:spacing w:val="0"/>
          <w:position w:val="0"/>
          <w:highlight w:val="none"/>
        </w:rPr>
        <w:t>，非甲烷总烃满足</w:t>
      </w:r>
      <w:r>
        <w:rPr>
          <w:rFonts w:hint="default" w:ascii="Times New Roman" w:hAnsi="Times New Roman" w:cs="Times New Roman"/>
          <w:spacing w:val="0"/>
          <w:position w:val="0"/>
          <w:highlight w:val="none"/>
        </w:rPr>
        <w:t>《大气污染物综合排放</w:t>
      </w:r>
      <w:r>
        <w:rPr>
          <w:rFonts w:hint="default" w:ascii="Times New Roman" w:hAnsi="Times New Roman" w:eastAsia="宋体" w:cs="Times New Roman"/>
          <w:spacing w:val="0"/>
          <w:position w:val="0"/>
          <w:highlight w:val="none"/>
        </w:rPr>
        <w:t>标准详解》要求</w:t>
      </w:r>
      <w:r>
        <w:rPr>
          <w:rFonts w:ascii="Times New Roman" w:cs="Times New Roman" w:hAnsiTheme="minorEastAsia"/>
          <w:highlight w:val="none"/>
        </w:rPr>
        <w:t>。</w:t>
      </w:r>
    </w:p>
    <w:p w14:paraId="0F031A6B">
      <w:pPr>
        <w:pStyle w:val="5"/>
        <w:bidi w:val="0"/>
        <w:rPr>
          <w:highlight w:val="none"/>
        </w:rPr>
      </w:pPr>
      <w:bookmarkStart w:id="307" w:name="_Toc238"/>
      <w:r>
        <w:rPr>
          <w:highlight w:val="none"/>
        </w:rPr>
        <w:t>4.2.2地表水现状评价</w:t>
      </w:r>
      <w:bookmarkEnd w:id="306"/>
      <w:bookmarkEnd w:id="307"/>
    </w:p>
    <w:p w14:paraId="1119A04C">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本项目</w:t>
      </w:r>
      <w:r>
        <w:rPr>
          <w:rFonts w:hint="eastAsia" w:ascii="Times New Roman" w:hAnsi="Times New Roman" w:eastAsia="宋体" w:cs="Times New Roman"/>
          <w:highlight w:val="none"/>
          <w:lang w:eastAsia="zh-CN"/>
        </w:rPr>
        <w:t>附近</w:t>
      </w:r>
      <w:r>
        <w:rPr>
          <w:rFonts w:hint="default" w:ascii="Times New Roman" w:hAnsi="Times New Roman" w:eastAsia="宋体" w:cs="Times New Roman"/>
          <w:highlight w:val="none"/>
          <w:lang w:eastAsia="zh-CN"/>
        </w:rPr>
        <w:t>地表水水体为</w:t>
      </w:r>
      <w:r>
        <w:rPr>
          <w:rFonts w:hint="eastAsia" w:cs="Times New Roman"/>
          <w:highlight w:val="none"/>
          <w:lang w:eastAsia="zh-CN"/>
        </w:rPr>
        <w:t>马家沟河</w:t>
      </w:r>
      <w:r>
        <w:rPr>
          <w:rFonts w:hint="default" w:ascii="Times New Roman" w:hAnsi="Times New Roman" w:eastAsia="宋体" w:cs="Times New Roman"/>
          <w:highlight w:val="none"/>
          <w:lang w:eastAsia="zh-CN"/>
        </w:rPr>
        <w:t>，</w:t>
      </w:r>
      <w:r>
        <w:rPr>
          <w:rFonts w:hint="eastAsia" w:ascii="Times New Roman" w:hAnsi="Times New Roman" w:eastAsia="宋体" w:cs="Times New Roman"/>
          <w:highlight w:val="none"/>
          <w:lang w:eastAsia="zh-CN"/>
        </w:rPr>
        <w:t>暂无相关监测数据，故采用其汇入水体</w:t>
      </w:r>
      <w:r>
        <w:rPr>
          <w:rFonts w:hint="eastAsia" w:cs="Times New Roman"/>
          <w:highlight w:val="none"/>
          <w:lang w:eastAsia="zh-CN"/>
        </w:rPr>
        <w:t>松花江干流</w:t>
      </w:r>
      <w:r>
        <w:rPr>
          <w:rFonts w:hint="eastAsia" w:ascii="Times New Roman" w:hAnsi="Times New Roman" w:eastAsia="宋体" w:cs="Times New Roman"/>
          <w:highlight w:val="none"/>
          <w:lang w:eastAsia="zh-CN"/>
        </w:rPr>
        <w:t>数据，</w:t>
      </w:r>
      <w:r>
        <w:rPr>
          <w:rFonts w:hint="default" w:ascii="Times New Roman" w:hAnsi="Times New Roman" w:eastAsia="宋体" w:cs="Times New Roman"/>
          <w:highlight w:val="none"/>
          <w:lang w:val="en-US" w:eastAsia="zh-CN"/>
        </w:rPr>
        <w:t>根据《2024年哈尔滨生态环境质量状况年报》，2024年，松花江干流哈尔滨段总体水质为优。监测的10个断面中，I类断面10个，占100%，无I类、II类、IV类、V类、劣V类断面</w:t>
      </w:r>
      <w:r>
        <w:rPr>
          <w:rFonts w:hint="default" w:ascii="Times New Roman" w:hAnsi="Times New Roman" w:eastAsia="宋体" w:cs="Times New Roman"/>
          <w:highlight w:val="none"/>
          <w:lang w:eastAsia="zh-CN"/>
        </w:rPr>
        <w:t>。</w:t>
      </w:r>
    </w:p>
    <w:p w14:paraId="4B985F0C">
      <w:pPr>
        <w:pStyle w:val="5"/>
        <w:bidi w:val="0"/>
        <w:rPr>
          <w:highlight w:val="none"/>
        </w:rPr>
      </w:pPr>
      <w:bookmarkStart w:id="308" w:name="_Toc23297"/>
      <w:bookmarkStart w:id="309" w:name="_Toc6292"/>
      <w:r>
        <w:rPr>
          <w:highlight w:val="none"/>
        </w:rPr>
        <w:t>4.2.3地下水质量现状评价</w:t>
      </w:r>
      <w:bookmarkEnd w:id="308"/>
      <w:bookmarkEnd w:id="309"/>
    </w:p>
    <w:p w14:paraId="1C07AD56">
      <w:pPr>
        <w:pStyle w:val="6"/>
        <w:bidi w:val="0"/>
        <w:rPr>
          <w:highlight w:val="none"/>
        </w:rPr>
      </w:pPr>
      <w:r>
        <w:rPr>
          <w:highlight w:val="none"/>
        </w:rPr>
        <w:t>4.2.3.1地下水环境现状监测</w:t>
      </w:r>
    </w:p>
    <w:p w14:paraId="3C0B8FE0">
      <w:pPr>
        <w:bidi w:val="0"/>
        <w:rPr>
          <w:highlight w:val="none"/>
        </w:rPr>
      </w:pPr>
      <w:bookmarkStart w:id="310" w:name="_Toc16358"/>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监测点位</w:t>
      </w:r>
      <w:bookmarkEnd w:id="310"/>
    </w:p>
    <w:p w14:paraId="4A9412C1">
      <w:pPr>
        <w:bidi w:val="0"/>
        <w:rPr>
          <w:rFonts w:hint="eastAsia"/>
          <w:highlight w:val="none"/>
          <w:lang w:val="en-US" w:eastAsia="zh-CN"/>
        </w:rPr>
      </w:pPr>
      <w:r>
        <w:rPr>
          <w:rFonts w:hint="eastAsia"/>
          <w:highlight w:val="none"/>
          <w:lang w:val="en-US" w:eastAsia="zh-CN"/>
        </w:rPr>
        <w:t>根据《环境影响评价技术导则地下水环境》（</w:t>
      </w:r>
      <w:r>
        <w:rPr>
          <w:rFonts w:hint="default"/>
          <w:highlight w:val="none"/>
          <w:lang w:val="en-US" w:eastAsia="zh-CN"/>
        </w:rPr>
        <w:t>HJ610-2011</w:t>
      </w:r>
      <w:r>
        <w:rPr>
          <w:rFonts w:hint="eastAsia"/>
          <w:highlight w:val="none"/>
          <w:lang w:val="en-US" w:eastAsia="zh-CN"/>
        </w:rPr>
        <w:t>）关于地下水环境监测布点原则的规定，结合项目区域用水的实际情况和地下水环境评价等级要求，本项目在厂址内及周围共布设10个地下水水质和水位监测点，另设10个水位监测点。本项目地下水监测点位见下表。</w:t>
      </w:r>
    </w:p>
    <w:p w14:paraId="6A045ABC">
      <w:pPr>
        <w:pStyle w:val="7"/>
        <w:bidi w:val="0"/>
        <w:rPr>
          <w:rFonts w:hint="default"/>
          <w:highlight w:val="none"/>
        </w:rPr>
      </w:pPr>
      <w:r>
        <w:rPr>
          <w:rFonts w:hint="default"/>
          <w:highlight w:val="none"/>
        </w:rPr>
        <w:t>表4-2-</w:t>
      </w:r>
      <w:r>
        <w:rPr>
          <w:rFonts w:hint="eastAsia"/>
          <w:highlight w:val="none"/>
          <w:lang w:val="en-US" w:eastAsia="zh-CN"/>
        </w:rPr>
        <w:t>4</w:t>
      </w:r>
      <w:r>
        <w:rPr>
          <w:rFonts w:hint="default"/>
          <w:highlight w:val="none"/>
        </w:rPr>
        <w:t>项目地下水现状监测点位表</w:t>
      </w:r>
    </w:p>
    <w:tbl>
      <w:tblPr>
        <w:tblStyle w:val="4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01"/>
        <w:gridCol w:w="1422"/>
        <w:gridCol w:w="993"/>
        <w:gridCol w:w="649"/>
        <w:gridCol w:w="1185"/>
        <w:gridCol w:w="1259"/>
        <w:gridCol w:w="684"/>
        <w:gridCol w:w="1011"/>
        <w:gridCol w:w="818"/>
      </w:tblGrid>
      <w:tr w14:paraId="384302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7036A1A0">
            <w:pPr>
              <w:pStyle w:val="8"/>
              <w:suppressLineNumbers w:val="0"/>
              <w:bidi w:val="0"/>
              <w:spacing w:before="0" w:beforeAutospacing="0" w:after="0" w:afterAutospacing="0"/>
              <w:ind w:left="0" w:right="0"/>
              <w:jc w:val="center"/>
              <w:rPr>
                <w:rFonts w:hint="default"/>
                <w:highlight w:val="none"/>
              </w:rPr>
            </w:pPr>
            <w:r>
              <w:rPr>
                <w:rFonts w:hint="default"/>
                <w:highlight w:val="none"/>
              </w:rPr>
              <w:t>序号</w:t>
            </w:r>
          </w:p>
        </w:tc>
        <w:tc>
          <w:tcPr>
            <w:tcW w:w="1422" w:type="dxa"/>
            <w:vAlign w:val="center"/>
          </w:tcPr>
          <w:p w14:paraId="0B8F3D19">
            <w:pPr>
              <w:pStyle w:val="8"/>
              <w:suppressLineNumbers w:val="0"/>
              <w:bidi w:val="0"/>
              <w:spacing w:before="0" w:beforeAutospacing="0" w:after="0" w:afterAutospacing="0"/>
              <w:ind w:left="0" w:right="0"/>
              <w:jc w:val="center"/>
              <w:rPr>
                <w:rFonts w:hint="default"/>
                <w:highlight w:val="none"/>
              </w:rPr>
            </w:pPr>
            <w:r>
              <w:rPr>
                <w:rFonts w:hint="default"/>
                <w:highlight w:val="none"/>
              </w:rPr>
              <w:t>监测点位</w:t>
            </w:r>
          </w:p>
        </w:tc>
        <w:tc>
          <w:tcPr>
            <w:tcW w:w="993" w:type="dxa"/>
            <w:vAlign w:val="center"/>
          </w:tcPr>
          <w:p w14:paraId="06448A9B">
            <w:pPr>
              <w:pStyle w:val="8"/>
              <w:suppressLineNumbers w:val="0"/>
              <w:bidi w:val="0"/>
              <w:spacing w:before="0" w:beforeAutospacing="0" w:after="0" w:afterAutospacing="0"/>
              <w:ind w:left="0" w:right="0"/>
              <w:jc w:val="center"/>
              <w:rPr>
                <w:rFonts w:hint="default"/>
                <w:highlight w:val="none"/>
              </w:rPr>
            </w:pPr>
            <w:r>
              <w:rPr>
                <w:rFonts w:hint="default"/>
                <w:highlight w:val="none"/>
              </w:rPr>
              <w:t>监测项目</w:t>
            </w:r>
          </w:p>
        </w:tc>
        <w:tc>
          <w:tcPr>
            <w:tcW w:w="649" w:type="dxa"/>
            <w:vAlign w:val="center"/>
          </w:tcPr>
          <w:p w14:paraId="742F1EDA">
            <w:pPr>
              <w:pStyle w:val="8"/>
              <w:suppressLineNumbers w:val="0"/>
              <w:bidi w:val="0"/>
              <w:spacing w:before="0" w:beforeAutospacing="0" w:after="0" w:afterAutospacing="0"/>
              <w:ind w:left="0" w:right="0"/>
              <w:jc w:val="center"/>
              <w:rPr>
                <w:rFonts w:hint="default"/>
                <w:highlight w:val="none"/>
              </w:rPr>
            </w:pPr>
            <w:r>
              <w:rPr>
                <w:rFonts w:hint="default"/>
                <w:highlight w:val="none"/>
              </w:rPr>
              <w:t>含水层</w:t>
            </w:r>
          </w:p>
        </w:tc>
        <w:tc>
          <w:tcPr>
            <w:tcW w:w="1185" w:type="dxa"/>
            <w:tcBorders>
              <w:right w:val="single" w:color="auto" w:sz="2" w:space="0"/>
            </w:tcBorders>
            <w:vAlign w:val="center"/>
          </w:tcPr>
          <w:p w14:paraId="658C0C6E">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丰水期</w:t>
            </w:r>
            <w:r>
              <w:rPr>
                <w:rFonts w:hint="default"/>
                <w:highlight w:val="none"/>
              </w:rPr>
              <w:t>水位</w:t>
            </w:r>
            <w:r>
              <w:rPr>
                <w:rFonts w:hint="eastAsia"/>
                <w:highlight w:val="none"/>
                <w:lang w:val="en-US" w:eastAsia="zh-CN"/>
              </w:rPr>
              <w:t>标高（2025.9）</w:t>
            </w:r>
            <w:r>
              <w:rPr>
                <w:rFonts w:hint="default"/>
                <w:highlight w:val="none"/>
              </w:rPr>
              <w:t>（m）</w:t>
            </w:r>
          </w:p>
        </w:tc>
        <w:tc>
          <w:tcPr>
            <w:tcW w:w="1259" w:type="dxa"/>
            <w:tcBorders>
              <w:left w:val="single" w:color="auto" w:sz="2" w:space="0"/>
            </w:tcBorders>
            <w:vAlign w:val="center"/>
          </w:tcPr>
          <w:p w14:paraId="6E7D38B4">
            <w:pPr>
              <w:pStyle w:val="8"/>
              <w:suppressLineNumbers w:val="0"/>
              <w:bidi w:val="0"/>
              <w:spacing w:before="0" w:beforeAutospacing="0" w:after="0" w:afterAutospacing="0"/>
              <w:ind w:left="0" w:right="0"/>
              <w:jc w:val="center"/>
              <w:rPr>
                <w:rFonts w:hint="eastAsia" w:eastAsia="宋体"/>
                <w:highlight w:val="none"/>
                <w:lang w:val="en-US" w:eastAsia="zh-CN"/>
              </w:rPr>
            </w:pPr>
            <w:r>
              <w:rPr>
                <w:rFonts w:hint="eastAsia"/>
                <w:highlight w:val="none"/>
                <w:lang w:val="en-US" w:eastAsia="zh-CN"/>
              </w:rPr>
              <w:t>枯水期</w:t>
            </w:r>
            <w:r>
              <w:rPr>
                <w:rFonts w:hint="default"/>
                <w:highlight w:val="none"/>
              </w:rPr>
              <w:t>水位</w:t>
            </w:r>
            <w:r>
              <w:rPr>
                <w:rFonts w:hint="eastAsia"/>
                <w:highlight w:val="none"/>
                <w:lang w:val="en-US" w:eastAsia="zh-CN"/>
              </w:rPr>
              <w:t>标高（2025.11）</w:t>
            </w:r>
            <w:r>
              <w:rPr>
                <w:rFonts w:hint="default"/>
                <w:highlight w:val="none"/>
              </w:rPr>
              <w:t>（m）</w:t>
            </w:r>
          </w:p>
        </w:tc>
        <w:tc>
          <w:tcPr>
            <w:tcW w:w="684" w:type="dxa"/>
            <w:tcBorders>
              <w:left w:val="single" w:color="auto" w:sz="2" w:space="0"/>
            </w:tcBorders>
            <w:vAlign w:val="center"/>
          </w:tcPr>
          <w:p w14:paraId="2AA63FCB">
            <w:pPr>
              <w:pStyle w:val="8"/>
              <w:suppressLineNumbers w:val="0"/>
              <w:bidi w:val="0"/>
              <w:spacing w:before="0" w:beforeAutospacing="0" w:after="0" w:afterAutospacing="0"/>
              <w:ind w:left="0" w:right="0"/>
              <w:jc w:val="center"/>
              <w:rPr>
                <w:rFonts w:hint="default"/>
                <w:highlight w:val="none"/>
              </w:rPr>
            </w:pPr>
            <w:r>
              <w:rPr>
                <w:rFonts w:hint="default"/>
                <w:highlight w:val="none"/>
              </w:rPr>
              <w:t>井深（m）</w:t>
            </w:r>
          </w:p>
        </w:tc>
        <w:tc>
          <w:tcPr>
            <w:tcW w:w="1011" w:type="dxa"/>
            <w:tcBorders>
              <w:left w:val="single" w:color="auto" w:sz="2" w:space="0"/>
            </w:tcBorders>
            <w:vAlign w:val="center"/>
          </w:tcPr>
          <w:p w14:paraId="6D386A0A">
            <w:pPr>
              <w:pStyle w:val="8"/>
              <w:suppressLineNumbers w:val="0"/>
              <w:bidi w:val="0"/>
              <w:spacing w:before="0" w:beforeAutospacing="0" w:after="0" w:afterAutospacing="0"/>
              <w:ind w:left="0" w:right="0"/>
              <w:jc w:val="center"/>
              <w:rPr>
                <w:rFonts w:hint="default" w:eastAsia="宋体"/>
                <w:highlight w:val="none"/>
                <w:lang w:val="en-US" w:eastAsia="zh-CN"/>
              </w:rPr>
            </w:pPr>
            <w:r>
              <w:rPr>
                <w:rFonts w:hint="eastAsia"/>
                <w:highlight w:val="none"/>
                <w:lang w:val="en-US" w:eastAsia="zh-CN"/>
              </w:rPr>
              <w:t>成井历史、功能</w:t>
            </w:r>
          </w:p>
        </w:tc>
        <w:tc>
          <w:tcPr>
            <w:tcW w:w="818" w:type="dxa"/>
            <w:tcBorders>
              <w:left w:val="single" w:color="auto" w:sz="2" w:space="0"/>
            </w:tcBorders>
            <w:vAlign w:val="center"/>
          </w:tcPr>
          <w:p w14:paraId="5801F6C7">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井结构</w:t>
            </w:r>
          </w:p>
        </w:tc>
      </w:tr>
      <w:tr w14:paraId="695C92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227BBD3D">
            <w:pPr>
              <w:pStyle w:val="8"/>
              <w:suppressLineNumbers w:val="0"/>
              <w:bidi w:val="0"/>
              <w:spacing w:before="0" w:beforeAutospacing="0" w:after="0" w:afterAutospacing="0"/>
              <w:ind w:left="0" w:right="0"/>
              <w:jc w:val="center"/>
              <w:rPr>
                <w:rFonts w:hint="default"/>
                <w:highlight w:val="none"/>
              </w:rPr>
            </w:pPr>
            <w:r>
              <w:rPr>
                <w:rFonts w:hint="default"/>
                <w:highlight w:val="none"/>
              </w:rPr>
              <w:t>1</w:t>
            </w:r>
          </w:p>
        </w:tc>
        <w:tc>
          <w:tcPr>
            <w:tcW w:w="1422" w:type="dxa"/>
            <w:vAlign w:val="center"/>
          </w:tcPr>
          <w:p w14:paraId="3B0B647E">
            <w:pPr>
              <w:pStyle w:val="8"/>
              <w:suppressLineNumbers w:val="0"/>
              <w:bidi w:val="0"/>
              <w:spacing w:before="0" w:beforeAutospacing="0" w:after="0" w:afterAutospacing="0"/>
              <w:ind w:left="0" w:right="0"/>
              <w:jc w:val="center"/>
              <w:rPr>
                <w:rFonts w:hint="default"/>
                <w:highlight w:val="none"/>
              </w:rPr>
            </w:pPr>
            <w:r>
              <w:rPr>
                <w:rFonts w:hint="default"/>
                <w:highlight w:val="none"/>
                <w:lang w:val="en-US" w:eastAsia="zh-CN"/>
              </w:rPr>
              <w:t>1#</w:t>
            </w:r>
            <w:r>
              <w:rPr>
                <w:rFonts w:hint="eastAsia"/>
                <w:highlight w:val="none"/>
                <w:lang w:val="en-US" w:eastAsia="zh-CN"/>
              </w:rPr>
              <w:t>厂址下游</w:t>
            </w:r>
          </w:p>
        </w:tc>
        <w:tc>
          <w:tcPr>
            <w:tcW w:w="993" w:type="dxa"/>
            <w:vAlign w:val="center"/>
          </w:tcPr>
          <w:p w14:paraId="6252C144">
            <w:pPr>
              <w:pStyle w:val="8"/>
              <w:suppressLineNumbers w:val="0"/>
              <w:bidi w:val="0"/>
              <w:spacing w:before="0" w:beforeAutospacing="0" w:after="0" w:afterAutospacing="0"/>
              <w:ind w:left="0" w:right="0" w:firstLine="0" w:firstLineChars="0"/>
              <w:jc w:val="center"/>
              <w:rPr>
                <w:rFonts w:hint="default"/>
                <w:highlight w:val="none"/>
              </w:rPr>
            </w:pPr>
            <w:r>
              <w:rPr>
                <w:rFonts w:hint="eastAsia"/>
                <w:highlight w:val="none"/>
                <w:lang w:val="en-US" w:eastAsia="zh-CN"/>
              </w:rPr>
              <w:t>水质、水位</w:t>
            </w:r>
          </w:p>
        </w:tc>
        <w:tc>
          <w:tcPr>
            <w:tcW w:w="649" w:type="dxa"/>
            <w:vAlign w:val="center"/>
          </w:tcPr>
          <w:p w14:paraId="2A2F018B">
            <w:pPr>
              <w:pStyle w:val="8"/>
              <w:suppressLineNumbers w:val="0"/>
              <w:bidi w:val="0"/>
              <w:spacing w:before="0" w:beforeAutospacing="0" w:after="0" w:afterAutospacing="0"/>
              <w:ind w:left="0" w:right="0" w:firstLine="0" w:firstLineChars="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潜水水层</w:t>
            </w:r>
          </w:p>
        </w:tc>
        <w:tc>
          <w:tcPr>
            <w:tcW w:w="1185" w:type="dxa"/>
            <w:tcBorders>
              <w:right w:val="single" w:color="auto" w:sz="2" w:space="0"/>
            </w:tcBorders>
            <w:vAlign w:val="center"/>
          </w:tcPr>
          <w:p w14:paraId="07DAFAC8">
            <w:pPr>
              <w:pStyle w:val="8"/>
              <w:suppressLineNumbers w:val="0"/>
              <w:bidi w:val="0"/>
              <w:spacing w:before="0" w:beforeAutospacing="0" w:after="0" w:afterAutospacing="0"/>
              <w:ind w:left="0" w:right="0" w:firstLine="0" w:firstLineChars="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144.3</w:t>
            </w:r>
          </w:p>
        </w:tc>
        <w:tc>
          <w:tcPr>
            <w:tcW w:w="1259" w:type="dxa"/>
            <w:tcBorders>
              <w:left w:val="single" w:color="auto" w:sz="2" w:space="0"/>
            </w:tcBorders>
            <w:vAlign w:val="center"/>
          </w:tcPr>
          <w:p w14:paraId="1D5A4463">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142.6</w:t>
            </w:r>
          </w:p>
        </w:tc>
        <w:tc>
          <w:tcPr>
            <w:tcW w:w="684" w:type="dxa"/>
            <w:tcBorders>
              <w:left w:val="single" w:color="auto" w:sz="2" w:space="0"/>
            </w:tcBorders>
            <w:vAlign w:val="center"/>
          </w:tcPr>
          <w:p w14:paraId="57605435">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70</w:t>
            </w:r>
          </w:p>
        </w:tc>
        <w:tc>
          <w:tcPr>
            <w:tcW w:w="1011" w:type="dxa"/>
            <w:tcBorders>
              <w:left w:val="single" w:color="auto" w:sz="2" w:space="0"/>
            </w:tcBorders>
            <w:vAlign w:val="center"/>
          </w:tcPr>
          <w:p w14:paraId="1081E19B">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rPr>
            </w:pPr>
            <w:r>
              <w:rPr>
                <w:rFonts w:hint="eastAsia"/>
                <w:highlight w:val="none"/>
                <w:lang w:val="en-US" w:eastAsia="zh-CN"/>
              </w:rPr>
              <w:t>工业水井</w:t>
            </w:r>
          </w:p>
        </w:tc>
        <w:tc>
          <w:tcPr>
            <w:tcW w:w="818" w:type="dxa"/>
            <w:tcBorders>
              <w:left w:val="single" w:color="auto" w:sz="2" w:space="0"/>
            </w:tcBorders>
            <w:vAlign w:val="center"/>
          </w:tcPr>
          <w:p w14:paraId="4EFCAE34">
            <w:pPr>
              <w:pStyle w:val="8"/>
              <w:suppressLineNumbers w:val="0"/>
              <w:bidi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单管单层</w:t>
            </w:r>
          </w:p>
        </w:tc>
      </w:tr>
      <w:tr w14:paraId="0B09C1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10219929">
            <w:pPr>
              <w:pStyle w:val="8"/>
              <w:suppressLineNumbers w:val="0"/>
              <w:bidi w:val="0"/>
              <w:spacing w:before="0" w:beforeAutospacing="0" w:after="0" w:afterAutospacing="0"/>
              <w:ind w:left="0" w:right="0"/>
              <w:jc w:val="center"/>
              <w:rPr>
                <w:rFonts w:hint="default"/>
                <w:highlight w:val="none"/>
              </w:rPr>
            </w:pPr>
            <w:r>
              <w:rPr>
                <w:rFonts w:hint="default"/>
                <w:highlight w:val="none"/>
              </w:rPr>
              <w:t>2</w:t>
            </w:r>
          </w:p>
        </w:tc>
        <w:tc>
          <w:tcPr>
            <w:tcW w:w="1422" w:type="dxa"/>
            <w:vAlign w:val="center"/>
          </w:tcPr>
          <w:p w14:paraId="6D011176">
            <w:pPr>
              <w:pStyle w:val="8"/>
              <w:suppressLineNumbers w:val="0"/>
              <w:bidi w:val="0"/>
              <w:spacing w:before="0" w:beforeAutospacing="0" w:after="0" w:afterAutospacing="0"/>
              <w:ind w:left="0" w:right="0"/>
              <w:jc w:val="center"/>
              <w:rPr>
                <w:rFonts w:hint="default"/>
                <w:highlight w:val="none"/>
              </w:rPr>
            </w:pPr>
            <w:r>
              <w:rPr>
                <w:rFonts w:hint="default"/>
                <w:highlight w:val="none"/>
                <w:lang w:val="en-US" w:eastAsia="zh-CN"/>
              </w:rPr>
              <w:t>2#</w:t>
            </w:r>
            <w:r>
              <w:rPr>
                <w:rFonts w:hint="eastAsia"/>
                <w:highlight w:val="none"/>
                <w:lang w:val="en-US" w:eastAsia="zh-CN"/>
              </w:rPr>
              <w:t>厂址下游</w:t>
            </w:r>
          </w:p>
        </w:tc>
        <w:tc>
          <w:tcPr>
            <w:tcW w:w="993" w:type="dxa"/>
            <w:vAlign w:val="center"/>
          </w:tcPr>
          <w:p w14:paraId="470F54AA">
            <w:pPr>
              <w:pStyle w:val="8"/>
              <w:suppressLineNumbers w:val="0"/>
              <w:bidi w:val="0"/>
              <w:spacing w:before="0" w:beforeAutospacing="0" w:after="0" w:afterAutospacing="0"/>
              <w:ind w:left="0" w:right="0" w:firstLine="0" w:firstLineChars="0"/>
              <w:jc w:val="center"/>
              <w:rPr>
                <w:rFonts w:hint="default"/>
                <w:highlight w:val="none"/>
              </w:rPr>
            </w:pPr>
            <w:r>
              <w:rPr>
                <w:rFonts w:hint="eastAsia"/>
                <w:highlight w:val="none"/>
                <w:lang w:val="en-US" w:eastAsia="zh-CN"/>
              </w:rPr>
              <w:t>水质、水位</w:t>
            </w:r>
          </w:p>
        </w:tc>
        <w:tc>
          <w:tcPr>
            <w:tcW w:w="649" w:type="dxa"/>
            <w:vAlign w:val="center"/>
          </w:tcPr>
          <w:p w14:paraId="3E8D244B">
            <w:pPr>
              <w:pStyle w:val="8"/>
              <w:suppressLineNumbers w:val="0"/>
              <w:bidi w:val="0"/>
              <w:spacing w:before="0" w:beforeAutospacing="0" w:after="0" w:afterAutospacing="0"/>
              <w:ind w:left="0" w:right="0"/>
              <w:jc w:val="center"/>
              <w:rPr>
                <w:rFonts w:hint="default"/>
                <w:highlight w:val="none"/>
              </w:rPr>
            </w:pPr>
            <w:r>
              <w:rPr>
                <w:rFonts w:hint="eastAsia" w:ascii="Times New Roman" w:hAnsi="Times New Roman" w:eastAsia="宋体" w:cs="Times New Roman"/>
                <w:highlight w:val="none"/>
                <w:lang w:val="en-US" w:eastAsia="zh-CN"/>
              </w:rPr>
              <w:t>潜水水层</w:t>
            </w:r>
          </w:p>
        </w:tc>
        <w:tc>
          <w:tcPr>
            <w:tcW w:w="1185" w:type="dxa"/>
            <w:tcBorders>
              <w:right w:val="single" w:color="auto" w:sz="2" w:space="0"/>
            </w:tcBorders>
            <w:vAlign w:val="center"/>
          </w:tcPr>
          <w:p w14:paraId="2ECB5B3D">
            <w:pPr>
              <w:pStyle w:val="8"/>
              <w:suppressLineNumbers w:val="0"/>
              <w:bidi w:val="0"/>
              <w:spacing w:before="0" w:beforeAutospacing="0" w:after="0" w:afterAutospacing="0"/>
              <w:ind w:left="0" w:right="0"/>
              <w:jc w:val="center"/>
              <w:rPr>
                <w:rFonts w:hint="default" w:eastAsia="宋体"/>
                <w:highlight w:val="none"/>
                <w:lang w:val="en-US" w:eastAsia="zh-CN"/>
              </w:rPr>
            </w:pPr>
            <w:r>
              <w:rPr>
                <w:rFonts w:hint="eastAsia"/>
                <w:highlight w:val="none"/>
                <w:lang w:val="en-US" w:eastAsia="zh-CN"/>
              </w:rPr>
              <w:t>143.9</w:t>
            </w:r>
          </w:p>
        </w:tc>
        <w:tc>
          <w:tcPr>
            <w:tcW w:w="1259" w:type="dxa"/>
            <w:tcBorders>
              <w:left w:val="single" w:color="auto" w:sz="2" w:space="0"/>
            </w:tcBorders>
            <w:vAlign w:val="center"/>
          </w:tcPr>
          <w:p w14:paraId="1856DA40">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142.4</w:t>
            </w:r>
          </w:p>
        </w:tc>
        <w:tc>
          <w:tcPr>
            <w:tcW w:w="684" w:type="dxa"/>
            <w:tcBorders>
              <w:left w:val="single" w:color="auto" w:sz="2" w:space="0"/>
            </w:tcBorders>
            <w:vAlign w:val="center"/>
          </w:tcPr>
          <w:p w14:paraId="6FCBDE63">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60</w:t>
            </w:r>
          </w:p>
        </w:tc>
        <w:tc>
          <w:tcPr>
            <w:tcW w:w="1011" w:type="dxa"/>
            <w:tcBorders>
              <w:left w:val="single" w:color="auto" w:sz="2" w:space="0"/>
            </w:tcBorders>
            <w:vAlign w:val="center"/>
          </w:tcPr>
          <w:p w14:paraId="4BF0174B">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工业水井</w:t>
            </w:r>
          </w:p>
        </w:tc>
        <w:tc>
          <w:tcPr>
            <w:tcW w:w="818" w:type="dxa"/>
            <w:tcBorders>
              <w:left w:val="single" w:color="auto" w:sz="2" w:space="0"/>
            </w:tcBorders>
            <w:vAlign w:val="center"/>
          </w:tcPr>
          <w:p w14:paraId="61B7D24A">
            <w:pPr>
              <w:pStyle w:val="8"/>
              <w:suppressLineNumbers w:val="0"/>
              <w:bidi w:val="0"/>
              <w:spacing w:before="0" w:beforeAutospacing="0" w:after="0" w:afterAutospacing="0"/>
              <w:ind w:left="0" w:right="0"/>
              <w:jc w:val="center"/>
              <w:rPr>
                <w:rFonts w:hint="eastAsia"/>
                <w:highlight w:val="none"/>
                <w:lang w:val="en-US" w:eastAsia="zh-CN"/>
              </w:rPr>
            </w:pPr>
            <w:r>
              <w:rPr>
                <w:rFonts w:hint="eastAsia" w:cs="Times New Roman"/>
                <w:highlight w:val="none"/>
                <w:lang w:val="en-US" w:eastAsia="zh-CN"/>
              </w:rPr>
              <w:t>单管单层</w:t>
            </w:r>
          </w:p>
        </w:tc>
      </w:tr>
      <w:tr w14:paraId="55548C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0AC254A5">
            <w:pPr>
              <w:pStyle w:val="8"/>
              <w:suppressLineNumbers w:val="0"/>
              <w:bidi w:val="0"/>
              <w:spacing w:before="0" w:beforeAutospacing="0" w:after="0" w:afterAutospacing="0"/>
              <w:ind w:left="0" w:right="0"/>
              <w:jc w:val="center"/>
              <w:rPr>
                <w:rFonts w:hint="default"/>
                <w:highlight w:val="none"/>
              </w:rPr>
            </w:pPr>
            <w:r>
              <w:rPr>
                <w:rFonts w:hint="default"/>
                <w:highlight w:val="none"/>
              </w:rPr>
              <w:t>3</w:t>
            </w:r>
          </w:p>
        </w:tc>
        <w:tc>
          <w:tcPr>
            <w:tcW w:w="1422" w:type="dxa"/>
            <w:vAlign w:val="center"/>
          </w:tcPr>
          <w:p w14:paraId="206E59CC">
            <w:pPr>
              <w:pStyle w:val="8"/>
              <w:suppressLineNumbers w:val="0"/>
              <w:bidi w:val="0"/>
              <w:spacing w:before="0" w:beforeAutospacing="0" w:after="0" w:afterAutospacing="0"/>
              <w:ind w:left="0" w:right="0"/>
              <w:jc w:val="center"/>
              <w:rPr>
                <w:rFonts w:hint="default"/>
                <w:highlight w:val="none"/>
              </w:rPr>
            </w:pPr>
            <w:r>
              <w:rPr>
                <w:rFonts w:hint="default"/>
                <w:highlight w:val="none"/>
                <w:lang w:val="en-US" w:eastAsia="zh-CN"/>
              </w:rPr>
              <w:t>3#</w:t>
            </w:r>
            <w:r>
              <w:rPr>
                <w:rFonts w:hint="eastAsia"/>
                <w:highlight w:val="none"/>
                <w:lang w:val="en-US" w:eastAsia="zh-CN"/>
              </w:rPr>
              <w:t>厂址上游</w:t>
            </w:r>
          </w:p>
        </w:tc>
        <w:tc>
          <w:tcPr>
            <w:tcW w:w="993" w:type="dxa"/>
            <w:vAlign w:val="center"/>
          </w:tcPr>
          <w:p w14:paraId="22971ADD">
            <w:pPr>
              <w:pStyle w:val="8"/>
              <w:suppressLineNumbers w:val="0"/>
              <w:bidi w:val="0"/>
              <w:spacing w:before="0" w:beforeAutospacing="0" w:after="0" w:afterAutospacing="0"/>
              <w:ind w:left="0" w:right="0" w:firstLine="0" w:firstLineChars="0"/>
              <w:jc w:val="center"/>
              <w:rPr>
                <w:rFonts w:hint="default"/>
                <w:highlight w:val="none"/>
              </w:rPr>
            </w:pPr>
            <w:r>
              <w:rPr>
                <w:rFonts w:hint="eastAsia"/>
                <w:highlight w:val="none"/>
                <w:lang w:val="en-US" w:eastAsia="zh-CN"/>
              </w:rPr>
              <w:t>水质、水位</w:t>
            </w:r>
          </w:p>
        </w:tc>
        <w:tc>
          <w:tcPr>
            <w:tcW w:w="649" w:type="dxa"/>
            <w:vMerge w:val="restart"/>
            <w:vAlign w:val="center"/>
          </w:tcPr>
          <w:p w14:paraId="7188EEC7">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承压水</w:t>
            </w:r>
            <w:r>
              <w:rPr>
                <w:rFonts w:hint="default"/>
                <w:highlight w:val="none"/>
              </w:rPr>
              <w:t>水层</w:t>
            </w:r>
          </w:p>
        </w:tc>
        <w:tc>
          <w:tcPr>
            <w:tcW w:w="1185" w:type="dxa"/>
            <w:tcBorders>
              <w:right w:val="single" w:color="auto" w:sz="2" w:space="0"/>
            </w:tcBorders>
            <w:vAlign w:val="center"/>
          </w:tcPr>
          <w:p w14:paraId="2E2F261C">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137.0</w:t>
            </w:r>
          </w:p>
        </w:tc>
        <w:tc>
          <w:tcPr>
            <w:tcW w:w="1259" w:type="dxa"/>
            <w:tcBorders>
              <w:left w:val="single" w:color="auto" w:sz="2" w:space="0"/>
            </w:tcBorders>
            <w:vAlign w:val="center"/>
          </w:tcPr>
          <w:p w14:paraId="12183E85">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136.2</w:t>
            </w:r>
          </w:p>
        </w:tc>
        <w:tc>
          <w:tcPr>
            <w:tcW w:w="684" w:type="dxa"/>
            <w:tcBorders>
              <w:left w:val="single" w:color="auto" w:sz="2" w:space="0"/>
            </w:tcBorders>
            <w:vAlign w:val="center"/>
          </w:tcPr>
          <w:p w14:paraId="52C481A9">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85</w:t>
            </w:r>
          </w:p>
        </w:tc>
        <w:tc>
          <w:tcPr>
            <w:tcW w:w="1011" w:type="dxa"/>
            <w:tcBorders>
              <w:left w:val="single" w:color="auto" w:sz="2" w:space="0"/>
            </w:tcBorders>
            <w:vAlign w:val="center"/>
          </w:tcPr>
          <w:p w14:paraId="14B3557D">
            <w:pPr>
              <w:pStyle w:val="8"/>
              <w:suppressLineNumbers w:val="0"/>
              <w:bidi w:val="0"/>
              <w:spacing w:before="0" w:beforeAutospacing="0" w:after="0" w:afterAutospacing="0"/>
              <w:ind w:left="0" w:right="0"/>
              <w:jc w:val="center"/>
              <w:rPr>
                <w:rFonts w:hint="eastAsia" w:eastAsia="宋体"/>
                <w:highlight w:val="none"/>
                <w:lang w:eastAsia="zh-CN"/>
              </w:rPr>
            </w:pPr>
            <w:r>
              <w:rPr>
                <w:rFonts w:hint="eastAsia"/>
                <w:highlight w:val="none"/>
                <w:lang w:val="en-US" w:eastAsia="zh-CN"/>
              </w:rPr>
              <w:t>幸福村饮用水井</w:t>
            </w:r>
          </w:p>
        </w:tc>
        <w:tc>
          <w:tcPr>
            <w:tcW w:w="818" w:type="dxa"/>
            <w:tcBorders>
              <w:left w:val="single" w:color="auto" w:sz="2" w:space="0"/>
            </w:tcBorders>
            <w:vAlign w:val="center"/>
          </w:tcPr>
          <w:p w14:paraId="79EBB7B5">
            <w:pPr>
              <w:pStyle w:val="8"/>
              <w:suppressLineNumbers w:val="0"/>
              <w:bidi w:val="0"/>
              <w:spacing w:before="0" w:beforeAutospacing="0" w:after="0" w:afterAutospacing="0"/>
              <w:ind w:left="0" w:right="0"/>
              <w:jc w:val="center"/>
              <w:rPr>
                <w:rFonts w:hint="eastAsia"/>
                <w:highlight w:val="none"/>
                <w:lang w:val="en-US" w:eastAsia="zh-CN"/>
              </w:rPr>
            </w:pPr>
            <w:r>
              <w:rPr>
                <w:rFonts w:hint="eastAsia" w:cs="Times New Roman"/>
                <w:highlight w:val="none"/>
                <w:lang w:val="en-US" w:eastAsia="zh-CN"/>
              </w:rPr>
              <w:t>单管单层</w:t>
            </w:r>
          </w:p>
        </w:tc>
      </w:tr>
      <w:tr w14:paraId="0DCBF2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68C5591A">
            <w:pPr>
              <w:pStyle w:val="8"/>
              <w:suppressLineNumbers w:val="0"/>
              <w:bidi w:val="0"/>
              <w:spacing w:before="0" w:beforeAutospacing="0" w:after="0" w:afterAutospacing="0"/>
              <w:ind w:left="0" w:right="0"/>
              <w:jc w:val="center"/>
              <w:rPr>
                <w:rFonts w:hint="default"/>
                <w:highlight w:val="none"/>
              </w:rPr>
            </w:pPr>
            <w:r>
              <w:rPr>
                <w:rFonts w:hint="default"/>
                <w:highlight w:val="none"/>
              </w:rPr>
              <w:t>4</w:t>
            </w:r>
          </w:p>
        </w:tc>
        <w:tc>
          <w:tcPr>
            <w:tcW w:w="1422" w:type="dxa"/>
            <w:vAlign w:val="center"/>
          </w:tcPr>
          <w:p w14:paraId="68065647">
            <w:pPr>
              <w:pStyle w:val="8"/>
              <w:suppressLineNumbers w:val="0"/>
              <w:bidi w:val="0"/>
              <w:spacing w:before="0" w:beforeAutospacing="0" w:after="0" w:afterAutospacing="0"/>
              <w:ind w:left="0" w:right="0"/>
              <w:jc w:val="center"/>
              <w:rPr>
                <w:rFonts w:hint="default"/>
                <w:highlight w:val="none"/>
              </w:rPr>
            </w:pPr>
            <w:r>
              <w:rPr>
                <w:rFonts w:hint="default"/>
                <w:highlight w:val="none"/>
                <w:lang w:val="en-US" w:eastAsia="zh-CN"/>
              </w:rPr>
              <w:t>4#</w:t>
            </w:r>
            <w:r>
              <w:rPr>
                <w:rFonts w:hint="eastAsia"/>
                <w:highlight w:val="none"/>
                <w:lang w:val="en-US" w:eastAsia="zh-CN"/>
              </w:rPr>
              <w:t>厂址下游</w:t>
            </w:r>
          </w:p>
        </w:tc>
        <w:tc>
          <w:tcPr>
            <w:tcW w:w="993" w:type="dxa"/>
            <w:vAlign w:val="center"/>
          </w:tcPr>
          <w:p w14:paraId="01DBAF7A">
            <w:pPr>
              <w:pStyle w:val="8"/>
              <w:suppressLineNumbers w:val="0"/>
              <w:bidi w:val="0"/>
              <w:spacing w:before="0" w:beforeAutospacing="0" w:after="0" w:afterAutospacing="0"/>
              <w:ind w:left="0" w:right="0" w:firstLine="0" w:firstLineChars="0"/>
              <w:jc w:val="center"/>
              <w:rPr>
                <w:rFonts w:hint="default"/>
                <w:highlight w:val="none"/>
              </w:rPr>
            </w:pPr>
            <w:r>
              <w:rPr>
                <w:rFonts w:hint="eastAsia"/>
                <w:highlight w:val="none"/>
                <w:lang w:val="en-US" w:eastAsia="zh-CN"/>
              </w:rPr>
              <w:t>水质、水位</w:t>
            </w:r>
          </w:p>
        </w:tc>
        <w:tc>
          <w:tcPr>
            <w:tcW w:w="649" w:type="dxa"/>
            <w:vMerge w:val="continue"/>
            <w:vAlign w:val="center"/>
          </w:tcPr>
          <w:p w14:paraId="51521C87">
            <w:pPr>
              <w:pStyle w:val="8"/>
              <w:suppressLineNumbers w:val="0"/>
              <w:bidi w:val="0"/>
              <w:spacing w:before="0" w:beforeAutospacing="0" w:after="0" w:afterAutospacing="0"/>
              <w:ind w:left="0" w:right="0"/>
              <w:jc w:val="center"/>
              <w:rPr>
                <w:rFonts w:hint="default"/>
                <w:highlight w:val="none"/>
              </w:rPr>
            </w:pPr>
          </w:p>
        </w:tc>
        <w:tc>
          <w:tcPr>
            <w:tcW w:w="1185" w:type="dxa"/>
            <w:tcBorders>
              <w:right w:val="single" w:color="auto" w:sz="2" w:space="0"/>
            </w:tcBorders>
            <w:vAlign w:val="center"/>
          </w:tcPr>
          <w:p w14:paraId="0D545ADB">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145.6</w:t>
            </w:r>
          </w:p>
        </w:tc>
        <w:tc>
          <w:tcPr>
            <w:tcW w:w="1259" w:type="dxa"/>
            <w:tcBorders>
              <w:left w:val="single" w:color="auto" w:sz="2" w:space="0"/>
            </w:tcBorders>
            <w:vAlign w:val="center"/>
          </w:tcPr>
          <w:p w14:paraId="6073E51D">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144.5</w:t>
            </w:r>
          </w:p>
        </w:tc>
        <w:tc>
          <w:tcPr>
            <w:tcW w:w="684" w:type="dxa"/>
            <w:tcBorders>
              <w:left w:val="single" w:color="auto" w:sz="2" w:space="0"/>
            </w:tcBorders>
            <w:vAlign w:val="center"/>
          </w:tcPr>
          <w:p w14:paraId="163FFF79">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65</w:t>
            </w:r>
          </w:p>
        </w:tc>
        <w:tc>
          <w:tcPr>
            <w:tcW w:w="1011" w:type="dxa"/>
            <w:tcBorders>
              <w:left w:val="single" w:color="auto" w:sz="2" w:space="0"/>
            </w:tcBorders>
            <w:vAlign w:val="center"/>
          </w:tcPr>
          <w:p w14:paraId="41219F85">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工业水井</w:t>
            </w:r>
          </w:p>
        </w:tc>
        <w:tc>
          <w:tcPr>
            <w:tcW w:w="818" w:type="dxa"/>
            <w:tcBorders>
              <w:left w:val="single" w:color="auto" w:sz="2" w:space="0"/>
            </w:tcBorders>
            <w:vAlign w:val="center"/>
          </w:tcPr>
          <w:p w14:paraId="78F82DBA">
            <w:pPr>
              <w:pStyle w:val="8"/>
              <w:suppressLineNumbers w:val="0"/>
              <w:bidi w:val="0"/>
              <w:spacing w:before="0" w:beforeAutospacing="0" w:after="0" w:afterAutospacing="0"/>
              <w:ind w:left="0" w:right="0"/>
              <w:jc w:val="center"/>
              <w:rPr>
                <w:rFonts w:hint="eastAsia"/>
                <w:highlight w:val="none"/>
                <w:lang w:val="en-US" w:eastAsia="zh-CN"/>
              </w:rPr>
            </w:pPr>
            <w:r>
              <w:rPr>
                <w:rFonts w:hint="eastAsia" w:cs="Times New Roman"/>
                <w:highlight w:val="none"/>
                <w:lang w:val="en-US" w:eastAsia="zh-CN"/>
              </w:rPr>
              <w:t>单管单层</w:t>
            </w:r>
          </w:p>
        </w:tc>
      </w:tr>
      <w:tr w14:paraId="63B7DE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4321F2FE">
            <w:pPr>
              <w:pStyle w:val="8"/>
              <w:suppressLineNumbers w:val="0"/>
              <w:bidi w:val="0"/>
              <w:spacing w:before="0" w:beforeAutospacing="0" w:after="0" w:afterAutospacing="0"/>
              <w:ind w:left="0" w:right="0"/>
              <w:jc w:val="center"/>
              <w:rPr>
                <w:rFonts w:hint="default"/>
                <w:highlight w:val="none"/>
              </w:rPr>
            </w:pPr>
            <w:r>
              <w:rPr>
                <w:rFonts w:hint="default"/>
                <w:highlight w:val="none"/>
              </w:rPr>
              <w:t>5</w:t>
            </w:r>
          </w:p>
        </w:tc>
        <w:tc>
          <w:tcPr>
            <w:tcW w:w="1422" w:type="dxa"/>
            <w:vAlign w:val="center"/>
          </w:tcPr>
          <w:p w14:paraId="0228B011">
            <w:pPr>
              <w:pStyle w:val="8"/>
              <w:suppressLineNumbers w:val="0"/>
              <w:bidi w:val="0"/>
              <w:spacing w:before="0" w:beforeAutospacing="0" w:after="0" w:afterAutospacing="0"/>
              <w:ind w:left="0" w:right="0"/>
              <w:jc w:val="center"/>
              <w:rPr>
                <w:rFonts w:hint="default"/>
                <w:highlight w:val="none"/>
              </w:rPr>
            </w:pPr>
            <w:r>
              <w:rPr>
                <w:rFonts w:hint="default"/>
                <w:highlight w:val="none"/>
                <w:lang w:val="en-US" w:eastAsia="zh-CN"/>
              </w:rPr>
              <w:t>5#</w:t>
            </w:r>
            <w:r>
              <w:rPr>
                <w:rFonts w:hint="eastAsia"/>
                <w:highlight w:val="none"/>
                <w:lang w:val="en-US" w:eastAsia="zh-CN"/>
              </w:rPr>
              <w:t>厂址下游</w:t>
            </w:r>
          </w:p>
        </w:tc>
        <w:tc>
          <w:tcPr>
            <w:tcW w:w="993" w:type="dxa"/>
            <w:vAlign w:val="center"/>
          </w:tcPr>
          <w:p w14:paraId="0072AE5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水质、水位</w:t>
            </w:r>
          </w:p>
        </w:tc>
        <w:tc>
          <w:tcPr>
            <w:tcW w:w="649" w:type="dxa"/>
            <w:vAlign w:val="center"/>
          </w:tcPr>
          <w:p w14:paraId="233848CA">
            <w:pPr>
              <w:pStyle w:val="8"/>
              <w:suppressLineNumbers w:val="0"/>
              <w:bidi w:val="0"/>
              <w:spacing w:before="0" w:beforeAutospacing="0" w:after="0" w:afterAutospacing="0"/>
              <w:ind w:left="0" w:right="0"/>
              <w:jc w:val="center"/>
              <w:rPr>
                <w:rFonts w:hint="default"/>
                <w:highlight w:val="none"/>
              </w:rPr>
            </w:pPr>
            <w:r>
              <w:rPr>
                <w:rFonts w:hint="eastAsia" w:ascii="Times New Roman" w:hAnsi="Times New Roman" w:eastAsia="宋体" w:cs="Times New Roman"/>
                <w:highlight w:val="none"/>
                <w:lang w:val="en-US" w:eastAsia="zh-CN"/>
              </w:rPr>
              <w:t>潜水水层</w:t>
            </w:r>
          </w:p>
        </w:tc>
        <w:tc>
          <w:tcPr>
            <w:tcW w:w="1185" w:type="dxa"/>
            <w:tcBorders>
              <w:right w:val="single" w:color="auto" w:sz="2" w:space="0"/>
            </w:tcBorders>
            <w:vAlign w:val="center"/>
          </w:tcPr>
          <w:p w14:paraId="5C14F1AD">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144.1</w:t>
            </w:r>
          </w:p>
        </w:tc>
        <w:tc>
          <w:tcPr>
            <w:tcW w:w="1259" w:type="dxa"/>
            <w:tcBorders>
              <w:left w:val="single" w:color="auto" w:sz="2" w:space="0"/>
            </w:tcBorders>
            <w:vAlign w:val="center"/>
          </w:tcPr>
          <w:p w14:paraId="3BE5914F">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143.5</w:t>
            </w:r>
          </w:p>
        </w:tc>
        <w:tc>
          <w:tcPr>
            <w:tcW w:w="684" w:type="dxa"/>
            <w:tcBorders>
              <w:left w:val="single" w:color="auto" w:sz="2" w:space="0"/>
            </w:tcBorders>
            <w:vAlign w:val="center"/>
          </w:tcPr>
          <w:p w14:paraId="3F44CAA7">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70</w:t>
            </w:r>
          </w:p>
        </w:tc>
        <w:tc>
          <w:tcPr>
            <w:tcW w:w="1011" w:type="dxa"/>
            <w:tcBorders>
              <w:left w:val="single" w:color="auto" w:sz="2" w:space="0"/>
            </w:tcBorders>
            <w:vAlign w:val="center"/>
          </w:tcPr>
          <w:p w14:paraId="4251AF4A">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监测孔</w:t>
            </w:r>
          </w:p>
        </w:tc>
        <w:tc>
          <w:tcPr>
            <w:tcW w:w="818" w:type="dxa"/>
            <w:tcBorders>
              <w:left w:val="single" w:color="auto" w:sz="2" w:space="0"/>
            </w:tcBorders>
            <w:vAlign w:val="center"/>
          </w:tcPr>
          <w:p w14:paraId="431698AF">
            <w:pPr>
              <w:pStyle w:val="8"/>
              <w:suppressLineNumbers w:val="0"/>
              <w:bidi w:val="0"/>
              <w:spacing w:before="0" w:beforeAutospacing="0" w:after="0" w:afterAutospacing="0"/>
              <w:ind w:left="0" w:right="0"/>
              <w:jc w:val="center"/>
              <w:rPr>
                <w:rFonts w:hint="eastAsia"/>
                <w:highlight w:val="none"/>
                <w:lang w:val="en-US" w:eastAsia="zh-CN"/>
              </w:rPr>
            </w:pPr>
            <w:r>
              <w:rPr>
                <w:rFonts w:hint="eastAsia" w:cs="Times New Roman"/>
                <w:highlight w:val="none"/>
                <w:lang w:val="en-US" w:eastAsia="zh-CN"/>
              </w:rPr>
              <w:t>单管单层</w:t>
            </w:r>
          </w:p>
        </w:tc>
      </w:tr>
      <w:tr w14:paraId="39ABC1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01" w:type="dxa"/>
            <w:vAlign w:val="center"/>
          </w:tcPr>
          <w:p w14:paraId="228EE4B3">
            <w:pPr>
              <w:pStyle w:val="8"/>
              <w:suppressLineNumbers w:val="0"/>
              <w:bidi w:val="0"/>
              <w:spacing w:before="0" w:beforeAutospacing="0" w:after="0" w:afterAutospacing="0"/>
              <w:ind w:left="0" w:right="0"/>
              <w:jc w:val="center"/>
              <w:rPr>
                <w:rFonts w:hint="default"/>
                <w:highlight w:val="none"/>
              </w:rPr>
            </w:pPr>
            <w:r>
              <w:rPr>
                <w:rFonts w:hint="default"/>
                <w:highlight w:val="none"/>
              </w:rPr>
              <w:t>6</w:t>
            </w:r>
          </w:p>
        </w:tc>
        <w:tc>
          <w:tcPr>
            <w:tcW w:w="1422" w:type="dxa"/>
            <w:vAlign w:val="center"/>
          </w:tcPr>
          <w:p w14:paraId="702761C2">
            <w:pPr>
              <w:pStyle w:val="8"/>
              <w:suppressLineNumbers w:val="0"/>
              <w:bidi w:val="0"/>
              <w:spacing w:before="0" w:beforeAutospacing="0" w:after="0" w:afterAutospacing="0"/>
              <w:ind w:left="0" w:right="0"/>
              <w:jc w:val="center"/>
              <w:rPr>
                <w:rFonts w:hint="default"/>
                <w:highlight w:val="none"/>
              </w:rPr>
            </w:pPr>
            <w:r>
              <w:rPr>
                <w:rFonts w:hint="default"/>
                <w:highlight w:val="none"/>
                <w:lang w:val="en-US" w:eastAsia="zh-CN"/>
              </w:rPr>
              <w:t>6#</w:t>
            </w:r>
            <w:r>
              <w:rPr>
                <w:rFonts w:hint="eastAsia"/>
                <w:highlight w:val="none"/>
                <w:lang w:val="en-US" w:eastAsia="zh-CN"/>
              </w:rPr>
              <w:t>厂址侧向</w:t>
            </w:r>
          </w:p>
        </w:tc>
        <w:tc>
          <w:tcPr>
            <w:tcW w:w="993" w:type="dxa"/>
            <w:vAlign w:val="center"/>
          </w:tcPr>
          <w:p w14:paraId="2823433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水质、水位</w:t>
            </w:r>
          </w:p>
        </w:tc>
        <w:tc>
          <w:tcPr>
            <w:tcW w:w="649" w:type="dxa"/>
            <w:vAlign w:val="center"/>
          </w:tcPr>
          <w:p w14:paraId="453DBFB3">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潜水水层</w:t>
            </w:r>
          </w:p>
        </w:tc>
        <w:tc>
          <w:tcPr>
            <w:tcW w:w="1185" w:type="dxa"/>
            <w:tcBorders>
              <w:right w:val="single" w:color="auto" w:sz="2" w:space="0"/>
            </w:tcBorders>
            <w:vAlign w:val="center"/>
          </w:tcPr>
          <w:p w14:paraId="6E5140A2">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145.8</w:t>
            </w:r>
          </w:p>
        </w:tc>
        <w:tc>
          <w:tcPr>
            <w:tcW w:w="1259" w:type="dxa"/>
            <w:tcBorders>
              <w:left w:val="single" w:color="auto" w:sz="2" w:space="0"/>
            </w:tcBorders>
            <w:vAlign w:val="center"/>
          </w:tcPr>
          <w:p w14:paraId="24DA1411">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142.8</w:t>
            </w:r>
          </w:p>
        </w:tc>
        <w:tc>
          <w:tcPr>
            <w:tcW w:w="684" w:type="dxa"/>
            <w:tcBorders>
              <w:left w:val="single" w:color="auto" w:sz="2" w:space="0"/>
            </w:tcBorders>
            <w:vAlign w:val="center"/>
          </w:tcPr>
          <w:p w14:paraId="152E4B91">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60</w:t>
            </w:r>
          </w:p>
        </w:tc>
        <w:tc>
          <w:tcPr>
            <w:tcW w:w="1011" w:type="dxa"/>
            <w:tcBorders>
              <w:left w:val="single" w:color="auto" w:sz="2" w:space="0"/>
            </w:tcBorders>
            <w:vAlign w:val="center"/>
          </w:tcPr>
          <w:p w14:paraId="01864FAB">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工业水井</w:t>
            </w:r>
          </w:p>
        </w:tc>
        <w:tc>
          <w:tcPr>
            <w:tcW w:w="818" w:type="dxa"/>
            <w:tcBorders>
              <w:left w:val="single" w:color="auto" w:sz="2" w:space="0"/>
            </w:tcBorders>
            <w:vAlign w:val="center"/>
          </w:tcPr>
          <w:p w14:paraId="7679875A">
            <w:pPr>
              <w:pStyle w:val="8"/>
              <w:suppressLineNumbers w:val="0"/>
              <w:bidi w:val="0"/>
              <w:spacing w:before="0" w:beforeAutospacing="0" w:after="0" w:afterAutospacing="0"/>
              <w:ind w:left="0" w:right="0"/>
              <w:jc w:val="center"/>
              <w:rPr>
                <w:rFonts w:hint="eastAsia"/>
                <w:highlight w:val="none"/>
                <w:lang w:val="en-US" w:eastAsia="zh-CN"/>
              </w:rPr>
            </w:pPr>
            <w:r>
              <w:rPr>
                <w:rFonts w:hint="eastAsia" w:cs="Times New Roman"/>
                <w:highlight w:val="none"/>
                <w:lang w:val="en-US" w:eastAsia="zh-CN"/>
              </w:rPr>
              <w:t>单管单层</w:t>
            </w:r>
          </w:p>
        </w:tc>
      </w:tr>
      <w:tr w14:paraId="0747C5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0626D6C2">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7</w:t>
            </w:r>
          </w:p>
        </w:tc>
        <w:tc>
          <w:tcPr>
            <w:tcW w:w="1422" w:type="dxa"/>
            <w:vAlign w:val="center"/>
          </w:tcPr>
          <w:p w14:paraId="279F6EB3">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7#</w:t>
            </w:r>
            <w:r>
              <w:rPr>
                <w:rFonts w:hint="eastAsia" w:cs="Times New Roman"/>
                <w:highlight w:val="none"/>
                <w:lang w:val="en-US" w:eastAsia="zh-CN"/>
              </w:rPr>
              <w:t>厂址侧向</w:t>
            </w:r>
          </w:p>
        </w:tc>
        <w:tc>
          <w:tcPr>
            <w:tcW w:w="993" w:type="dxa"/>
            <w:vAlign w:val="center"/>
          </w:tcPr>
          <w:p w14:paraId="48226F5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水质、水位</w:t>
            </w:r>
          </w:p>
        </w:tc>
        <w:tc>
          <w:tcPr>
            <w:tcW w:w="649" w:type="dxa"/>
            <w:vAlign w:val="center"/>
          </w:tcPr>
          <w:p w14:paraId="33A8A9A4">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潜水水层</w:t>
            </w:r>
          </w:p>
        </w:tc>
        <w:tc>
          <w:tcPr>
            <w:tcW w:w="1185" w:type="dxa"/>
            <w:tcBorders>
              <w:right w:val="single" w:color="auto" w:sz="2" w:space="0"/>
            </w:tcBorders>
            <w:vAlign w:val="center"/>
          </w:tcPr>
          <w:p w14:paraId="4F76A9BB">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143.6</w:t>
            </w:r>
          </w:p>
        </w:tc>
        <w:tc>
          <w:tcPr>
            <w:tcW w:w="1259" w:type="dxa"/>
            <w:tcBorders>
              <w:left w:val="single" w:color="auto" w:sz="2" w:space="0"/>
            </w:tcBorders>
            <w:vAlign w:val="center"/>
          </w:tcPr>
          <w:p w14:paraId="41D7757C">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142.2</w:t>
            </w:r>
          </w:p>
        </w:tc>
        <w:tc>
          <w:tcPr>
            <w:tcW w:w="684" w:type="dxa"/>
            <w:tcBorders>
              <w:left w:val="single" w:color="auto" w:sz="2" w:space="0"/>
            </w:tcBorders>
            <w:vAlign w:val="center"/>
          </w:tcPr>
          <w:p w14:paraId="72D3E7C1">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75</w:t>
            </w:r>
          </w:p>
        </w:tc>
        <w:tc>
          <w:tcPr>
            <w:tcW w:w="1011" w:type="dxa"/>
            <w:tcBorders>
              <w:left w:val="single" w:color="auto" w:sz="2" w:space="0"/>
            </w:tcBorders>
            <w:vAlign w:val="center"/>
          </w:tcPr>
          <w:p w14:paraId="0494A8F0">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监测孔</w:t>
            </w:r>
          </w:p>
        </w:tc>
        <w:tc>
          <w:tcPr>
            <w:tcW w:w="818" w:type="dxa"/>
            <w:tcBorders>
              <w:left w:val="single" w:color="auto" w:sz="2" w:space="0"/>
            </w:tcBorders>
            <w:vAlign w:val="center"/>
          </w:tcPr>
          <w:p w14:paraId="732A7B7E">
            <w:pPr>
              <w:pStyle w:val="8"/>
              <w:suppressLineNumbers w:val="0"/>
              <w:bidi w:val="0"/>
              <w:spacing w:before="0" w:beforeAutospacing="0" w:after="0" w:afterAutospacing="0"/>
              <w:ind w:left="0" w:right="0"/>
              <w:jc w:val="center"/>
              <w:rPr>
                <w:rFonts w:hint="eastAsia"/>
                <w:highlight w:val="none"/>
                <w:lang w:val="en-US" w:eastAsia="zh-CN"/>
              </w:rPr>
            </w:pPr>
            <w:r>
              <w:rPr>
                <w:rFonts w:hint="eastAsia" w:cs="Times New Roman"/>
                <w:highlight w:val="none"/>
                <w:lang w:val="en-US" w:eastAsia="zh-CN"/>
              </w:rPr>
              <w:t>单管单层</w:t>
            </w:r>
          </w:p>
        </w:tc>
      </w:tr>
      <w:tr w14:paraId="769D63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3B11C864">
            <w:pPr>
              <w:pStyle w:val="8"/>
              <w:suppressLineNumbers w:val="0"/>
              <w:bidi w:val="0"/>
              <w:spacing w:before="0" w:beforeAutospacing="0" w:after="0" w:afterAutospacing="0"/>
              <w:ind w:left="0" w:right="0"/>
              <w:jc w:val="center"/>
              <w:rPr>
                <w:rFonts w:hint="eastAsia"/>
                <w:highlight w:val="none"/>
                <w:lang w:val="en-US" w:eastAsia="zh-CN"/>
              </w:rPr>
            </w:pPr>
            <w:r>
              <w:rPr>
                <w:rFonts w:hint="eastAsia"/>
                <w:highlight w:val="none"/>
                <w:lang w:val="en-US" w:eastAsia="zh-CN"/>
              </w:rPr>
              <w:t>8</w:t>
            </w:r>
          </w:p>
        </w:tc>
        <w:tc>
          <w:tcPr>
            <w:tcW w:w="1422" w:type="dxa"/>
            <w:vAlign w:val="center"/>
          </w:tcPr>
          <w:p w14:paraId="4085E050">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8#</w:t>
            </w:r>
            <w:r>
              <w:rPr>
                <w:rFonts w:hint="eastAsia" w:cs="Times New Roman"/>
                <w:highlight w:val="none"/>
                <w:lang w:val="en-US" w:eastAsia="zh-CN"/>
              </w:rPr>
              <w:t>厂址侧向</w:t>
            </w:r>
          </w:p>
        </w:tc>
        <w:tc>
          <w:tcPr>
            <w:tcW w:w="993" w:type="dxa"/>
            <w:vAlign w:val="center"/>
          </w:tcPr>
          <w:p w14:paraId="0F1EF195">
            <w:pPr>
              <w:pStyle w:val="8"/>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17772DA2">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潜水水层</w:t>
            </w:r>
          </w:p>
        </w:tc>
        <w:tc>
          <w:tcPr>
            <w:tcW w:w="1185" w:type="dxa"/>
            <w:tcBorders>
              <w:right w:val="single" w:color="auto" w:sz="2" w:space="0"/>
            </w:tcBorders>
            <w:vAlign w:val="center"/>
          </w:tcPr>
          <w:p w14:paraId="0ECAE514">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146.5</w:t>
            </w:r>
          </w:p>
        </w:tc>
        <w:tc>
          <w:tcPr>
            <w:tcW w:w="1259" w:type="dxa"/>
            <w:tcBorders>
              <w:left w:val="single" w:color="auto" w:sz="2" w:space="0"/>
            </w:tcBorders>
            <w:vAlign w:val="center"/>
          </w:tcPr>
          <w:p w14:paraId="58892C1C">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145.6</w:t>
            </w:r>
          </w:p>
        </w:tc>
        <w:tc>
          <w:tcPr>
            <w:tcW w:w="684" w:type="dxa"/>
            <w:tcBorders>
              <w:left w:val="single" w:color="auto" w:sz="2" w:space="0"/>
            </w:tcBorders>
            <w:vAlign w:val="center"/>
          </w:tcPr>
          <w:p w14:paraId="65C3396C">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59</w:t>
            </w:r>
          </w:p>
        </w:tc>
        <w:tc>
          <w:tcPr>
            <w:tcW w:w="1011" w:type="dxa"/>
            <w:tcBorders>
              <w:left w:val="single" w:color="auto" w:sz="2" w:space="0"/>
            </w:tcBorders>
            <w:vAlign w:val="center"/>
          </w:tcPr>
          <w:p w14:paraId="4120036F">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监测孔</w:t>
            </w:r>
          </w:p>
        </w:tc>
        <w:tc>
          <w:tcPr>
            <w:tcW w:w="818" w:type="dxa"/>
            <w:tcBorders>
              <w:left w:val="single" w:color="auto" w:sz="2" w:space="0"/>
            </w:tcBorders>
            <w:vAlign w:val="center"/>
          </w:tcPr>
          <w:p w14:paraId="5878467C">
            <w:pPr>
              <w:pStyle w:val="8"/>
              <w:suppressLineNumbers w:val="0"/>
              <w:bidi w:val="0"/>
              <w:spacing w:before="0" w:beforeAutospacing="0" w:after="0" w:afterAutospacing="0"/>
              <w:ind w:left="0" w:right="0"/>
              <w:jc w:val="center"/>
              <w:rPr>
                <w:rFonts w:hint="eastAsia"/>
                <w:highlight w:val="none"/>
                <w:lang w:val="en-US" w:eastAsia="zh-CN"/>
              </w:rPr>
            </w:pPr>
            <w:r>
              <w:rPr>
                <w:rFonts w:hint="eastAsia" w:cs="Times New Roman"/>
                <w:highlight w:val="none"/>
                <w:lang w:val="en-US" w:eastAsia="zh-CN"/>
              </w:rPr>
              <w:t>单管单层</w:t>
            </w:r>
          </w:p>
        </w:tc>
      </w:tr>
      <w:tr w14:paraId="79A5BE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219D2596">
            <w:pPr>
              <w:pStyle w:val="8"/>
              <w:suppressLineNumbers w:val="0"/>
              <w:bidi w:val="0"/>
              <w:spacing w:before="0" w:beforeAutospacing="0" w:after="0" w:afterAutospacing="0"/>
              <w:ind w:left="0" w:right="0"/>
              <w:jc w:val="center"/>
              <w:rPr>
                <w:rFonts w:hint="eastAsia"/>
                <w:highlight w:val="none"/>
                <w:lang w:val="en-US" w:eastAsia="zh-CN"/>
              </w:rPr>
            </w:pPr>
            <w:r>
              <w:rPr>
                <w:rFonts w:hint="eastAsia"/>
                <w:highlight w:val="none"/>
                <w:lang w:val="en-US" w:eastAsia="zh-CN"/>
              </w:rPr>
              <w:t>9</w:t>
            </w:r>
          </w:p>
        </w:tc>
        <w:tc>
          <w:tcPr>
            <w:tcW w:w="1422" w:type="dxa"/>
            <w:vAlign w:val="center"/>
          </w:tcPr>
          <w:p w14:paraId="772B1FE8">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9#</w:t>
            </w:r>
            <w:r>
              <w:rPr>
                <w:rFonts w:hint="eastAsia" w:cs="Times New Roman"/>
                <w:highlight w:val="none"/>
                <w:lang w:val="en-US" w:eastAsia="zh-CN"/>
              </w:rPr>
              <w:t>厂址侧向</w:t>
            </w:r>
          </w:p>
        </w:tc>
        <w:tc>
          <w:tcPr>
            <w:tcW w:w="993" w:type="dxa"/>
            <w:vAlign w:val="center"/>
          </w:tcPr>
          <w:p w14:paraId="597A86BB">
            <w:pPr>
              <w:pStyle w:val="8"/>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2DBDE71A">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潜水水层</w:t>
            </w:r>
          </w:p>
        </w:tc>
        <w:tc>
          <w:tcPr>
            <w:tcW w:w="1185" w:type="dxa"/>
            <w:tcBorders>
              <w:right w:val="single" w:color="auto" w:sz="2" w:space="0"/>
            </w:tcBorders>
            <w:vAlign w:val="center"/>
          </w:tcPr>
          <w:p w14:paraId="10524B16">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141.8</w:t>
            </w:r>
          </w:p>
        </w:tc>
        <w:tc>
          <w:tcPr>
            <w:tcW w:w="1259" w:type="dxa"/>
            <w:tcBorders>
              <w:left w:val="single" w:color="auto" w:sz="2" w:space="0"/>
            </w:tcBorders>
            <w:vAlign w:val="center"/>
          </w:tcPr>
          <w:p w14:paraId="2243C938">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141.2</w:t>
            </w:r>
          </w:p>
        </w:tc>
        <w:tc>
          <w:tcPr>
            <w:tcW w:w="684" w:type="dxa"/>
            <w:tcBorders>
              <w:left w:val="single" w:color="auto" w:sz="2" w:space="0"/>
            </w:tcBorders>
            <w:vAlign w:val="center"/>
          </w:tcPr>
          <w:p w14:paraId="666AC623">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75</w:t>
            </w:r>
          </w:p>
        </w:tc>
        <w:tc>
          <w:tcPr>
            <w:tcW w:w="1011" w:type="dxa"/>
            <w:tcBorders>
              <w:left w:val="single" w:color="auto" w:sz="2" w:space="0"/>
            </w:tcBorders>
            <w:vAlign w:val="center"/>
          </w:tcPr>
          <w:p w14:paraId="0EB04413">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监测孔</w:t>
            </w:r>
          </w:p>
        </w:tc>
        <w:tc>
          <w:tcPr>
            <w:tcW w:w="818" w:type="dxa"/>
            <w:tcBorders>
              <w:left w:val="single" w:color="auto" w:sz="2" w:space="0"/>
            </w:tcBorders>
            <w:vAlign w:val="center"/>
          </w:tcPr>
          <w:p w14:paraId="6A194339">
            <w:pPr>
              <w:pStyle w:val="8"/>
              <w:suppressLineNumbers w:val="0"/>
              <w:bidi w:val="0"/>
              <w:spacing w:before="0" w:beforeAutospacing="0" w:after="0" w:afterAutospacing="0"/>
              <w:ind w:left="0" w:right="0"/>
              <w:jc w:val="center"/>
              <w:rPr>
                <w:rFonts w:hint="eastAsia"/>
                <w:highlight w:val="none"/>
                <w:lang w:val="en-US" w:eastAsia="zh-CN"/>
              </w:rPr>
            </w:pPr>
            <w:r>
              <w:rPr>
                <w:rFonts w:hint="eastAsia" w:cs="Times New Roman"/>
                <w:highlight w:val="none"/>
                <w:lang w:val="en-US" w:eastAsia="zh-CN"/>
              </w:rPr>
              <w:t>单管单层</w:t>
            </w:r>
          </w:p>
        </w:tc>
      </w:tr>
      <w:tr w14:paraId="194469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4FF2339A">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10</w:t>
            </w:r>
          </w:p>
        </w:tc>
        <w:tc>
          <w:tcPr>
            <w:tcW w:w="1422" w:type="dxa"/>
            <w:vAlign w:val="center"/>
          </w:tcPr>
          <w:p w14:paraId="30131DD5">
            <w:pPr>
              <w:pStyle w:val="8"/>
              <w:suppressLineNumbers w:val="0"/>
              <w:bidi w:val="0"/>
              <w:spacing w:before="0" w:beforeAutospacing="0" w:after="0" w:afterAutospacing="0"/>
              <w:ind w:left="0" w:right="0"/>
              <w:jc w:val="center"/>
              <w:rPr>
                <w:rFonts w:hint="default"/>
                <w:highlight w:val="none"/>
              </w:rPr>
            </w:pPr>
            <w:r>
              <w:rPr>
                <w:rFonts w:hint="default"/>
                <w:highlight w:val="none"/>
                <w:lang w:val="en-US" w:eastAsia="zh-CN"/>
              </w:rPr>
              <w:t>10#</w:t>
            </w:r>
            <w:r>
              <w:rPr>
                <w:rFonts w:hint="eastAsia" w:cs="Times New Roman"/>
                <w:highlight w:val="none"/>
                <w:lang w:val="en-US" w:eastAsia="zh-CN"/>
              </w:rPr>
              <w:t>厂址下游</w:t>
            </w:r>
          </w:p>
        </w:tc>
        <w:tc>
          <w:tcPr>
            <w:tcW w:w="993" w:type="dxa"/>
            <w:vAlign w:val="center"/>
          </w:tcPr>
          <w:p w14:paraId="2B0470B8">
            <w:pPr>
              <w:pStyle w:val="8"/>
              <w:suppressLineNumbers w:val="0"/>
              <w:bidi w:val="0"/>
              <w:spacing w:before="0" w:beforeAutospacing="0" w:after="0" w:afterAutospacing="0"/>
              <w:ind w:left="0" w:leftChars="0" w:right="0" w:rightChars="0" w:firstLine="0" w:firstLineChars="0"/>
              <w:jc w:val="center"/>
              <w:rPr>
                <w:rFonts w:hint="default"/>
                <w:highlight w:val="none"/>
              </w:rPr>
            </w:pPr>
            <w:r>
              <w:rPr>
                <w:rFonts w:hint="eastAsia" w:ascii="Times New Roman" w:hAnsi="Times New Roman" w:eastAsia="宋体" w:cs="Times New Roman"/>
                <w:highlight w:val="none"/>
                <w:lang w:val="en-US" w:eastAsia="zh-CN"/>
              </w:rPr>
              <w:t>水位</w:t>
            </w:r>
          </w:p>
        </w:tc>
        <w:tc>
          <w:tcPr>
            <w:tcW w:w="649" w:type="dxa"/>
            <w:vAlign w:val="center"/>
          </w:tcPr>
          <w:p w14:paraId="329BEB25">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承压水</w:t>
            </w:r>
            <w:r>
              <w:rPr>
                <w:rFonts w:hint="default"/>
                <w:highlight w:val="none"/>
              </w:rPr>
              <w:t>水层</w:t>
            </w:r>
          </w:p>
        </w:tc>
        <w:tc>
          <w:tcPr>
            <w:tcW w:w="1185" w:type="dxa"/>
            <w:tcBorders>
              <w:right w:val="single" w:color="auto" w:sz="2" w:space="0"/>
            </w:tcBorders>
            <w:vAlign w:val="center"/>
          </w:tcPr>
          <w:p w14:paraId="04C3FE3A">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144.0</w:t>
            </w:r>
          </w:p>
        </w:tc>
        <w:tc>
          <w:tcPr>
            <w:tcW w:w="1259" w:type="dxa"/>
            <w:tcBorders>
              <w:left w:val="single" w:color="auto" w:sz="2" w:space="0"/>
            </w:tcBorders>
            <w:vAlign w:val="center"/>
          </w:tcPr>
          <w:p w14:paraId="6B6371DE">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143.4</w:t>
            </w:r>
          </w:p>
        </w:tc>
        <w:tc>
          <w:tcPr>
            <w:tcW w:w="684" w:type="dxa"/>
            <w:tcBorders>
              <w:left w:val="single" w:color="auto" w:sz="2" w:space="0"/>
            </w:tcBorders>
            <w:vAlign w:val="center"/>
          </w:tcPr>
          <w:p w14:paraId="4068EDE0">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65</w:t>
            </w:r>
          </w:p>
        </w:tc>
        <w:tc>
          <w:tcPr>
            <w:tcW w:w="1011" w:type="dxa"/>
            <w:tcBorders>
              <w:left w:val="single" w:color="auto" w:sz="2" w:space="0"/>
            </w:tcBorders>
            <w:vAlign w:val="center"/>
          </w:tcPr>
          <w:p w14:paraId="1E3DB5D1">
            <w:pPr>
              <w:pStyle w:val="8"/>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监测孔</w:t>
            </w:r>
          </w:p>
        </w:tc>
        <w:tc>
          <w:tcPr>
            <w:tcW w:w="818" w:type="dxa"/>
            <w:tcBorders>
              <w:left w:val="single" w:color="auto" w:sz="2" w:space="0"/>
            </w:tcBorders>
            <w:vAlign w:val="center"/>
          </w:tcPr>
          <w:p w14:paraId="32C0794F">
            <w:pPr>
              <w:pStyle w:val="8"/>
              <w:suppressLineNumbers w:val="0"/>
              <w:bidi w:val="0"/>
              <w:spacing w:before="0" w:beforeAutospacing="0" w:after="0" w:afterAutospacing="0"/>
              <w:ind w:left="0" w:right="0"/>
              <w:jc w:val="center"/>
              <w:rPr>
                <w:rFonts w:hint="eastAsia"/>
                <w:highlight w:val="none"/>
                <w:lang w:val="en-US" w:eastAsia="zh-CN"/>
              </w:rPr>
            </w:pPr>
            <w:r>
              <w:rPr>
                <w:rFonts w:hint="eastAsia" w:cs="Times New Roman"/>
                <w:highlight w:val="none"/>
                <w:lang w:val="en-US" w:eastAsia="zh-CN"/>
              </w:rPr>
              <w:t>单管单层</w:t>
            </w:r>
          </w:p>
        </w:tc>
      </w:tr>
      <w:tr w14:paraId="5085EE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61D75A09">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11</w:t>
            </w:r>
          </w:p>
        </w:tc>
        <w:tc>
          <w:tcPr>
            <w:tcW w:w="1422" w:type="dxa"/>
            <w:vAlign w:val="center"/>
          </w:tcPr>
          <w:p w14:paraId="114AB73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1</w:t>
            </w:r>
            <w:r>
              <w:rPr>
                <w:rFonts w:hint="eastAsia" w:ascii="Times New Roman" w:hAnsi="Times New Roman" w:eastAsia="宋体" w:cs="Times New Roman"/>
                <w:color w:val="000000"/>
                <w:kern w:val="0"/>
                <w:sz w:val="21"/>
                <w:szCs w:val="24"/>
                <w:highlight w:val="none"/>
                <w:lang w:val="en-US" w:eastAsia="zh-CN" w:bidi="ar-SA"/>
              </w:rPr>
              <w:t>1</w:t>
            </w:r>
            <w:r>
              <w:rPr>
                <w:rFonts w:hint="default" w:ascii="Times New Roman" w:hAnsi="Times New Roman" w:eastAsia="宋体" w:cs="Times New Roman"/>
                <w:color w:val="000000"/>
                <w:kern w:val="0"/>
                <w:sz w:val="21"/>
                <w:szCs w:val="24"/>
                <w:highlight w:val="none"/>
                <w:lang w:val="en-US" w:eastAsia="zh-CN" w:bidi="ar-SA"/>
              </w:rPr>
              <w:t>#</w:t>
            </w:r>
            <w:r>
              <w:rPr>
                <w:rFonts w:hint="eastAsia" w:cs="Times New Roman"/>
                <w:highlight w:val="none"/>
                <w:lang w:val="en-US" w:eastAsia="zh-CN"/>
              </w:rPr>
              <w:t>厂址侧向</w:t>
            </w:r>
          </w:p>
        </w:tc>
        <w:tc>
          <w:tcPr>
            <w:tcW w:w="993" w:type="dxa"/>
            <w:vAlign w:val="center"/>
          </w:tcPr>
          <w:p w14:paraId="3244ABEE">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7A29A60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45CF6817">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137.2</w:t>
            </w:r>
          </w:p>
        </w:tc>
        <w:tc>
          <w:tcPr>
            <w:tcW w:w="1259" w:type="dxa"/>
            <w:tcBorders>
              <w:left w:val="single" w:color="auto" w:sz="2" w:space="0"/>
            </w:tcBorders>
            <w:vAlign w:val="center"/>
          </w:tcPr>
          <w:p w14:paraId="791B4523">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136.4</w:t>
            </w:r>
          </w:p>
        </w:tc>
        <w:tc>
          <w:tcPr>
            <w:tcW w:w="684" w:type="dxa"/>
            <w:tcBorders>
              <w:left w:val="single" w:color="auto" w:sz="2" w:space="0"/>
            </w:tcBorders>
            <w:vAlign w:val="center"/>
          </w:tcPr>
          <w:p w14:paraId="1442E029">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85</w:t>
            </w:r>
          </w:p>
        </w:tc>
        <w:tc>
          <w:tcPr>
            <w:tcW w:w="1011" w:type="dxa"/>
            <w:tcBorders>
              <w:left w:val="single" w:color="auto" w:sz="2" w:space="0"/>
            </w:tcBorders>
            <w:vAlign w:val="center"/>
          </w:tcPr>
          <w:p w14:paraId="32FF9098">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48C7DE9A">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单管单层</w:t>
            </w:r>
          </w:p>
        </w:tc>
      </w:tr>
      <w:tr w14:paraId="3BFB06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6DB8840F">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12</w:t>
            </w:r>
          </w:p>
        </w:tc>
        <w:tc>
          <w:tcPr>
            <w:tcW w:w="1422" w:type="dxa"/>
            <w:vAlign w:val="center"/>
          </w:tcPr>
          <w:p w14:paraId="3345780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1</w:t>
            </w:r>
            <w:r>
              <w:rPr>
                <w:rFonts w:hint="eastAsia" w:ascii="Times New Roman" w:hAnsi="Times New Roman" w:eastAsia="宋体" w:cs="Times New Roman"/>
                <w:color w:val="000000"/>
                <w:kern w:val="0"/>
                <w:sz w:val="21"/>
                <w:szCs w:val="24"/>
                <w:highlight w:val="none"/>
                <w:lang w:val="en-US" w:eastAsia="zh-CN" w:bidi="ar-SA"/>
              </w:rPr>
              <w:t>2</w:t>
            </w:r>
            <w:r>
              <w:rPr>
                <w:rFonts w:hint="default" w:ascii="Times New Roman" w:hAnsi="Times New Roman" w:eastAsia="宋体" w:cs="Times New Roman"/>
                <w:color w:val="000000"/>
                <w:kern w:val="0"/>
                <w:sz w:val="21"/>
                <w:szCs w:val="24"/>
                <w:highlight w:val="none"/>
                <w:lang w:val="en-US" w:eastAsia="zh-CN" w:bidi="ar-SA"/>
              </w:rPr>
              <w:t>#</w:t>
            </w:r>
            <w:r>
              <w:rPr>
                <w:rFonts w:hint="eastAsia" w:cs="Times New Roman"/>
                <w:highlight w:val="none"/>
                <w:lang w:val="en-US" w:eastAsia="zh-CN"/>
              </w:rPr>
              <w:t>厂址下游</w:t>
            </w:r>
          </w:p>
        </w:tc>
        <w:tc>
          <w:tcPr>
            <w:tcW w:w="993" w:type="dxa"/>
            <w:vAlign w:val="center"/>
          </w:tcPr>
          <w:p w14:paraId="297544F2">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水位</w:t>
            </w:r>
          </w:p>
        </w:tc>
        <w:tc>
          <w:tcPr>
            <w:tcW w:w="649" w:type="dxa"/>
            <w:vAlign w:val="center"/>
          </w:tcPr>
          <w:p w14:paraId="6AFA36D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67BE9EBE">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141.9</w:t>
            </w:r>
          </w:p>
        </w:tc>
        <w:tc>
          <w:tcPr>
            <w:tcW w:w="1259" w:type="dxa"/>
            <w:tcBorders>
              <w:left w:val="single" w:color="auto" w:sz="2" w:space="0"/>
            </w:tcBorders>
            <w:vAlign w:val="center"/>
          </w:tcPr>
          <w:p w14:paraId="62C6E598">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141.2</w:t>
            </w:r>
          </w:p>
        </w:tc>
        <w:tc>
          <w:tcPr>
            <w:tcW w:w="684" w:type="dxa"/>
            <w:tcBorders>
              <w:left w:val="single" w:color="auto" w:sz="2" w:space="0"/>
            </w:tcBorders>
            <w:vAlign w:val="center"/>
          </w:tcPr>
          <w:p w14:paraId="7F474328">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75</w:t>
            </w:r>
          </w:p>
        </w:tc>
        <w:tc>
          <w:tcPr>
            <w:tcW w:w="1011" w:type="dxa"/>
            <w:tcBorders>
              <w:left w:val="single" w:color="auto" w:sz="2" w:space="0"/>
            </w:tcBorders>
            <w:vAlign w:val="center"/>
          </w:tcPr>
          <w:p w14:paraId="34ED3B46">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52576973">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单管单层</w:t>
            </w:r>
          </w:p>
        </w:tc>
      </w:tr>
      <w:tr w14:paraId="6A9DEC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3D39B101">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13</w:t>
            </w:r>
          </w:p>
        </w:tc>
        <w:tc>
          <w:tcPr>
            <w:tcW w:w="1422" w:type="dxa"/>
            <w:vAlign w:val="center"/>
          </w:tcPr>
          <w:p w14:paraId="7362937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default" w:ascii="Times New Roman" w:hAnsi="Times New Roman" w:eastAsia="宋体" w:cs="Times New Roman"/>
                <w:color w:val="000000"/>
                <w:kern w:val="0"/>
                <w:sz w:val="21"/>
                <w:szCs w:val="24"/>
                <w:highlight w:val="none"/>
                <w:lang w:val="en-US" w:eastAsia="zh-CN" w:bidi="ar-SA"/>
              </w:rPr>
              <w:t>1</w:t>
            </w:r>
            <w:r>
              <w:rPr>
                <w:rFonts w:hint="eastAsia" w:ascii="Times New Roman" w:hAnsi="Times New Roman" w:eastAsia="宋体" w:cs="Times New Roman"/>
                <w:color w:val="000000"/>
                <w:kern w:val="0"/>
                <w:sz w:val="21"/>
                <w:szCs w:val="24"/>
                <w:highlight w:val="none"/>
                <w:lang w:val="en-US" w:eastAsia="zh-CN" w:bidi="ar-SA"/>
              </w:rPr>
              <w:t>3</w:t>
            </w:r>
            <w:r>
              <w:rPr>
                <w:rFonts w:hint="default" w:ascii="Times New Roman" w:hAnsi="Times New Roman" w:eastAsia="宋体" w:cs="Times New Roman"/>
                <w:color w:val="000000"/>
                <w:kern w:val="0"/>
                <w:sz w:val="21"/>
                <w:szCs w:val="24"/>
                <w:highlight w:val="none"/>
                <w:lang w:val="en-US" w:eastAsia="zh-CN" w:bidi="ar-SA"/>
              </w:rPr>
              <w:t>#</w:t>
            </w:r>
            <w:r>
              <w:rPr>
                <w:rFonts w:hint="eastAsia" w:cs="Times New Roman"/>
                <w:highlight w:val="none"/>
                <w:lang w:val="en-US" w:eastAsia="zh-CN"/>
              </w:rPr>
              <w:t>厂址下游</w:t>
            </w:r>
          </w:p>
        </w:tc>
        <w:tc>
          <w:tcPr>
            <w:tcW w:w="993" w:type="dxa"/>
            <w:vAlign w:val="center"/>
          </w:tcPr>
          <w:p w14:paraId="07AEEB45">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25E14A2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0F8C47C5">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140.2</w:t>
            </w:r>
          </w:p>
        </w:tc>
        <w:tc>
          <w:tcPr>
            <w:tcW w:w="1259" w:type="dxa"/>
            <w:tcBorders>
              <w:left w:val="single" w:color="auto" w:sz="2" w:space="0"/>
            </w:tcBorders>
            <w:vAlign w:val="center"/>
          </w:tcPr>
          <w:p w14:paraId="40F59010">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139.4</w:t>
            </w:r>
          </w:p>
        </w:tc>
        <w:tc>
          <w:tcPr>
            <w:tcW w:w="684" w:type="dxa"/>
            <w:tcBorders>
              <w:left w:val="single" w:color="auto" w:sz="2" w:space="0"/>
            </w:tcBorders>
            <w:vAlign w:val="center"/>
          </w:tcPr>
          <w:p w14:paraId="7591F038">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80</w:t>
            </w:r>
          </w:p>
        </w:tc>
        <w:tc>
          <w:tcPr>
            <w:tcW w:w="1011" w:type="dxa"/>
            <w:tcBorders>
              <w:left w:val="single" w:color="auto" w:sz="2" w:space="0"/>
            </w:tcBorders>
            <w:vAlign w:val="center"/>
          </w:tcPr>
          <w:p w14:paraId="2A77B358">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3A363940">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单管单层</w:t>
            </w:r>
          </w:p>
        </w:tc>
      </w:tr>
      <w:tr w14:paraId="7794F4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6B7EA078">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w:t>
            </w:r>
          </w:p>
        </w:tc>
        <w:tc>
          <w:tcPr>
            <w:tcW w:w="1422" w:type="dxa"/>
            <w:vAlign w:val="center"/>
          </w:tcPr>
          <w:p w14:paraId="2BC91D2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14</w:t>
            </w:r>
            <w:r>
              <w:rPr>
                <w:rFonts w:hint="default" w:ascii="Times New Roman" w:hAnsi="Times New Roman" w:eastAsia="宋体" w:cs="Times New Roman"/>
                <w:color w:val="000000"/>
                <w:kern w:val="0"/>
                <w:sz w:val="21"/>
                <w:szCs w:val="24"/>
                <w:highlight w:val="none"/>
                <w:lang w:val="en-US" w:eastAsia="zh-CN" w:bidi="ar-SA"/>
              </w:rPr>
              <w:t>#</w:t>
            </w:r>
            <w:r>
              <w:rPr>
                <w:rFonts w:hint="eastAsia" w:ascii="Times New Roman" w:hAnsi="Times New Roman" w:eastAsia="宋体" w:cs="Times New Roman"/>
                <w:color w:val="000000"/>
                <w:kern w:val="0"/>
                <w:sz w:val="21"/>
                <w:szCs w:val="24"/>
                <w:highlight w:val="none"/>
                <w:lang w:val="en-US" w:eastAsia="zh-CN" w:bidi="ar-SA"/>
              </w:rPr>
              <w:t>厂址上游</w:t>
            </w:r>
          </w:p>
        </w:tc>
        <w:tc>
          <w:tcPr>
            <w:tcW w:w="993" w:type="dxa"/>
            <w:vAlign w:val="center"/>
          </w:tcPr>
          <w:p w14:paraId="18C16103">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23229BC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45C97988">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142.1</w:t>
            </w:r>
          </w:p>
        </w:tc>
        <w:tc>
          <w:tcPr>
            <w:tcW w:w="1259" w:type="dxa"/>
            <w:tcBorders>
              <w:left w:val="single" w:color="auto" w:sz="2" w:space="0"/>
            </w:tcBorders>
            <w:vAlign w:val="center"/>
          </w:tcPr>
          <w:p w14:paraId="0CB469BC">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141.2</w:t>
            </w:r>
          </w:p>
        </w:tc>
        <w:tc>
          <w:tcPr>
            <w:tcW w:w="684" w:type="dxa"/>
            <w:tcBorders>
              <w:left w:val="single" w:color="auto" w:sz="2" w:space="0"/>
            </w:tcBorders>
            <w:vAlign w:val="center"/>
          </w:tcPr>
          <w:p w14:paraId="35D7E21F">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80</w:t>
            </w:r>
          </w:p>
        </w:tc>
        <w:tc>
          <w:tcPr>
            <w:tcW w:w="1011" w:type="dxa"/>
            <w:tcBorders>
              <w:left w:val="single" w:color="auto" w:sz="2" w:space="0"/>
            </w:tcBorders>
            <w:vAlign w:val="center"/>
          </w:tcPr>
          <w:p w14:paraId="0EA96FAD">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05843B39">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单管单层</w:t>
            </w:r>
          </w:p>
        </w:tc>
      </w:tr>
      <w:tr w14:paraId="293194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2CD92764">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15</w:t>
            </w:r>
          </w:p>
        </w:tc>
        <w:tc>
          <w:tcPr>
            <w:tcW w:w="1422" w:type="dxa"/>
            <w:vAlign w:val="center"/>
          </w:tcPr>
          <w:p w14:paraId="1630079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15</w:t>
            </w:r>
            <w:r>
              <w:rPr>
                <w:rFonts w:hint="default" w:ascii="Times New Roman" w:hAnsi="Times New Roman" w:eastAsia="宋体" w:cs="Times New Roman"/>
                <w:color w:val="000000"/>
                <w:kern w:val="0"/>
                <w:sz w:val="21"/>
                <w:szCs w:val="24"/>
                <w:highlight w:val="none"/>
                <w:lang w:val="en-US" w:eastAsia="zh-CN" w:bidi="ar-SA"/>
              </w:rPr>
              <w:t>#</w:t>
            </w:r>
            <w:r>
              <w:rPr>
                <w:rFonts w:hint="eastAsia" w:ascii="Times New Roman" w:hAnsi="Times New Roman" w:eastAsia="宋体" w:cs="Times New Roman"/>
                <w:color w:val="000000"/>
                <w:kern w:val="0"/>
                <w:sz w:val="21"/>
                <w:szCs w:val="24"/>
                <w:highlight w:val="none"/>
                <w:lang w:val="en-US" w:eastAsia="zh-CN" w:bidi="ar-SA"/>
              </w:rPr>
              <w:t>长治侧向</w:t>
            </w:r>
          </w:p>
        </w:tc>
        <w:tc>
          <w:tcPr>
            <w:tcW w:w="993" w:type="dxa"/>
            <w:vAlign w:val="center"/>
          </w:tcPr>
          <w:p w14:paraId="37FB99C1">
            <w:pPr>
              <w:pStyle w:val="8"/>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6DA0A22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6AA48CA6">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145.6</w:t>
            </w:r>
          </w:p>
        </w:tc>
        <w:tc>
          <w:tcPr>
            <w:tcW w:w="1259" w:type="dxa"/>
            <w:tcBorders>
              <w:left w:val="single" w:color="auto" w:sz="2" w:space="0"/>
            </w:tcBorders>
            <w:vAlign w:val="center"/>
          </w:tcPr>
          <w:p w14:paraId="705A7F77">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144.5</w:t>
            </w:r>
          </w:p>
        </w:tc>
        <w:tc>
          <w:tcPr>
            <w:tcW w:w="684" w:type="dxa"/>
            <w:tcBorders>
              <w:left w:val="single" w:color="auto" w:sz="2" w:space="0"/>
            </w:tcBorders>
            <w:vAlign w:val="center"/>
          </w:tcPr>
          <w:p w14:paraId="16082484">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70</w:t>
            </w:r>
          </w:p>
        </w:tc>
        <w:tc>
          <w:tcPr>
            <w:tcW w:w="1011" w:type="dxa"/>
            <w:tcBorders>
              <w:left w:val="single" w:color="auto" w:sz="2" w:space="0"/>
            </w:tcBorders>
            <w:vAlign w:val="center"/>
          </w:tcPr>
          <w:p w14:paraId="2B6E62A8">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1B9E3FF5">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单管单层</w:t>
            </w:r>
          </w:p>
        </w:tc>
      </w:tr>
      <w:tr w14:paraId="354B75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2ECA862E">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16</w:t>
            </w:r>
          </w:p>
        </w:tc>
        <w:tc>
          <w:tcPr>
            <w:tcW w:w="1422" w:type="dxa"/>
            <w:vAlign w:val="center"/>
          </w:tcPr>
          <w:p w14:paraId="0D158F9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16</w:t>
            </w:r>
            <w:r>
              <w:rPr>
                <w:rFonts w:hint="default" w:ascii="Times New Roman" w:hAnsi="Times New Roman" w:eastAsia="宋体" w:cs="Times New Roman"/>
                <w:color w:val="000000"/>
                <w:kern w:val="0"/>
                <w:sz w:val="21"/>
                <w:szCs w:val="24"/>
                <w:highlight w:val="none"/>
                <w:lang w:val="en-US" w:eastAsia="zh-CN" w:bidi="ar-SA"/>
              </w:rPr>
              <w:t>#</w:t>
            </w:r>
            <w:r>
              <w:rPr>
                <w:rFonts w:hint="eastAsia" w:ascii="Times New Roman" w:hAnsi="Times New Roman" w:eastAsia="宋体" w:cs="Times New Roman"/>
                <w:color w:val="000000"/>
                <w:kern w:val="0"/>
                <w:sz w:val="21"/>
                <w:szCs w:val="24"/>
                <w:highlight w:val="none"/>
                <w:lang w:val="en-US" w:eastAsia="zh-CN" w:bidi="ar-SA"/>
              </w:rPr>
              <w:t>厂址下游</w:t>
            </w:r>
          </w:p>
        </w:tc>
        <w:tc>
          <w:tcPr>
            <w:tcW w:w="993" w:type="dxa"/>
            <w:vAlign w:val="center"/>
          </w:tcPr>
          <w:p w14:paraId="02215396">
            <w:pPr>
              <w:pStyle w:val="8"/>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6770D4B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514C33BE">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144.1</w:t>
            </w:r>
          </w:p>
        </w:tc>
        <w:tc>
          <w:tcPr>
            <w:tcW w:w="1259" w:type="dxa"/>
            <w:tcBorders>
              <w:left w:val="single" w:color="auto" w:sz="2" w:space="0"/>
            </w:tcBorders>
            <w:vAlign w:val="center"/>
          </w:tcPr>
          <w:p w14:paraId="3B4F1123">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143.5</w:t>
            </w:r>
          </w:p>
        </w:tc>
        <w:tc>
          <w:tcPr>
            <w:tcW w:w="684" w:type="dxa"/>
            <w:tcBorders>
              <w:left w:val="single" w:color="auto" w:sz="2" w:space="0"/>
            </w:tcBorders>
            <w:vAlign w:val="center"/>
          </w:tcPr>
          <w:p w14:paraId="3E911390">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60</w:t>
            </w:r>
          </w:p>
        </w:tc>
        <w:tc>
          <w:tcPr>
            <w:tcW w:w="1011" w:type="dxa"/>
            <w:tcBorders>
              <w:left w:val="single" w:color="auto" w:sz="2" w:space="0"/>
            </w:tcBorders>
            <w:vAlign w:val="center"/>
          </w:tcPr>
          <w:p w14:paraId="734BCAFE">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7E989EEE">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单管单层</w:t>
            </w:r>
          </w:p>
        </w:tc>
      </w:tr>
      <w:tr w14:paraId="406783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0D3B54A0">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17</w:t>
            </w:r>
          </w:p>
        </w:tc>
        <w:tc>
          <w:tcPr>
            <w:tcW w:w="1422" w:type="dxa"/>
            <w:vAlign w:val="center"/>
          </w:tcPr>
          <w:p w14:paraId="52DE7AE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17</w:t>
            </w:r>
            <w:r>
              <w:rPr>
                <w:rFonts w:hint="default" w:ascii="Times New Roman" w:hAnsi="Times New Roman" w:eastAsia="宋体" w:cs="Times New Roman"/>
                <w:color w:val="000000"/>
                <w:kern w:val="0"/>
                <w:sz w:val="21"/>
                <w:szCs w:val="24"/>
                <w:highlight w:val="none"/>
                <w:lang w:val="en-US" w:eastAsia="zh-CN" w:bidi="ar-SA"/>
              </w:rPr>
              <w:t>#</w:t>
            </w:r>
            <w:r>
              <w:rPr>
                <w:rFonts w:hint="eastAsia" w:ascii="Times New Roman" w:hAnsi="Times New Roman" w:eastAsia="宋体" w:cs="Times New Roman"/>
                <w:color w:val="000000"/>
                <w:kern w:val="0"/>
                <w:sz w:val="21"/>
                <w:szCs w:val="24"/>
                <w:highlight w:val="none"/>
                <w:lang w:val="en-US" w:eastAsia="zh-CN" w:bidi="ar-SA"/>
              </w:rPr>
              <w:t>厂址侧向</w:t>
            </w:r>
          </w:p>
        </w:tc>
        <w:tc>
          <w:tcPr>
            <w:tcW w:w="993" w:type="dxa"/>
            <w:vAlign w:val="center"/>
          </w:tcPr>
          <w:p w14:paraId="3A7619EF">
            <w:pPr>
              <w:pStyle w:val="8"/>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32AF77E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7AA2B65B">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145.6</w:t>
            </w:r>
          </w:p>
        </w:tc>
        <w:tc>
          <w:tcPr>
            <w:tcW w:w="1259" w:type="dxa"/>
            <w:tcBorders>
              <w:left w:val="single" w:color="auto" w:sz="2" w:space="0"/>
            </w:tcBorders>
            <w:vAlign w:val="center"/>
          </w:tcPr>
          <w:p w14:paraId="1EF04F21">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144.5</w:t>
            </w:r>
          </w:p>
        </w:tc>
        <w:tc>
          <w:tcPr>
            <w:tcW w:w="684" w:type="dxa"/>
            <w:tcBorders>
              <w:left w:val="single" w:color="auto" w:sz="2" w:space="0"/>
            </w:tcBorders>
            <w:vAlign w:val="center"/>
          </w:tcPr>
          <w:p w14:paraId="6E59F834">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75</w:t>
            </w:r>
          </w:p>
        </w:tc>
        <w:tc>
          <w:tcPr>
            <w:tcW w:w="1011" w:type="dxa"/>
            <w:tcBorders>
              <w:left w:val="single" w:color="auto" w:sz="2" w:space="0"/>
            </w:tcBorders>
            <w:vAlign w:val="center"/>
          </w:tcPr>
          <w:p w14:paraId="081BCBEF">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495ED292">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单管单层</w:t>
            </w:r>
          </w:p>
        </w:tc>
      </w:tr>
      <w:tr w14:paraId="756A37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6A5B4FCB">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18</w:t>
            </w:r>
          </w:p>
        </w:tc>
        <w:tc>
          <w:tcPr>
            <w:tcW w:w="1422" w:type="dxa"/>
            <w:vAlign w:val="center"/>
          </w:tcPr>
          <w:p w14:paraId="5D8D0DD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18</w:t>
            </w:r>
            <w:r>
              <w:rPr>
                <w:rFonts w:hint="default" w:ascii="Times New Roman" w:hAnsi="Times New Roman" w:eastAsia="宋体" w:cs="Times New Roman"/>
                <w:color w:val="000000"/>
                <w:kern w:val="0"/>
                <w:sz w:val="21"/>
                <w:szCs w:val="24"/>
                <w:highlight w:val="none"/>
                <w:lang w:val="en-US" w:eastAsia="zh-CN" w:bidi="ar-SA"/>
              </w:rPr>
              <w:t>#</w:t>
            </w:r>
            <w:r>
              <w:rPr>
                <w:rFonts w:hint="eastAsia" w:ascii="Times New Roman" w:hAnsi="Times New Roman" w:eastAsia="宋体" w:cs="Times New Roman"/>
                <w:color w:val="000000"/>
                <w:kern w:val="0"/>
                <w:sz w:val="21"/>
                <w:szCs w:val="24"/>
                <w:highlight w:val="none"/>
                <w:lang w:val="en-US" w:eastAsia="zh-CN" w:bidi="ar-SA"/>
              </w:rPr>
              <w:t>厂址上游</w:t>
            </w:r>
          </w:p>
        </w:tc>
        <w:tc>
          <w:tcPr>
            <w:tcW w:w="993" w:type="dxa"/>
            <w:vAlign w:val="center"/>
          </w:tcPr>
          <w:p w14:paraId="2983C834">
            <w:pPr>
              <w:pStyle w:val="8"/>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7FFE098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56FA3AB9">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144.1</w:t>
            </w:r>
          </w:p>
        </w:tc>
        <w:tc>
          <w:tcPr>
            <w:tcW w:w="1259" w:type="dxa"/>
            <w:tcBorders>
              <w:left w:val="single" w:color="auto" w:sz="2" w:space="0"/>
            </w:tcBorders>
            <w:vAlign w:val="center"/>
          </w:tcPr>
          <w:p w14:paraId="0F494402">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143.5</w:t>
            </w:r>
          </w:p>
        </w:tc>
        <w:tc>
          <w:tcPr>
            <w:tcW w:w="684" w:type="dxa"/>
            <w:tcBorders>
              <w:left w:val="single" w:color="auto" w:sz="2" w:space="0"/>
            </w:tcBorders>
            <w:vAlign w:val="center"/>
          </w:tcPr>
          <w:p w14:paraId="172BF399">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59</w:t>
            </w:r>
          </w:p>
        </w:tc>
        <w:tc>
          <w:tcPr>
            <w:tcW w:w="1011" w:type="dxa"/>
            <w:tcBorders>
              <w:left w:val="single" w:color="auto" w:sz="2" w:space="0"/>
            </w:tcBorders>
            <w:vAlign w:val="center"/>
          </w:tcPr>
          <w:p w14:paraId="613520CC">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0DE3D8B9">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单管单层</w:t>
            </w:r>
          </w:p>
        </w:tc>
      </w:tr>
      <w:tr w14:paraId="675112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4A33DB22">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19</w:t>
            </w:r>
          </w:p>
        </w:tc>
        <w:tc>
          <w:tcPr>
            <w:tcW w:w="1422" w:type="dxa"/>
            <w:vAlign w:val="center"/>
          </w:tcPr>
          <w:p w14:paraId="5C88993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19</w:t>
            </w:r>
            <w:r>
              <w:rPr>
                <w:rFonts w:hint="default" w:ascii="Times New Roman" w:hAnsi="Times New Roman" w:eastAsia="宋体" w:cs="Times New Roman"/>
                <w:color w:val="000000"/>
                <w:kern w:val="0"/>
                <w:sz w:val="21"/>
                <w:szCs w:val="24"/>
                <w:highlight w:val="none"/>
                <w:lang w:val="en-US" w:eastAsia="zh-CN" w:bidi="ar-SA"/>
              </w:rPr>
              <w:t>#</w:t>
            </w:r>
            <w:r>
              <w:rPr>
                <w:rFonts w:hint="eastAsia" w:ascii="Times New Roman" w:hAnsi="Times New Roman" w:eastAsia="宋体" w:cs="Times New Roman"/>
                <w:color w:val="000000"/>
                <w:kern w:val="0"/>
                <w:sz w:val="21"/>
                <w:szCs w:val="24"/>
                <w:highlight w:val="none"/>
                <w:lang w:val="en-US" w:eastAsia="zh-CN" w:bidi="ar-SA"/>
              </w:rPr>
              <w:t>厂址上游</w:t>
            </w:r>
          </w:p>
        </w:tc>
        <w:tc>
          <w:tcPr>
            <w:tcW w:w="993" w:type="dxa"/>
            <w:vAlign w:val="center"/>
          </w:tcPr>
          <w:p w14:paraId="527D6D22">
            <w:pPr>
              <w:pStyle w:val="8"/>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3ABA4B5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25A91B12">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145.6</w:t>
            </w:r>
          </w:p>
        </w:tc>
        <w:tc>
          <w:tcPr>
            <w:tcW w:w="1259" w:type="dxa"/>
            <w:tcBorders>
              <w:left w:val="single" w:color="auto" w:sz="2" w:space="0"/>
            </w:tcBorders>
            <w:vAlign w:val="center"/>
          </w:tcPr>
          <w:p w14:paraId="3CB329E2">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144.5</w:t>
            </w:r>
          </w:p>
        </w:tc>
        <w:tc>
          <w:tcPr>
            <w:tcW w:w="684" w:type="dxa"/>
            <w:tcBorders>
              <w:left w:val="single" w:color="auto" w:sz="2" w:space="0"/>
            </w:tcBorders>
            <w:vAlign w:val="center"/>
          </w:tcPr>
          <w:p w14:paraId="6AF4BFAB">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75</w:t>
            </w:r>
          </w:p>
        </w:tc>
        <w:tc>
          <w:tcPr>
            <w:tcW w:w="1011" w:type="dxa"/>
            <w:tcBorders>
              <w:left w:val="single" w:color="auto" w:sz="2" w:space="0"/>
            </w:tcBorders>
            <w:vAlign w:val="center"/>
          </w:tcPr>
          <w:p w14:paraId="39B3333E">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16E8CE72">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单管单层</w:t>
            </w:r>
          </w:p>
        </w:tc>
      </w:tr>
      <w:tr w14:paraId="601381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1" w:type="dxa"/>
            <w:vAlign w:val="center"/>
          </w:tcPr>
          <w:p w14:paraId="1B6EAA00">
            <w:pPr>
              <w:pStyle w:val="8"/>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20</w:t>
            </w:r>
          </w:p>
        </w:tc>
        <w:tc>
          <w:tcPr>
            <w:tcW w:w="1422" w:type="dxa"/>
            <w:vAlign w:val="center"/>
          </w:tcPr>
          <w:p w14:paraId="445E75A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20</w:t>
            </w:r>
            <w:r>
              <w:rPr>
                <w:rFonts w:hint="default" w:ascii="Times New Roman" w:hAnsi="Times New Roman" w:eastAsia="宋体" w:cs="Times New Roman"/>
                <w:color w:val="000000"/>
                <w:kern w:val="0"/>
                <w:sz w:val="21"/>
                <w:szCs w:val="24"/>
                <w:highlight w:val="none"/>
                <w:lang w:val="en-US" w:eastAsia="zh-CN" w:bidi="ar-SA"/>
              </w:rPr>
              <w:t>#</w:t>
            </w:r>
            <w:r>
              <w:rPr>
                <w:rFonts w:hint="eastAsia" w:ascii="Times New Roman" w:hAnsi="Times New Roman" w:eastAsia="宋体" w:cs="Times New Roman"/>
                <w:color w:val="000000"/>
                <w:kern w:val="0"/>
                <w:sz w:val="21"/>
                <w:szCs w:val="24"/>
                <w:highlight w:val="none"/>
                <w:lang w:val="en-US" w:eastAsia="zh-CN" w:bidi="ar-SA"/>
              </w:rPr>
              <w:t>厂址下游</w:t>
            </w:r>
          </w:p>
        </w:tc>
        <w:tc>
          <w:tcPr>
            <w:tcW w:w="993" w:type="dxa"/>
            <w:vAlign w:val="center"/>
          </w:tcPr>
          <w:p w14:paraId="6AD23DEE">
            <w:pPr>
              <w:pStyle w:val="8"/>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水位</w:t>
            </w:r>
          </w:p>
        </w:tc>
        <w:tc>
          <w:tcPr>
            <w:tcW w:w="649" w:type="dxa"/>
            <w:vAlign w:val="center"/>
          </w:tcPr>
          <w:p w14:paraId="6B33141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潜水水层</w:t>
            </w:r>
          </w:p>
        </w:tc>
        <w:tc>
          <w:tcPr>
            <w:tcW w:w="1185" w:type="dxa"/>
            <w:tcBorders>
              <w:right w:val="single" w:color="auto" w:sz="2" w:space="0"/>
            </w:tcBorders>
            <w:vAlign w:val="center"/>
          </w:tcPr>
          <w:p w14:paraId="7D53BA07">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144.1</w:t>
            </w:r>
          </w:p>
        </w:tc>
        <w:tc>
          <w:tcPr>
            <w:tcW w:w="1259" w:type="dxa"/>
            <w:tcBorders>
              <w:left w:val="single" w:color="auto" w:sz="2" w:space="0"/>
            </w:tcBorders>
            <w:vAlign w:val="center"/>
          </w:tcPr>
          <w:p w14:paraId="5D8797A7">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143.5</w:t>
            </w:r>
          </w:p>
        </w:tc>
        <w:tc>
          <w:tcPr>
            <w:tcW w:w="684" w:type="dxa"/>
            <w:tcBorders>
              <w:left w:val="single" w:color="auto" w:sz="2" w:space="0"/>
            </w:tcBorders>
            <w:vAlign w:val="center"/>
          </w:tcPr>
          <w:p w14:paraId="454C1A13">
            <w:pPr>
              <w:pStyle w:val="8"/>
              <w:suppressLineNumbers w:val="0"/>
              <w:bidi w:val="0"/>
              <w:spacing w:before="0" w:beforeAutospacing="0" w:after="0" w:afterAutospacing="0"/>
              <w:ind w:left="0" w:leftChars="0" w:right="0" w:rightChars="0" w:firstLine="0" w:firstLineChars="0"/>
              <w:jc w:val="center"/>
              <w:rPr>
                <w:rFonts w:hint="eastAsia"/>
                <w:highlight w:val="none"/>
                <w:lang w:val="en-US" w:eastAsia="zh-CN"/>
              </w:rPr>
            </w:pPr>
            <w:r>
              <w:rPr>
                <w:rFonts w:hint="eastAsia"/>
                <w:highlight w:val="none"/>
                <w:lang w:val="en-US" w:eastAsia="zh-CN"/>
              </w:rPr>
              <w:t>65</w:t>
            </w:r>
          </w:p>
        </w:tc>
        <w:tc>
          <w:tcPr>
            <w:tcW w:w="1011" w:type="dxa"/>
            <w:tcBorders>
              <w:left w:val="single" w:color="auto" w:sz="2" w:space="0"/>
            </w:tcBorders>
            <w:vAlign w:val="center"/>
          </w:tcPr>
          <w:p w14:paraId="2F069966">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监测孔</w:t>
            </w:r>
          </w:p>
        </w:tc>
        <w:tc>
          <w:tcPr>
            <w:tcW w:w="818" w:type="dxa"/>
            <w:tcBorders>
              <w:left w:val="single" w:color="auto" w:sz="2" w:space="0"/>
            </w:tcBorders>
            <w:vAlign w:val="center"/>
          </w:tcPr>
          <w:p w14:paraId="231E6A16">
            <w:pPr>
              <w:pStyle w:val="8"/>
              <w:suppressLineNumbers w:val="0"/>
              <w:bidi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单管单层</w:t>
            </w:r>
          </w:p>
        </w:tc>
      </w:tr>
    </w:tbl>
    <w:p w14:paraId="4E4DD94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eastAsiaTheme="minorEastAsia"/>
          <w:b/>
          <w:kern w:val="0"/>
          <w:sz w:val="24"/>
          <w:highlight w:val="none"/>
        </w:rPr>
      </w:pPr>
      <w:r>
        <w:rPr>
          <w:rFonts w:ascii="Times New Roman" w:hAnsi="Times New Roman" w:cs="Times New Roman"/>
          <w:sz w:val="24"/>
          <w:szCs w:val="18"/>
        </w:rPr>
        <w:drawing>
          <wp:inline distT="0" distB="0" distL="114300" distR="114300">
            <wp:extent cx="5085080" cy="2854325"/>
            <wp:effectExtent l="9525" t="9525" r="10795" b="12700"/>
            <wp:docPr id="15" name="图片 18" descr="BL1B1$Q138OYJF9RO$VS_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BL1B1$Q138OYJF9RO$VS_IH"/>
                    <pic:cNvPicPr>
                      <a:picLocks noChangeAspect="1"/>
                    </pic:cNvPicPr>
                  </pic:nvPicPr>
                  <pic:blipFill>
                    <a:blip r:embed="rId49"/>
                    <a:stretch>
                      <a:fillRect/>
                    </a:stretch>
                  </pic:blipFill>
                  <pic:spPr>
                    <a:xfrm>
                      <a:off x="0" y="0"/>
                      <a:ext cx="5085080" cy="2854325"/>
                    </a:xfrm>
                    <a:prstGeom prst="rect">
                      <a:avLst/>
                    </a:prstGeom>
                    <a:noFill/>
                    <a:ln>
                      <a:solidFill>
                        <a:schemeClr val="tx1"/>
                      </a:solidFill>
                    </a:ln>
                  </pic:spPr>
                </pic:pic>
              </a:graphicData>
            </a:graphic>
          </wp:inline>
        </w:drawing>
      </w:r>
    </w:p>
    <w:p w14:paraId="5C0CD7C8">
      <w:pPr>
        <w:pStyle w:val="7"/>
        <w:bidi w:val="0"/>
        <w:rPr>
          <w:highlight w:val="none"/>
        </w:rPr>
      </w:pPr>
      <w:r>
        <w:rPr>
          <w:highlight w:val="none"/>
        </w:rPr>
        <w:t>图4-2-</w:t>
      </w:r>
      <w:r>
        <w:rPr>
          <w:rFonts w:hint="eastAsia"/>
          <w:highlight w:val="none"/>
          <w:lang w:val="en-US" w:eastAsia="zh-CN"/>
        </w:rPr>
        <w:t>2</w:t>
      </w:r>
      <w:r>
        <w:rPr>
          <w:highlight w:val="none"/>
        </w:rPr>
        <w:t>地下水监测点位</w:t>
      </w:r>
    </w:p>
    <w:p w14:paraId="62396A40">
      <w:pPr>
        <w:bidi w:val="0"/>
        <w:rPr>
          <w:highlight w:val="none"/>
        </w:rPr>
      </w:pPr>
      <w:bookmarkStart w:id="311" w:name="_Toc24506"/>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评价标准</w:t>
      </w:r>
      <w:bookmarkEnd w:id="311"/>
    </w:p>
    <w:p w14:paraId="1B1C2850">
      <w:pPr>
        <w:bidi w:val="0"/>
        <w:rPr>
          <w:highlight w:val="none"/>
        </w:rPr>
      </w:pPr>
      <w:r>
        <w:rPr>
          <w:highlight w:val="none"/>
        </w:rPr>
        <w:t>根据评价区地下水水质状况和使用功能，地下水评价执行《地下水质量标准》</w:t>
      </w:r>
      <w:r>
        <w:rPr>
          <w:rFonts w:hint="eastAsia"/>
          <w:highlight w:val="none"/>
          <w:lang w:eastAsia="zh-CN"/>
        </w:rPr>
        <w:t>（</w:t>
      </w:r>
      <w:r>
        <w:rPr>
          <w:highlight w:val="none"/>
        </w:rPr>
        <w:t>GB/T14848-2017</w:t>
      </w:r>
      <w:r>
        <w:rPr>
          <w:rFonts w:hint="eastAsia"/>
          <w:highlight w:val="none"/>
          <w:lang w:eastAsia="zh-CN"/>
        </w:rPr>
        <w:t>）</w:t>
      </w:r>
      <w:r>
        <w:rPr>
          <w:highlight w:val="none"/>
        </w:rPr>
        <w:t>Ⅲ类标准；石油类执行标准参照《地表水环境质量标准》（GB3838-2002）Ⅲ类标准要求。</w:t>
      </w:r>
    </w:p>
    <w:p w14:paraId="7DBD5121">
      <w:pPr>
        <w:bidi w:val="0"/>
        <w:rPr>
          <w:highlight w:val="none"/>
        </w:rPr>
      </w:pPr>
      <w:bookmarkStart w:id="312" w:name="_Toc16772"/>
      <w:r>
        <w:rPr>
          <w:rFonts w:hint="eastAsia"/>
          <w:highlight w:val="none"/>
          <w:lang w:eastAsia="zh-CN"/>
        </w:rPr>
        <w:t>（</w:t>
      </w:r>
      <w:r>
        <w:rPr>
          <w:rFonts w:hint="eastAsia"/>
          <w:highlight w:val="none"/>
          <w:lang w:val="en-US" w:eastAsia="zh-CN"/>
        </w:rPr>
        <w:t>3</w:t>
      </w:r>
      <w:r>
        <w:rPr>
          <w:rFonts w:hint="eastAsia"/>
          <w:highlight w:val="none"/>
          <w:lang w:eastAsia="zh-CN"/>
        </w:rPr>
        <w:t>）</w:t>
      </w:r>
      <w:r>
        <w:rPr>
          <w:highlight w:val="none"/>
        </w:rPr>
        <w:t>监测结果与评价</w:t>
      </w:r>
      <w:bookmarkEnd w:id="312"/>
    </w:p>
    <w:p w14:paraId="2F1930CD">
      <w:pPr>
        <w:bidi w:val="0"/>
        <w:rPr>
          <w:highlight w:val="none"/>
        </w:rPr>
      </w:pPr>
      <w:r>
        <w:rPr>
          <w:highlight w:val="none"/>
        </w:rPr>
        <w:t>地下水监测结果见</w:t>
      </w:r>
      <w:r>
        <w:rPr>
          <w:rFonts w:hint="eastAsia"/>
          <w:highlight w:val="none"/>
          <w:lang w:val="en-US" w:eastAsia="zh-CN"/>
        </w:rPr>
        <w:t>下表</w:t>
      </w:r>
      <w:r>
        <w:rPr>
          <w:highlight w:val="none"/>
        </w:rPr>
        <w:t>。</w:t>
      </w:r>
    </w:p>
    <w:p w14:paraId="38065937">
      <w:pPr>
        <w:pStyle w:val="7"/>
        <w:bidi w:val="0"/>
        <w:rPr>
          <w:highlight w:val="none"/>
        </w:rPr>
      </w:pPr>
      <w:r>
        <w:rPr>
          <w:highlight w:val="none"/>
        </w:rPr>
        <w:t>表4-2-</w:t>
      </w:r>
      <w:r>
        <w:rPr>
          <w:rFonts w:hint="eastAsia"/>
          <w:highlight w:val="none"/>
          <w:lang w:val="en-US" w:eastAsia="zh-CN"/>
        </w:rPr>
        <w:t>5</w:t>
      </w:r>
      <w:r>
        <w:rPr>
          <w:highlight w:val="none"/>
        </w:rPr>
        <w:t>地下水监测结果表单位：mg/L</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79"/>
        <w:gridCol w:w="1317"/>
        <w:gridCol w:w="1042"/>
        <w:gridCol w:w="1056"/>
        <w:gridCol w:w="1026"/>
        <w:gridCol w:w="1026"/>
        <w:gridCol w:w="1026"/>
        <w:gridCol w:w="850"/>
      </w:tblGrid>
      <w:tr w14:paraId="1AE83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vMerge w:val="restart"/>
            <w:noWrap w:val="0"/>
            <w:vAlign w:val="center"/>
          </w:tcPr>
          <w:p w14:paraId="5F5DFD8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检测项目</w:t>
            </w:r>
          </w:p>
        </w:tc>
        <w:tc>
          <w:tcPr>
            <w:tcW w:w="1317" w:type="dxa"/>
            <w:tcBorders>
              <w:bottom w:val="single" w:color="auto" w:sz="4" w:space="0"/>
            </w:tcBorders>
            <w:noWrap w:val="0"/>
            <w:vAlign w:val="center"/>
          </w:tcPr>
          <w:p w14:paraId="6F57AE2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采样时间</w:t>
            </w:r>
          </w:p>
        </w:tc>
        <w:tc>
          <w:tcPr>
            <w:tcW w:w="5176" w:type="dxa"/>
            <w:gridSpan w:val="5"/>
            <w:tcBorders>
              <w:bottom w:val="single" w:color="auto" w:sz="4" w:space="0"/>
            </w:tcBorders>
            <w:noWrap w:val="0"/>
            <w:vAlign w:val="center"/>
          </w:tcPr>
          <w:p w14:paraId="195CE73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2026.02.24</w:t>
            </w:r>
          </w:p>
        </w:tc>
        <w:tc>
          <w:tcPr>
            <w:tcW w:w="850" w:type="dxa"/>
            <w:vMerge w:val="restart"/>
            <w:noWrap w:val="0"/>
            <w:vAlign w:val="center"/>
          </w:tcPr>
          <w:p w14:paraId="4FE11D5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标准</w:t>
            </w:r>
          </w:p>
          <w:p w14:paraId="6ABECED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限值</w:t>
            </w:r>
          </w:p>
        </w:tc>
      </w:tr>
      <w:tr w14:paraId="2C747E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vMerge w:val="continue"/>
            <w:noWrap w:val="0"/>
            <w:vAlign w:val="center"/>
          </w:tcPr>
          <w:p w14:paraId="1EDBEAD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c>
          <w:tcPr>
            <w:tcW w:w="1317" w:type="dxa"/>
            <w:tcBorders>
              <w:top w:val="single" w:color="auto" w:sz="4" w:space="0"/>
              <w:bottom w:val="single" w:color="auto" w:sz="4" w:space="0"/>
            </w:tcBorders>
            <w:noWrap w:val="0"/>
            <w:vAlign w:val="center"/>
          </w:tcPr>
          <w:p w14:paraId="454D707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采样</w:t>
            </w:r>
            <w:r>
              <w:rPr>
                <w:rFonts w:hint="default" w:ascii="Times New Roman" w:hAnsi="Times New Roman" w:eastAsia="宋体" w:cs="Times New Roman"/>
                <w:b w:val="0"/>
                <w:bCs w:val="0"/>
                <w:color w:val="000000"/>
                <w:sz w:val="21"/>
                <w:szCs w:val="21"/>
                <w:highlight w:val="none"/>
              </w:rPr>
              <w:t>点位</w:t>
            </w:r>
          </w:p>
        </w:tc>
        <w:tc>
          <w:tcPr>
            <w:tcW w:w="1042" w:type="dxa"/>
            <w:tcBorders>
              <w:top w:val="single" w:color="auto" w:sz="4" w:space="0"/>
              <w:bottom w:val="single" w:color="auto" w:sz="4" w:space="0"/>
            </w:tcBorders>
            <w:noWrap w:val="0"/>
            <w:vAlign w:val="center"/>
          </w:tcPr>
          <w:p w14:paraId="033875F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厂址下游</w:t>
            </w:r>
          </w:p>
          <w:p w14:paraId="62EE9CA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w:t>
            </w:r>
          </w:p>
        </w:tc>
        <w:tc>
          <w:tcPr>
            <w:tcW w:w="1056" w:type="dxa"/>
            <w:noWrap w:val="0"/>
            <w:vAlign w:val="center"/>
          </w:tcPr>
          <w:p w14:paraId="4262407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厂址下游☆2</w:t>
            </w:r>
          </w:p>
        </w:tc>
        <w:tc>
          <w:tcPr>
            <w:tcW w:w="1026" w:type="dxa"/>
            <w:noWrap w:val="0"/>
            <w:vAlign w:val="center"/>
          </w:tcPr>
          <w:p w14:paraId="1283CC5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厂址上游☆3</w:t>
            </w:r>
          </w:p>
        </w:tc>
        <w:tc>
          <w:tcPr>
            <w:tcW w:w="1026" w:type="dxa"/>
            <w:noWrap w:val="0"/>
            <w:vAlign w:val="center"/>
          </w:tcPr>
          <w:p w14:paraId="68105EA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厂址下游☆4</w:t>
            </w:r>
          </w:p>
        </w:tc>
        <w:tc>
          <w:tcPr>
            <w:tcW w:w="1026" w:type="dxa"/>
            <w:noWrap w:val="0"/>
            <w:vAlign w:val="center"/>
          </w:tcPr>
          <w:p w14:paraId="7E56C16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厂址下游☆5</w:t>
            </w:r>
          </w:p>
        </w:tc>
        <w:tc>
          <w:tcPr>
            <w:tcW w:w="850" w:type="dxa"/>
            <w:vMerge w:val="continue"/>
            <w:noWrap w:val="0"/>
            <w:vAlign w:val="center"/>
          </w:tcPr>
          <w:p w14:paraId="1ACE0AB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r>
      <w:tr w14:paraId="31AC70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vMerge w:val="continue"/>
            <w:noWrap w:val="0"/>
            <w:vAlign w:val="center"/>
          </w:tcPr>
          <w:p w14:paraId="6B2806A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c>
          <w:tcPr>
            <w:tcW w:w="1317" w:type="dxa"/>
            <w:tcBorders>
              <w:top w:val="single" w:color="auto" w:sz="4" w:space="0"/>
            </w:tcBorders>
            <w:noWrap w:val="0"/>
            <w:vAlign w:val="center"/>
          </w:tcPr>
          <w:p w14:paraId="042FCEA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样品</w:t>
            </w:r>
            <w:r>
              <w:rPr>
                <w:rFonts w:hint="eastAsia" w:ascii="Times New Roman" w:hAnsi="Times New Roman" w:eastAsia="宋体" w:cs="Times New Roman"/>
                <w:b w:val="0"/>
                <w:bCs w:val="0"/>
                <w:color w:val="000000"/>
                <w:sz w:val="21"/>
                <w:szCs w:val="21"/>
                <w:highlight w:val="none"/>
              </w:rPr>
              <w:t>性状</w:t>
            </w:r>
          </w:p>
        </w:tc>
        <w:tc>
          <w:tcPr>
            <w:tcW w:w="1042" w:type="dxa"/>
            <w:tcBorders>
              <w:top w:val="single" w:color="auto" w:sz="4" w:space="0"/>
            </w:tcBorders>
            <w:noWrap w:val="0"/>
            <w:vAlign w:val="center"/>
          </w:tcPr>
          <w:p w14:paraId="5D0AB1B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1056" w:type="dxa"/>
            <w:noWrap w:val="0"/>
            <w:vAlign w:val="center"/>
          </w:tcPr>
          <w:p w14:paraId="727C0FE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1026" w:type="dxa"/>
            <w:noWrap w:val="0"/>
            <w:vAlign w:val="center"/>
          </w:tcPr>
          <w:p w14:paraId="1B466A6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1026" w:type="dxa"/>
            <w:noWrap w:val="0"/>
            <w:vAlign w:val="center"/>
          </w:tcPr>
          <w:p w14:paraId="6161FB1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1026" w:type="dxa"/>
            <w:noWrap w:val="0"/>
            <w:vAlign w:val="center"/>
          </w:tcPr>
          <w:p w14:paraId="35E0ED6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850" w:type="dxa"/>
            <w:vMerge w:val="continue"/>
            <w:noWrap w:val="0"/>
            <w:vAlign w:val="center"/>
          </w:tcPr>
          <w:p w14:paraId="22069C2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r>
      <w:tr w14:paraId="144392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vMerge w:val="continue"/>
            <w:noWrap w:val="0"/>
            <w:vAlign w:val="center"/>
          </w:tcPr>
          <w:p w14:paraId="362EBF2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c>
          <w:tcPr>
            <w:tcW w:w="1317" w:type="dxa"/>
            <w:tcBorders>
              <w:top w:val="single" w:color="auto" w:sz="4" w:space="0"/>
            </w:tcBorders>
            <w:noWrap w:val="0"/>
            <w:vAlign w:val="center"/>
          </w:tcPr>
          <w:p w14:paraId="16BEA07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样品编号</w:t>
            </w:r>
          </w:p>
        </w:tc>
        <w:tc>
          <w:tcPr>
            <w:tcW w:w="1042" w:type="dxa"/>
            <w:tcBorders>
              <w:top w:val="single" w:color="auto" w:sz="4" w:space="0"/>
            </w:tcBorders>
            <w:noWrap w:val="0"/>
            <w:vAlign w:val="center"/>
          </w:tcPr>
          <w:p w14:paraId="7783E20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Y260224020101</w:t>
            </w:r>
          </w:p>
        </w:tc>
        <w:tc>
          <w:tcPr>
            <w:tcW w:w="1056" w:type="dxa"/>
            <w:noWrap w:val="0"/>
            <w:vAlign w:val="center"/>
          </w:tcPr>
          <w:p w14:paraId="77A1302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Y260224020201</w:t>
            </w:r>
          </w:p>
        </w:tc>
        <w:tc>
          <w:tcPr>
            <w:tcW w:w="1026" w:type="dxa"/>
            <w:noWrap w:val="0"/>
            <w:vAlign w:val="center"/>
          </w:tcPr>
          <w:p w14:paraId="73CA164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Y260224020301</w:t>
            </w:r>
          </w:p>
        </w:tc>
        <w:tc>
          <w:tcPr>
            <w:tcW w:w="1026" w:type="dxa"/>
            <w:noWrap w:val="0"/>
            <w:vAlign w:val="center"/>
          </w:tcPr>
          <w:p w14:paraId="5C20095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Y260224020401</w:t>
            </w:r>
          </w:p>
        </w:tc>
        <w:tc>
          <w:tcPr>
            <w:tcW w:w="1026" w:type="dxa"/>
            <w:noWrap w:val="0"/>
            <w:vAlign w:val="center"/>
          </w:tcPr>
          <w:p w14:paraId="65EB214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Y260224020501</w:t>
            </w:r>
          </w:p>
        </w:tc>
        <w:tc>
          <w:tcPr>
            <w:tcW w:w="850" w:type="dxa"/>
            <w:vMerge w:val="continue"/>
            <w:noWrap w:val="0"/>
            <w:vAlign w:val="center"/>
          </w:tcPr>
          <w:p w14:paraId="6D34047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r>
      <w:tr w14:paraId="6194A9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7233521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钾</w:t>
            </w:r>
          </w:p>
        </w:tc>
        <w:tc>
          <w:tcPr>
            <w:tcW w:w="1317" w:type="dxa"/>
            <w:noWrap w:val="0"/>
            <w:vAlign w:val="center"/>
          </w:tcPr>
          <w:p w14:paraId="0D64E7A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6BBEC50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0.49</w:t>
            </w:r>
          </w:p>
        </w:tc>
        <w:tc>
          <w:tcPr>
            <w:tcW w:w="1056" w:type="dxa"/>
            <w:noWrap w:val="0"/>
            <w:vAlign w:val="center"/>
          </w:tcPr>
          <w:p w14:paraId="507EAFE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0.42</w:t>
            </w:r>
          </w:p>
        </w:tc>
        <w:tc>
          <w:tcPr>
            <w:tcW w:w="1026" w:type="dxa"/>
            <w:noWrap w:val="0"/>
            <w:vAlign w:val="center"/>
          </w:tcPr>
          <w:p w14:paraId="2BFB341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0.46</w:t>
            </w:r>
          </w:p>
        </w:tc>
        <w:tc>
          <w:tcPr>
            <w:tcW w:w="1026" w:type="dxa"/>
            <w:noWrap w:val="0"/>
            <w:vAlign w:val="center"/>
          </w:tcPr>
          <w:p w14:paraId="2699DDF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0.44</w:t>
            </w:r>
          </w:p>
        </w:tc>
        <w:tc>
          <w:tcPr>
            <w:tcW w:w="1026" w:type="dxa"/>
            <w:noWrap w:val="0"/>
            <w:vAlign w:val="center"/>
          </w:tcPr>
          <w:p w14:paraId="3C1B8EC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0.38</w:t>
            </w:r>
          </w:p>
        </w:tc>
        <w:tc>
          <w:tcPr>
            <w:tcW w:w="850" w:type="dxa"/>
            <w:noWrap w:val="0"/>
            <w:vAlign w:val="center"/>
          </w:tcPr>
          <w:p w14:paraId="74CEB30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47270F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747EE35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钠</w:t>
            </w:r>
          </w:p>
        </w:tc>
        <w:tc>
          <w:tcPr>
            <w:tcW w:w="1317" w:type="dxa"/>
            <w:noWrap w:val="0"/>
            <w:vAlign w:val="center"/>
          </w:tcPr>
          <w:p w14:paraId="3080D0F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7AAB071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2.42</w:t>
            </w:r>
          </w:p>
        </w:tc>
        <w:tc>
          <w:tcPr>
            <w:tcW w:w="1056" w:type="dxa"/>
            <w:noWrap w:val="0"/>
            <w:vAlign w:val="center"/>
          </w:tcPr>
          <w:p w14:paraId="47F482B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2.56</w:t>
            </w:r>
          </w:p>
        </w:tc>
        <w:tc>
          <w:tcPr>
            <w:tcW w:w="1026" w:type="dxa"/>
            <w:noWrap w:val="0"/>
            <w:vAlign w:val="center"/>
          </w:tcPr>
          <w:p w14:paraId="2014679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2.60</w:t>
            </w:r>
          </w:p>
        </w:tc>
        <w:tc>
          <w:tcPr>
            <w:tcW w:w="1026" w:type="dxa"/>
            <w:noWrap w:val="0"/>
            <w:vAlign w:val="center"/>
          </w:tcPr>
          <w:p w14:paraId="4C1C7A0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2.42</w:t>
            </w:r>
          </w:p>
        </w:tc>
        <w:tc>
          <w:tcPr>
            <w:tcW w:w="1026" w:type="dxa"/>
            <w:noWrap w:val="0"/>
            <w:vAlign w:val="center"/>
          </w:tcPr>
          <w:p w14:paraId="669DF2A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2.03</w:t>
            </w:r>
          </w:p>
        </w:tc>
        <w:tc>
          <w:tcPr>
            <w:tcW w:w="850" w:type="dxa"/>
            <w:noWrap w:val="0"/>
            <w:vAlign w:val="center"/>
          </w:tcPr>
          <w:p w14:paraId="4F3B3B4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≤200</w:t>
            </w:r>
          </w:p>
        </w:tc>
      </w:tr>
      <w:tr w14:paraId="7A95E0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7CF8C25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钙</w:t>
            </w:r>
          </w:p>
        </w:tc>
        <w:tc>
          <w:tcPr>
            <w:tcW w:w="1317" w:type="dxa"/>
            <w:noWrap w:val="0"/>
            <w:vAlign w:val="center"/>
          </w:tcPr>
          <w:p w14:paraId="1B4F232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7E61AE7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56.4</w:t>
            </w:r>
          </w:p>
        </w:tc>
        <w:tc>
          <w:tcPr>
            <w:tcW w:w="1056" w:type="dxa"/>
            <w:noWrap w:val="0"/>
            <w:vAlign w:val="center"/>
          </w:tcPr>
          <w:p w14:paraId="09661E4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45.1</w:t>
            </w:r>
          </w:p>
        </w:tc>
        <w:tc>
          <w:tcPr>
            <w:tcW w:w="1026" w:type="dxa"/>
            <w:noWrap w:val="0"/>
            <w:vAlign w:val="center"/>
          </w:tcPr>
          <w:p w14:paraId="17AFFD0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41.3</w:t>
            </w:r>
          </w:p>
        </w:tc>
        <w:tc>
          <w:tcPr>
            <w:tcW w:w="1026" w:type="dxa"/>
            <w:noWrap w:val="0"/>
            <w:vAlign w:val="center"/>
          </w:tcPr>
          <w:p w14:paraId="075BFC7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37.5</w:t>
            </w:r>
          </w:p>
        </w:tc>
        <w:tc>
          <w:tcPr>
            <w:tcW w:w="1026" w:type="dxa"/>
            <w:noWrap w:val="0"/>
            <w:vAlign w:val="center"/>
          </w:tcPr>
          <w:p w14:paraId="610CA6A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45.1</w:t>
            </w:r>
          </w:p>
        </w:tc>
        <w:tc>
          <w:tcPr>
            <w:tcW w:w="850" w:type="dxa"/>
            <w:noWrap w:val="0"/>
            <w:vAlign w:val="center"/>
          </w:tcPr>
          <w:p w14:paraId="46A31CC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3ECFF6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2475C36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镁</w:t>
            </w:r>
          </w:p>
        </w:tc>
        <w:tc>
          <w:tcPr>
            <w:tcW w:w="1317" w:type="dxa"/>
            <w:noWrap w:val="0"/>
            <w:vAlign w:val="center"/>
          </w:tcPr>
          <w:p w14:paraId="042916D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11E5576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20.2</w:t>
            </w:r>
          </w:p>
        </w:tc>
        <w:tc>
          <w:tcPr>
            <w:tcW w:w="1056" w:type="dxa"/>
            <w:noWrap w:val="0"/>
            <w:vAlign w:val="center"/>
          </w:tcPr>
          <w:p w14:paraId="352F5CF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19.9</w:t>
            </w:r>
          </w:p>
        </w:tc>
        <w:tc>
          <w:tcPr>
            <w:tcW w:w="1026" w:type="dxa"/>
            <w:noWrap w:val="0"/>
            <w:vAlign w:val="center"/>
          </w:tcPr>
          <w:p w14:paraId="0AA5472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18.0</w:t>
            </w:r>
          </w:p>
        </w:tc>
        <w:tc>
          <w:tcPr>
            <w:tcW w:w="1026" w:type="dxa"/>
            <w:noWrap w:val="0"/>
            <w:vAlign w:val="center"/>
          </w:tcPr>
          <w:p w14:paraId="2438D9C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17.0</w:t>
            </w:r>
          </w:p>
        </w:tc>
        <w:tc>
          <w:tcPr>
            <w:tcW w:w="1026" w:type="dxa"/>
            <w:noWrap w:val="0"/>
            <w:vAlign w:val="center"/>
          </w:tcPr>
          <w:p w14:paraId="5BCD035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19.9</w:t>
            </w:r>
          </w:p>
        </w:tc>
        <w:tc>
          <w:tcPr>
            <w:tcW w:w="850" w:type="dxa"/>
            <w:noWrap w:val="0"/>
            <w:vAlign w:val="center"/>
          </w:tcPr>
          <w:p w14:paraId="7137A12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0B99D3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405BA86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碳酸根</w:t>
            </w:r>
          </w:p>
        </w:tc>
        <w:tc>
          <w:tcPr>
            <w:tcW w:w="1317" w:type="dxa"/>
            <w:noWrap w:val="0"/>
            <w:vAlign w:val="center"/>
          </w:tcPr>
          <w:p w14:paraId="411AAE9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48EBD71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1056" w:type="dxa"/>
            <w:noWrap w:val="0"/>
            <w:vAlign w:val="center"/>
          </w:tcPr>
          <w:p w14:paraId="7AC9342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1026" w:type="dxa"/>
            <w:noWrap w:val="0"/>
            <w:vAlign w:val="center"/>
          </w:tcPr>
          <w:p w14:paraId="3DE99EB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1026" w:type="dxa"/>
            <w:noWrap w:val="0"/>
            <w:vAlign w:val="center"/>
          </w:tcPr>
          <w:p w14:paraId="2621E4D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1026" w:type="dxa"/>
            <w:noWrap w:val="0"/>
            <w:vAlign w:val="center"/>
          </w:tcPr>
          <w:p w14:paraId="3E911E1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850" w:type="dxa"/>
            <w:noWrap w:val="0"/>
            <w:vAlign w:val="center"/>
          </w:tcPr>
          <w:p w14:paraId="75F0AA3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32AB0F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184FC10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碳酸氢根</w:t>
            </w:r>
          </w:p>
        </w:tc>
        <w:tc>
          <w:tcPr>
            <w:tcW w:w="1317" w:type="dxa"/>
            <w:noWrap w:val="0"/>
            <w:vAlign w:val="center"/>
          </w:tcPr>
          <w:p w14:paraId="2D266D6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712A010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234</w:t>
            </w:r>
          </w:p>
        </w:tc>
        <w:tc>
          <w:tcPr>
            <w:tcW w:w="1056" w:type="dxa"/>
            <w:noWrap w:val="0"/>
            <w:vAlign w:val="center"/>
          </w:tcPr>
          <w:p w14:paraId="5A37FE4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210</w:t>
            </w:r>
          </w:p>
        </w:tc>
        <w:tc>
          <w:tcPr>
            <w:tcW w:w="1026" w:type="dxa"/>
            <w:noWrap w:val="0"/>
            <w:vAlign w:val="center"/>
          </w:tcPr>
          <w:p w14:paraId="3247EA8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176</w:t>
            </w:r>
          </w:p>
        </w:tc>
        <w:tc>
          <w:tcPr>
            <w:tcW w:w="1026" w:type="dxa"/>
            <w:noWrap w:val="0"/>
            <w:vAlign w:val="center"/>
          </w:tcPr>
          <w:p w14:paraId="26B710E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165</w:t>
            </w:r>
          </w:p>
        </w:tc>
        <w:tc>
          <w:tcPr>
            <w:tcW w:w="1026" w:type="dxa"/>
            <w:noWrap w:val="0"/>
            <w:vAlign w:val="center"/>
          </w:tcPr>
          <w:p w14:paraId="6795436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201</w:t>
            </w:r>
          </w:p>
        </w:tc>
        <w:tc>
          <w:tcPr>
            <w:tcW w:w="850" w:type="dxa"/>
            <w:noWrap w:val="0"/>
            <w:vAlign w:val="center"/>
          </w:tcPr>
          <w:p w14:paraId="3A044A1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2E8F86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00A7721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氯离子</w:t>
            </w:r>
          </w:p>
        </w:tc>
        <w:tc>
          <w:tcPr>
            <w:tcW w:w="1317" w:type="dxa"/>
            <w:noWrap w:val="0"/>
            <w:vAlign w:val="center"/>
          </w:tcPr>
          <w:p w14:paraId="34A666B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7BD1471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14.9</w:t>
            </w:r>
          </w:p>
        </w:tc>
        <w:tc>
          <w:tcPr>
            <w:tcW w:w="1056" w:type="dxa"/>
            <w:noWrap w:val="0"/>
            <w:vAlign w:val="center"/>
          </w:tcPr>
          <w:p w14:paraId="6263679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13.3</w:t>
            </w:r>
          </w:p>
        </w:tc>
        <w:tc>
          <w:tcPr>
            <w:tcW w:w="1026" w:type="dxa"/>
            <w:noWrap w:val="0"/>
            <w:vAlign w:val="center"/>
          </w:tcPr>
          <w:p w14:paraId="024B291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15.4</w:t>
            </w:r>
          </w:p>
        </w:tc>
        <w:tc>
          <w:tcPr>
            <w:tcW w:w="1026" w:type="dxa"/>
            <w:noWrap w:val="0"/>
            <w:vAlign w:val="center"/>
          </w:tcPr>
          <w:p w14:paraId="7CD715E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9.15</w:t>
            </w:r>
          </w:p>
        </w:tc>
        <w:tc>
          <w:tcPr>
            <w:tcW w:w="1026" w:type="dxa"/>
            <w:noWrap w:val="0"/>
            <w:vAlign w:val="center"/>
          </w:tcPr>
          <w:p w14:paraId="61437F5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11.6</w:t>
            </w:r>
          </w:p>
        </w:tc>
        <w:tc>
          <w:tcPr>
            <w:tcW w:w="850" w:type="dxa"/>
            <w:noWrap w:val="0"/>
            <w:vAlign w:val="center"/>
          </w:tcPr>
          <w:p w14:paraId="4D8C48D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4CCE03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6BF181F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硫酸根离子</w:t>
            </w:r>
          </w:p>
        </w:tc>
        <w:tc>
          <w:tcPr>
            <w:tcW w:w="1317" w:type="dxa"/>
            <w:noWrap w:val="0"/>
            <w:vAlign w:val="center"/>
          </w:tcPr>
          <w:p w14:paraId="04F8CF2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29E5A03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15.1</w:t>
            </w:r>
          </w:p>
        </w:tc>
        <w:tc>
          <w:tcPr>
            <w:tcW w:w="1056" w:type="dxa"/>
            <w:noWrap w:val="0"/>
            <w:vAlign w:val="center"/>
          </w:tcPr>
          <w:p w14:paraId="330BC88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14.2</w:t>
            </w:r>
          </w:p>
        </w:tc>
        <w:tc>
          <w:tcPr>
            <w:tcW w:w="1026" w:type="dxa"/>
            <w:noWrap w:val="0"/>
            <w:vAlign w:val="center"/>
          </w:tcPr>
          <w:p w14:paraId="1D5BF17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14.0</w:t>
            </w:r>
          </w:p>
        </w:tc>
        <w:tc>
          <w:tcPr>
            <w:tcW w:w="1026" w:type="dxa"/>
            <w:noWrap w:val="0"/>
            <w:vAlign w:val="center"/>
          </w:tcPr>
          <w:p w14:paraId="1F27EB1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13.5</w:t>
            </w:r>
          </w:p>
        </w:tc>
        <w:tc>
          <w:tcPr>
            <w:tcW w:w="1026" w:type="dxa"/>
            <w:noWrap w:val="0"/>
            <w:vAlign w:val="center"/>
          </w:tcPr>
          <w:p w14:paraId="7BFB6E6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14.5</w:t>
            </w:r>
          </w:p>
        </w:tc>
        <w:tc>
          <w:tcPr>
            <w:tcW w:w="850" w:type="dxa"/>
            <w:noWrap w:val="0"/>
            <w:vAlign w:val="center"/>
          </w:tcPr>
          <w:p w14:paraId="208F48E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078E49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0CD5F64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pH</w:t>
            </w:r>
          </w:p>
        </w:tc>
        <w:tc>
          <w:tcPr>
            <w:tcW w:w="1317" w:type="dxa"/>
            <w:noWrap w:val="0"/>
            <w:vAlign w:val="center"/>
          </w:tcPr>
          <w:p w14:paraId="6779CA1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无量纲</w:t>
            </w:r>
          </w:p>
        </w:tc>
        <w:tc>
          <w:tcPr>
            <w:tcW w:w="1042" w:type="dxa"/>
            <w:noWrap w:val="0"/>
            <w:vAlign w:val="center"/>
          </w:tcPr>
          <w:p w14:paraId="6350839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7.0</w:t>
            </w:r>
          </w:p>
        </w:tc>
        <w:tc>
          <w:tcPr>
            <w:tcW w:w="1056" w:type="dxa"/>
            <w:noWrap w:val="0"/>
            <w:vAlign w:val="center"/>
          </w:tcPr>
          <w:p w14:paraId="529A4D6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6.8</w:t>
            </w:r>
          </w:p>
        </w:tc>
        <w:tc>
          <w:tcPr>
            <w:tcW w:w="1026" w:type="dxa"/>
            <w:noWrap w:val="0"/>
            <w:vAlign w:val="center"/>
          </w:tcPr>
          <w:p w14:paraId="616C93B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7.5</w:t>
            </w:r>
          </w:p>
        </w:tc>
        <w:tc>
          <w:tcPr>
            <w:tcW w:w="1026" w:type="dxa"/>
            <w:noWrap w:val="0"/>
            <w:vAlign w:val="center"/>
          </w:tcPr>
          <w:p w14:paraId="4E3B8E8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7.1</w:t>
            </w:r>
          </w:p>
        </w:tc>
        <w:tc>
          <w:tcPr>
            <w:tcW w:w="1026" w:type="dxa"/>
            <w:noWrap w:val="0"/>
            <w:vAlign w:val="center"/>
          </w:tcPr>
          <w:p w14:paraId="1D1EE64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7.6</w:t>
            </w:r>
          </w:p>
        </w:tc>
        <w:tc>
          <w:tcPr>
            <w:tcW w:w="850" w:type="dxa"/>
            <w:noWrap w:val="0"/>
            <w:vAlign w:val="center"/>
          </w:tcPr>
          <w:p w14:paraId="0648B5A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6.5-8.5</w:t>
            </w:r>
          </w:p>
        </w:tc>
      </w:tr>
      <w:tr w14:paraId="702458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657C863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总硬度</w:t>
            </w:r>
          </w:p>
        </w:tc>
        <w:tc>
          <w:tcPr>
            <w:tcW w:w="1317" w:type="dxa"/>
            <w:noWrap w:val="0"/>
            <w:vAlign w:val="center"/>
          </w:tcPr>
          <w:p w14:paraId="486D53B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2CFF901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110</w:t>
            </w:r>
          </w:p>
        </w:tc>
        <w:tc>
          <w:tcPr>
            <w:tcW w:w="1056" w:type="dxa"/>
            <w:noWrap w:val="0"/>
            <w:vAlign w:val="center"/>
          </w:tcPr>
          <w:p w14:paraId="0CAB4C2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124</w:t>
            </w:r>
          </w:p>
        </w:tc>
        <w:tc>
          <w:tcPr>
            <w:tcW w:w="1026" w:type="dxa"/>
            <w:noWrap w:val="0"/>
            <w:vAlign w:val="center"/>
          </w:tcPr>
          <w:p w14:paraId="26DA7CB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142</w:t>
            </w:r>
          </w:p>
        </w:tc>
        <w:tc>
          <w:tcPr>
            <w:tcW w:w="1026" w:type="dxa"/>
            <w:noWrap w:val="0"/>
            <w:vAlign w:val="center"/>
          </w:tcPr>
          <w:p w14:paraId="5953D58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116</w:t>
            </w:r>
          </w:p>
        </w:tc>
        <w:tc>
          <w:tcPr>
            <w:tcW w:w="1026" w:type="dxa"/>
            <w:noWrap w:val="0"/>
            <w:vAlign w:val="center"/>
          </w:tcPr>
          <w:p w14:paraId="042B0CD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120</w:t>
            </w:r>
          </w:p>
        </w:tc>
        <w:tc>
          <w:tcPr>
            <w:tcW w:w="850" w:type="dxa"/>
            <w:noWrap w:val="0"/>
            <w:vAlign w:val="center"/>
          </w:tcPr>
          <w:p w14:paraId="3EFC40F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≤450</w:t>
            </w:r>
          </w:p>
        </w:tc>
      </w:tr>
      <w:tr w14:paraId="40655E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7A70321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溶解性</w:t>
            </w:r>
          </w:p>
          <w:p w14:paraId="7BFB290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总固体</w:t>
            </w:r>
          </w:p>
        </w:tc>
        <w:tc>
          <w:tcPr>
            <w:tcW w:w="1317" w:type="dxa"/>
            <w:noWrap w:val="0"/>
            <w:vAlign w:val="center"/>
          </w:tcPr>
          <w:p w14:paraId="0F25824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69FD12F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232</w:t>
            </w:r>
          </w:p>
        </w:tc>
        <w:tc>
          <w:tcPr>
            <w:tcW w:w="1056" w:type="dxa"/>
            <w:noWrap w:val="0"/>
            <w:vAlign w:val="center"/>
          </w:tcPr>
          <w:p w14:paraId="02BA125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245</w:t>
            </w:r>
          </w:p>
        </w:tc>
        <w:tc>
          <w:tcPr>
            <w:tcW w:w="1026" w:type="dxa"/>
            <w:noWrap w:val="0"/>
            <w:vAlign w:val="center"/>
          </w:tcPr>
          <w:p w14:paraId="21643A0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263</w:t>
            </w:r>
          </w:p>
        </w:tc>
        <w:tc>
          <w:tcPr>
            <w:tcW w:w="1026" w:type="dxa"/>
            <w:noWrap w:val="0"/>
            <w:vAlign w:val="center"/>
          </w:tcPr>
          <w:p w14:paraId="4E2B4D6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241</w:t>
            </w:r>
          </w:p>
        </w:tc>
        <w:tc>
          <w:tcPr>
            <w:tcW w:w="1026" w:type="dxa"/>
            <w:noWrap w:val="0"/>
            <w:vAlign w:val="center"/>
          </w:tcPr>
          <w:p w14:paraId="61554A7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233</w:t>
            </w:r>
          </w:p>
        </w:tc>
        <w:tc>
          <w:tcPr>
            <w:tcW w:w="850" w:type="dxa"/>
            <w:noWrap w:val="0"/>
            <w:vAlign w:val="center"/>
          </w:tcPr>
          <w:p w14:paraId="37BE7CB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≤1000</w:t>
            </w:r>
          </w:p>
        </w:tc>
      </w:tr>
      <w:tr w14:paraId="793787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296C115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硫酸盐</w:t>
            </w:r>
          </w:p>
        </w:tc>
        <w:tc>
          <w:tcPr>
            <w:tcW w:w="1317" w:type="dxa"/>
            <w:noWrap w:val="0"/>
            <w:vAlign w:val="center"/>
          </w:tcPr>
          <w:p w14:paraId="0ED7B52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22ED7B9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w:t>
            </w:r>
          </w:p>
        </w:tc>
        <w:tc>
          <w:tcPr>
            <w:tcW w:w="1056" w:type="dxa"/>
            <w:noWrap w:val="0"/>
            <w:vAlign w:val="center"/>
          </w:tcPr>
          <w:p w14:paraId="0572D47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13</w:t>
            </w:r>
          </w:p>
        </w:tc>
        <w:tc>
          <w:tcPr>
            <w:tcW w:w="1026" w:type="dxa"/>
            <w:noWrap w:val="0"/>
            <w:vAlign w:val="center"/>
          </w:tcPr>
          <w:p w14:paraId="04B5A2B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13</w:t>
            </w:r>
          </w:p>
        </w:tc>
        <w:tc>
          <w:tcPr>
            <w:tcW w:w="1026" w:type="dxa"/>
            <w:noWrap w:val="0"/>
            <w:vAlign w:val="center"/>
          </w:tcPr>
          <w:p w14:paraId="2C1EFE3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w:t>
            </w:r>
          </w:p>
        </w:tc>
        <w:tc>
          <w:tcPr>
            <w:tcW w:w="1026" w:type="dxa"/>
            <w:noWrap w:val="0"/>
            <w:vAlign w:val="center"/>
          </w:tcPr>
          <w:p w14:paraId="61D2DF2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w:t>
            </w:r>
          </w:p>
        </w:tc>
        <w:tc>
          <w:tcPr>
            <w:tcW w:w="850" w:type="dxa"/>
            <w:noWrap w:val="0"/>
            <w:vAlign w:val="center"/>
          </w:tcPr>
          <w:p w14:paraId="174F04B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≤250</w:t>
            </w:r>
          </w:p>
        </w:tc>
      </w:tr>
      <w:tr w14:paraId="2A80C2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0D38AA3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氯化物</w:t>
            </w:r>
          </w:p>
        </w:tc>
        <w:tc>
          <w:tcPr>
            <w:tcW w:w="1317" w:type="dxa"/>
            <w:noWrap w:val="0"/>
            <w:vAlign w:val="center"/>
          </w:tcPr>
          <w:p w14:paraId="1F34BDD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745BCA9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11</w:t>
            </w:r>
          </w:p>
        </w:tc>
        <w:tc>
          <w:tcPr>
            <w:tcW w:w="1056" w:type="dxa"/>
            <w:noWrap w:val="0"/>
            <w:vAlign w:val="center"/>
          </w:tcPr>
          <w:p w14:paraId="73874DF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w:t>
            </w:r>
          </w:p>
        </w:tc>
        <w:tc>
          <w:tcPr>
            <w:tcW w:w="1026" w:type="dxa"/>
            <w:noWrap w:val="0"/>
            <w:vAlign w:val="center"/>
          </w:tcPr>
          <w:p w14:paraId="226E828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12</w:t>
            </w:r>
          </w:p>
        </w:tc>
        <w:tc>
          <w:tcPr>
            <w:tcW w:w="1026" w:type="dxa"/>
            <w:noWrap w:val="0"/>
            <w:vAlign w:val="center"/>
          </w:tcPr>
          <w:p w14:paraId="2559BD5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w:t>
            </w:r>
          </w:p>
        </w:tc>
        <w:tc>
          <w:tcPr>
            <w:tcW w:w="1026" w:type="dxa"/>
            <w:noWrap w:val="0"/>
            <w:vAlign w:val="center"/>
          </w:tcPr>
          <w:p w14:paraId="01088D1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11</w:t>
            </w:r>
          </w:p>
        </w:tc>
        <w:tc>
          <w:tcPr>
            <w:tcW w:w="850" w:type="dxa"/>
            <w:noWrap w:val="0"/>
            <w:vAlign w:val="center"/>
          </w:tcPr>
          <w:p w14:paraId="3727D14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≤250</w:t>
            </w:r>
          </w:p>
        </w:tc>
      </w:tr>
      <w:tr w14:paraId="520F9D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7C68902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铁</w:t>
            </w:r>
          </w:p>
        </w:tc>
        <w:tc>
          <w:tcPr>
            <w:tcW w:w="1317" w:type="dxa"/>
            <w:noWrap w:val="0"/>
            <w:vAlign w:val="center"/>
          </w:tcPr>
          <w:p w14:paraId="7127B12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45D6D83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0.04</w:t>
            </w:r>
          </w:p>
        </w:tc>
        <w:tc>
          <w:tcPr>
            <w:tcW w:w="1056" w:type="dxa"/>
            <w:noWrap w:val="0"/>
            <w:vAlign w:val="center"/>
          </w:tcPr>
          <w:p w14:paraId="4A46727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0.04</w:t>
            </w:r>
          </w:p>
        </w:tc>
        <w:tc>
          <w:tcPr>
            <w:tcW w:w="1026" w:type="dxa"/>
            <w:noWrap w:val="0"/>
            <w:vAlign w:val="center"/>
          </w:tcPr>
          <w:p w14:paraId="640A11E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0.07</w:t>
            </w:r>
          </w:p>
        </w:tc>
        <w:tc>
          <w:tcPr>
            <w:tcW w:w="1026" w:type="dxa"/>
            <w:noWrap w:val="0"/>
            <w:vAlign w:val="center"/>
          </w:tcPr>
          <w:p w14:paraId="127EEFC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0.13</w:t>
            </w:r>
          </w:p>
        </w:tc>
        <w:tc>
          <w:tcPr>
            <w:tcW w:w="1026" w:type="dxa"/>
            <w:noWrap w:val="0"/>
            <w:vAlign w:val="center"/>
          </w:tcPr>
          <w:p w14:paraId="5CFBB71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0.16</w:t>
            </w:r>
          </w:p>
        </w:tc>
        <w:tc>
          <w:tcPr>
            <w:tcW w:w="850" w:type="dxa"/>
            <w:noWrap w:val="0"/>
            <w:vAlign w:val="center"/>
          </w:tcPr>
          <w:p w14:paraId="4608FA0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≤0.3</w:t>
            </w:r>
          </w:p>
        </w:tc>
      </w:tr>
      <w:tr w14:paraId="1F195B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2531A72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锰</w:t>
            </w:r>
          </w:p>
        </w:tc>
        <w:tc>
          <w:tcPr>
            <w:tcW w:w="1317" w:type="dxa"/>
            <w:noWrap w:val="0"/>
            <w:vAlign w:val="center"/>
          </w:tcPr>
          <w:p w14:paraId="5BF5A52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6759165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056" w:type="dxa"/>
            <w:noWrap w:val="0"/>
            <w:vAlign w:val="center"/>
          </w:tcPr>
          <w:p w14:paraId="2FA4AF8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026" w:type="dxa"/>
            <w:noWrap w:val="0"/>
            <w:vAlign w:val="center"/>
          </w:tcPr>
          <w:p w14:paraId="4828073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026" w:type="dxa"/>
            <w:noWrap w:val="0"/>
            <w:vAlign w:val="center"/>
          </w:tcPr>
          <w:p w14:paraId="42D03EE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026" w:type="dxa"/>
            <w:noWrap w:val="0"/>
            <w:vAlign w:val="center"/>
          </w:tcPr>
          <w:p w14:paraId="52D506A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850" w:type="dxa"/>
            <w:noWrap w:val="0"/>
            <w:vAlign w:val="center"/>
          </w:tcPr>
          <w:p w14:paraId="6A6E155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≤0.10</w:t>
            </w:r>
          </w:p>
        </w:tc>
      </w:tr>
      <w:tr w14:paraId="1B68FF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7CAAA3B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挥发酚</w:t>
            </w:r>
          </w:p>
        </w:tc>
        <w:tc>
          <w:tcPr>
            <w:tcW w:w="1317" w:type="dxa"/>
            <w:noWrap w:val="0"/>
            <w:vAlign w:val="center"/>
          </w:tcPr>
          <w:p w14:paraId="244C1B0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02D1761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056" w:type="dxa"/>
            <w:noWrap w:val="0"/>
            <w:vAlign w:val="center"/>
          </w:tcPr>
          <w:p w14:paraId="1F77569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026" w:type="dxa"/>
            <w:noWrap w:val="0"/>
            <w:vAlign w:val="center"/>
          </w:tcPr>
          <w:p w14:paraId="21E8B09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026" w:type="dxa"/>
            <w:noWrap w:val="0"/>
            <w:vAlign w:val="center"/>
          </w:tcPr>
          <w:p w14:paraId="51E9904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026" w:type="dxa"/>
            <w:noWrap w:val="0"/>
            <w:vAlign w:val="center"/>
          </w:tcPr>
          <w:p w14:paraId="75E7E0B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850" w:type="dxa"/>
            <w:noWrap w:val="0"/>
            <w:vAlign w:val="center"/>
          </w:tcPr>
          <w:p w14:paraId="30C2FED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≤0.002</w:t>
            </w:r>
          </w:p>
        </w:tc>
      </w:tr>
      <w:tr w14:paraId="126039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4971A67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耗氧量</w:t>
            </w:r>
          </w:p>
        </w:tc>
        <w:tc>
          <w:tcPr>
            <w:tcW w:w="1317" w:type="dxa"/>
            <w:noWrap w:val="0"/>
            <w:vAlign w:val="center"/>
          </w:tcPr>
          <w:p w14:paraId="1BD82BA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730CE97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0.6</w:t>
            </w:r>
          </w:p>
        </w:tc>
        <w:tc>
          <w:tcPr>
            <w:tcW w:w="1056" w:type="dxa"/>
            <w:noWrap w:val="0"/>
            <w:vAlign w:val="center"/>
          </w:tcPr>
          <w:p w14:paraId="3546233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0.6</w:t>
            </w:r>
          </w:p>
        </w:tc>
        <w:tc>
          <w:tcPr>
            <w:tcW w:w="1026" w:type="dxa"/>
            <w:noWrap w:val="0"/>
            <w:vAlign w:val="center"/>
          </w:tcPr>
          <w:p w14:paraId="4D6EF59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0.7</w:t>
            </w:r>
          </w:p>
        </w:tc>
        <w:tc>
          <w:tcPr>
            <w:tcW w:w="1026" w:type="dxa"/>
            <w:noWrap w:val="0"/>
            <w:vAlign w:val="center"/>
          </w:tcPr>
          <w:p w14:paraId="38140E1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0.6</w:t>
            </w:r>
          </w:p>
        </w:tc>
        <w:tc>
          <w:tcPr>
            <w:tcW w:w="1026" w:type="dxa"/>
            <w:noWrap w:val="0"/>
            <w:vAlign w:val="center"/>
          </w:tcPr>
          <w:p w14:paraId="12488B1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0.8</w:t>
            </w:r>
          </w:p>
        </w:tc>
        <w:tc>
          <w:tcPr>
            <w:tcW w:w="850" w:type="dxa"/>
            <w:noWrap w:val="0"/>
            <w:vAlign w:val="center"/>
          </w:tcPr>
          <w:p w14:paraId="54B9842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≤3.0</w:t>
            </w:r>
          </w:p>
        </w:tc>
      </w:tr>
      <w:tr w14:paraId="72F119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6220F15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氨氮</w:t>
            </w:r>
          </w:p>
        </w:tc>
        <w:tc>
          <w:tcPr>
            <w:tcW w:w="1317" w:type="dxa"/>
            <w:noWrap w:val="0"/>
            <w:vAlign w:val="center"/>
          </w:tcPr>
          <w:p w14:paraId="12EE996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7A27C23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0.177</w:t>
            </w:r>
          </w:p>
        </w:tc>
        <w:tc>
          <w:tcPr>
            <w:tcW w:w="1056" w:type="dxa"/>
            <w:noWrap w:val="0"/>
            <w:vAlign w:val="center"/>
          </w:tcPr>
          <w:p w14:paraId="68D2890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0.180</w:t>
            </w:r>
          </w:p>
        </w:tc>
        <w:tc>
          <w:tcPr>
            <w:tcW w:w="1026" w:type="dxa"/>
            <w:noWrap w:val="0"/>
            <w:vAlign w:val="center"/>
          </w:tcPr>
          <w:p w14:paraId="376DDDF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0.183</w:t>
            </w:r>
          </w:p>
        </w:tc>
        <w:tc>
          <w:tcPr>
            <w:tcW w:w="1026" w:type="dxa"/>
            <w:noWrap w:val="0"/>
            <w:vAlign w:val="center"/>
          </w:tcPr>
          <w:p w14:paraId="4AADA70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0.168</w:t>
            </w:r>
          </w:p>
        </w:tc>
        <w:tc>
          <w:tcPr>
            <w:tcW w:w="1026" w:type="dxa"/>
            <w:noWrap w:val="0"/>
            <w:vAlign w:val="center"/>
          </w:tcPr>
          <w:p w14:paraId="14CA654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0.183</w:t>
            </w:r>
          </w:p>
        </w:tc>
        <w:tc>
          <w:tcPr>
            <w:tcW w:w="850" w:type="dxa"/>
            <w:noWrap w:val="0"/>
            <w:vAlign w:val="center"/>
          </w:tcPr>
          <w:p w14:paraId="0FD02CC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≤0.50</w:t>
            </w:r>
          </w:p>
        </w:tc>
      </w:tr>
      <w:tr w14:paraId="3B83D2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344CACA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总大肠菌群</w:t>
            </w:r>
          </w:p>
        </w:tc>
        <w:tc>
          <w:tcPr>
            <w:tcW w:w="1317" w:type="dxa"/>
            <w:noWrap w:val="0"/>
            <w:vAlign w:val="center"/>
          </w:tcPr>
          <w:p w14:paraId="4248F95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MPN/100mL</w:t>
            </w:r>
          </w:p>
        </w:tc>
        <w:tc>
          <w:tcPr>
            <w:tcW w:w="1042" w:type="dxa"/>
            <w:noWrap w:val="0"/>
            <w:vAlign w:val="center"/>
          </w:tcPr>
          <w:p w14:paraId="4B3CE36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1056" w:type="dxa"/>
            <w:noWrap w:val="0"/>
            <w:vAlign w:val="center"/>
          </w:tcPr>
          <w:p w14:paraId="496C2F9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1026" w:type="dxa"/>
            <w:noWrap w:val="0"/>
            <w:vAlign w:val="center"/>
          </w:tcPr>
          <w:p w14:paraId="1E0E28A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1026" w:type="dxa"/>
            <w:noWrap w:val="0"/>
            <w:vAlign w:val="center"/>
          </w:tcPr>
          <w:p w14:paraId="6D0F3B6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1026" w:type="dxa"/>
            <w:noWrap w:val="0"/>
            <w:vAlign w:val="center"/>
          </w:tcPr>
          <w:p w14:paraId="45498C9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850" w:type="dxa"/>
            <w:noWrap w:val="0"/>
            <w:vAlign w:val="center"/>
          </w:tcPr>
          <w:p w14:paraId="46D355B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≤3.0</w:t>
            </w:r>
          </w:p>
        </w:tc>
      </w:tr>
      <w:tr w14:paraId="291498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09A278E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菌落总数</w:t>
            </w:r>
          </w:p>
        </w:tc>
        <w:tc>
          <w:tcPr>
            <w:tcW w:w="1317" w:type="dxa"/>
            <w:noWrap w:val="0"/>
            <w:vAlign w:val="center"/>
          </w:tcPr>
          <w:p w14:paraId="4753D7A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CFU/mL</w:t>
            </w:r>
          </w:p>
        </w:tc>
        <w:tc>
          <w:tcPr>
            <w:tcW w:w="1042" w:type="dxa"/>
            <w:noWrap w:val="0"/>
            <w:vAlign w:val="center"/>
          </w:tcPr>
          <w:p w14:paraId="6F3640B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1056" w:type="dxa"/>
            <w:noWrap w:val="0"/>
            <w:vAlign w:val="center"/>
          </w:tcPr>
          <w:p w14:paraId="57C653A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1026" w:type="dxa"/>
            <w:noWrap w:val="0"/>
            <w:vAlign w:val="center"/>
          </w:tcPr>
          <w:p w14:paraId="13EC7B6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1026" w:type="dxa"/>
            <w:noWrap w:val="0"/>
            <w:vAlign w:val="center"/>
          </w:tcPr>
          <w:p w14:paraId="361AE0E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1026" w:type="dxa"/>
            <w:noWrap w:val="0"/>
            <w:vAlign w:val="center"/>
          </w:tcPr>
          <w:p w14:paraId="7D4E233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850" w:type="dxa"/>
            <w:noWrap w:val="0"/>
            <w:vAlign w:val="center"/>
          </w:tcPr>
          <w:p w14:paraId="32D21ED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≤100</w:t>
            </w:r>
          </w:p>
        </w:tc>
      </w:tr>
      <w:tr w14:paraId="45FAD3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77B19A8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亚硝酸盐</w:t>
            </w:r>
          </w:p>
        </w:tc>
        <w:tc>
          <w:tcPr>
            <w:tcW w:w="1317" w:type="dxa"/>
            <w:noWrap w:val="0"/>
            <w:vAlign w:val="center"/>
          </w:tcPr>
          <w:p w14:paraId="501D195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685A612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0.018</w:t>
            </w:r>
          </w:p>
        </w:tc>
        <w:tc>
          <w:tcPr>
            <w:tcW w:w="1056" w:type="dxa"/>
            <w:noWrap w:val="0"/>
            <w:vAlign w:val="center"/>
          </w:tcPr>
          <w:p w14:paraId="003AFD2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0.016</w:t>
            </w:r>
          </w:p>
        </w:tc>
        <w:tc>
          <w:tcPr>
            <w:tcW w:w="1026" w:type="dxa"/>
            <w:noWrap w:val="0"/>
            <w:vAlign w:val="center"/>
          </w:tcPr>
          <w:p w14:paraId="2EAAECB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0.019</w:t>
            </w:r>
          </w:p>
        </w:tc>
        <w:tc>
          <w:tcPr>
            <w:tcW w:w="1026" w:type="dxa"/>
            <w:noWrap w:val="0"/>
            <w:vAlign w:val="center"/>
          </w:tcPr>
          <w:p w14:paraId="7BB9BA1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0.017</w:t>
            </w:r>
          </w:p>
        </w:tc>
        <w:tc>
          <w:tcPr>
            <w:tcW w:w="1026" w:type="dxa"/>
            <w:noWrap w:val="0"/>
            <w:vAlign w:val="center"/>
          </w:tcPr>
          <w:p w14:paraId="0037704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0.022</w:t>
            </w:r>
          </w:p>
        </w:tc>
        <w:tc>
          <w:tcPr>
            <w:tcW w:w="850" w:type="dxa"/>
            <w:noWrap w:val="0"/>
            <w:vAlign w:val="center"/>
          </w:tcPr>
          <w:p w14:paraId="08CB926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≤1.00</w:t>
            </w:r>
          </w:p>
        </w:tc>
      </w:tr>
      <w:tr w14:paraId="5F3998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65A5239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硝酸盐</w:t>
            </w:r>
          </w:p>
        </w:tc>
        <w:tc>
          <w:tcPr>
            <w:tcW w:w="1317" w:type="dxa"/>
            <w:noWrap w:val="0"/>
            <w:vAlign w:val="center"/>
          </w:tcPr>
          <w:p w14:paraId="29B12D1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217760C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6.80</w:t>
            </w:r>
          </w:p>
        </w:tc>
        <w:tc>
          <w:tcPr>
            <w:tcW w:w="1056" w:type="dxa"/>
            <w:noWrap w:val="0"/>
            <w:vAlign w:val="center"/>
          </w:tcPr>
          <w:p w14:paraId="145F5F2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6.30</w:t>
            </w:r>
          </w:p>
        </w:tc>
        <w:tc>
          <w:tcPr>
            <w:tcW w:w="1026" w:type="dxa"/>
            <w:noWrap w:val="0"/>
            <w:vAlign w:val="center"/>
          </w:tcPr>
          <w:p w14:paraId="782F678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6.50</w:t>
            </w:r>
          </w:p>
        </w:tc>
        <w:tc>
          <w:tcPr>
            <w:tcW w:w="1026" w:type="dxa"/>
            <w:noWrap w:val="0"/>
            <w:vAlign w:val="center"/>
          </w:tcPr>
          <w:p w14:paraId="0722965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7.00</w:t>
            </w:r>
          </w:p>
        </w:tc>
        <w:tc>
          <w:tcPr>
            <w:tcW w:w="1026" w:type="dxa"/>
            <w:noWrap w:val="0"/>
            <w:vAlign w:val="center"/>
          </w:tcPr>
          <w:p w14:paraId="1956FA5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6.90</w:t>
            </w:r>
          </w:p>
        </w:tc>
        <w:tc>
          <w:tcPr>
            <w:tcW w:w="850" w:type="dxa"/>
            <w:noWrap w:val="0"/>
            <w:vAlign w:val="center"/>
          </w:tcPr>
          <w:p w14:paraId="3F0310D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≤20.0</w:t>
            </w:r>
          </w:p>
        </w:tc>
      </w:tr>
      <w:tr w14:paraId="5EFAE0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41B7A0E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氰化物</w:t>
            </w:r>
          </w:p>
        </w:tc>
        <w:tc>
          <w:tcPr>
            <w:tcW w:w="1317" w:type="dxa"/>
            <w:noWrap w:val="0"/>
            <w:vAlign w:val="center"/>
          </w:tcPr>
          <w:p w14:paraId="7AE336F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5858516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1056" w:type="dxa"/>
            <w:noWrap w:val="0"/>
            <w:vAlign w:val="center"/>
          </w:tcPr>
          <w:p w14:paraId="203E2C7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1026" w:type="dxa"/>
            <w:noWrap w:val="0"/>
            <w:vAlign w:val="center"/>
          </w:tcPr>
          <w:p w14:paraId="3B32EAC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1026" w:type="dxa"/>
            <w:noWrap w:val="0"/>
            <w:vAlign w:val="center"/>
          </w:tcPr>
          <w:p w14:paraId="39B354F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1026" w:type="dxa"/>
            <w:noWrap w:val="0"/>
            <w:vAlign w:val="center"/>
          </w:tcPr>
          <w:p w14:paraId="1895F25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850" w:type="dxa"/>
            <w:noWrap w:val="0"/>
            <w:vAlign w:val="center"/>
          </w:tcPr>
          <w:p w14:paraId="355CE74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≤0.05</w:t>
            </w:r>
          </w:p>
        </w:tc>
      </w:tr>
      <w:tr w14:paraId="3D342E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7402E60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氟化物</w:t>
            </w:r>
          </w:p>
        </w:tc>
        <w:tc>
          <w:tcPr>
            <w:tcW w:w="1317" w:type="dxa"/>
            <w:noWrap w:val="0"/>
            <w:vAlign w:val="center"/>
          </w:tcPr>
          <w:p w14:paraId="62D0A7A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1B285E0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1056" w:type="dxa"/>
            <w:noWrap w:val="0"/>
            <w:vAlign w:val="center"/>
          </w:tcPr>
          <w:p w14:paraId="107634E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1026" w:type="dxa"/>
            <w:noWrap w:val="0"/>
            <w:vAlign w:val="center"/>
          </w:tcPr>
          <w:p w14:paraId="565ACB7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1026" w:type="dxa"/>
            <w:noWrap w:val="0"/>
            <w:vAlign w:val="center"/>
          </w:tcPr>
          <w:p w14:paraId="72A2624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1026" w:type="dxa"/>
            <w:noWrap w:val="0"/>
            <w:vAlign w:val="center"/>
          </w:tcPr>
          <w:p w14:paraId="37ABED5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850" w:type="dxa"/>
            <w:noWrap w:val="0"/>
            <w:vAlign w:val="center"/>
          </w:tcPr>
          <w:p w14:paraId="7F66D5E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w:t>
            </w:r>
          </w:p>
        </w:tc>
      </w:tr>
      <w:tr w14:paraId="2CB140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179" w:type="dxa"/>
            <w:noWrap w:val="0"/>
            <w:vAlign w:val="center"/>
          </w:tcPr>
          <w:p w14:paraId="7388133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汞</w:t>
            </w:r>
          </w:p>
        </w:tc>
        <w:tc>
          <w:tcPr>
            <w:tcW w:w="1317" w:type="dxa"/>
            <w:noWrap w:val="0"/>
            <w:vAlign w:val="center"/>
          </w:tcPr>
          <w:p w14:paraId="01D6B6D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75561D2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1056" w:type="dxa"/>
            <w:noWrap w:val="0"/>
            <w:vAlign w:val="center"/>
          </w:tcPr>
          <w:p w14:paraId="5D906A7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1026" w:type="dxa"/>
            <w:noWrap w:val="0"/>
            <w:vAlign w:val="center"/>
          </w:tcPr>
          <w:p w14:paraId="2751F34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1026" w:type="dxa"/>
            <w:noWrap w:val="0"/>
            <w:vAlign w:val="center"/>
          </w:tcPr>
          <w:p w14:paraId="38FD167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1026" w:type="dxa"/>
            <w:noWrap w:val="0"/>
            <w:vAlign w:val="center"/>
          </w:tcPr>
          <w:p w14:paraId="66E5402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850" w:type="dxa"/>
            <w:noWrap w:val="0"/>
            <w:vAlign w:val="center"/>
          </w:tcPr>
          <w:p w14:paraId="05CE6F5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≤0.001</w:t>
            </w:r>
          </w:p>
        </w:tc>
      </w:tr>
      <w:tr w14:paraId="6BA3F9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1179" w:type="dxa"/>
            <w:noWrap w:val="0"/>
            <w:vAlign w:val="center"/>
          </w:tcPr>
          <w:p w14:paraId="1F6236B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砷</w:t>
            </w:r>
          </w:p>
        </w:tc>
        <w:tc>
          <w:tcPr>
            <w:tcW w:w="1317" w:type="dxa"/>
            <w:noWrap w:val="0"/>
            <w:vAlign w:val="center"/>
          </w:tcPr>
          <w:p w14:paraId="39D8A2C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23CC4EF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056" w:type="dxa"/>
            <w:noWrap w:val="0"/>
            <w:vAlign w:val="center"/>
          </w:tcPr>
          <w:p w14:paraId="30B979F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026" w:type="dxa"/>
            <w:noWrap w:val="0"/>
            <w:vAlign w:val="center"/>
          </w:tcPr>
          <w:p w14:paraId="1347FB8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026" w:type="dxa"/>
            <w:noWrap w:val="0"/>
            <w:vAlign w:val="center"/>
          </w:tcPr>
          <w:p w14:paraId="5E68BC0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026" w:type="dxa"/>
            <w:noWrap w:val="0"/>
            <w:vAlign w:val="center"/>
          </w:tcPr>
          <w:p w14:paraId="55C5254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850" w:type="dxa"/>
            <w:noWrap w:val="0"/>
            <w:vAlign w:val="center"/>
          </w:tcPr>
          <w:p w14:paraId="6191EA0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≤0.01</w:t>
            </w:r>
          </w:p>
        </w:tc>
      </w:tr>
      <w:tr w14:paraId="1E87B0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1179" w:type="dxa"/>
            <w:noWrap w:val="0"/>
            <w:vAlign w:val="center"/>
          </w:tcPr>
          <w:p w14:paraId="4959C5E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镉</w:t>
            </w:r>
          </w:p>
        </w:tc>
        <w:tc>
          <w:tcPr>
            <w:tcW w:w="1317" w:type="dxa"/>
            <w:noWrap w:val="0"/>
            <w:vAlign w:val="center"/>
          </w:tcPr>
          <w:p w14:paraId="3634F60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438ACAC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1056" w:type="dxa"/>
            <w:noWrap w:val="0"/>
            <w:vAlign w:val="center"/>
          </w:tcPr>
          <w:p w14:paraId="068B759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1026" w:type="dxa"/>
            <w:noWrap w:val="0"/>
            <w:vAlign w:val="center"/>
          </w:tcPr>
          <w:p w14:paraId="5B1EE3A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1026" w:type="dxa"/>
            <w:noWrap w:val="0"/>
            <w:vAlign w:val="center"/>
          </w:tcPr>
          <w:p w14:paraId="5E1A133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1026" w:type="dxa"/>
            <w:noWrap w:val="0"/>
            <w:vAlign w:val="center"/>
          </w:tcPr>
          <w:p w14:paraId="30643B5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850" w:type="dxa"/>
            <w:noWrap w:val="0"/>
            <w:vAlign w:val="center"/>
          </w:tcPr>
          <w:p w14:paraId="0FFDA02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≤0.005</w:t>
            </w:r>
          </w:p>
        </w:tc>
      </w:tr>
      <w:tr w14:paraId="554A15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1179" w:type="dxa"/>
            <w:noWrap w:val="0"/>
            <w:vAlign w:val="center"/>
          </w:tcPr>
          <w:p w14:paraId="5361D4C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六价铬</w:t>
            </w:r>
          </w:p>
        </w:tc>
        <w:tc>
          <w:tcPr>
            <w:tcW w:w="1317" w:type="dxa"/>
            <w:noWrap w:val="0"/>
            <w:vAlign w:val="center"/>
          </w:tcPr>
          <w:p w14:paraId="1D418DE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47D91E4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1056" w:type="dxa"/>
            <w:noWrap w:val="0"/>
            <w:vAlign w:val="center"/>
          </w:tcPr>
          <w:p w14:paraId="3969058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1026" w:type="dxa"/>
            <w:noWrap w:val="0"/>
            <w:vAlign w:val="center"/>
          </w:tcPr>
          <w:p w14:paraId="7055AC5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1026" w:type="dxa"/>
            <w:noWrap w:val="0"/>
            <w:vAlign w:val="center"/>
          </w:tcPr>
          <w:p w14:paraId="75E7409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1026" w:type="dxa"/>
            <w:noWrap w:val="0"/>
            <w:vAlign w:val="center"/>
          </w:tcPr>
          <w:p w14:paraId="7EDB7F0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850" w:type="dxa"/>
            <w:noWrap w:val="0"/>
            <w:vAlign w:val="center"/>
          </w:tcPr>
          <w:p w14:paraId="16C363A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≤0.05</w:t>
            </w:r>
          </w:p>
        </w:tc>
      </w:tr>
      <w:tr w14:paraId="5EE87A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1179" w:type="dxa"/>
            <w:noWrap w:val="0"/>
            <w:vAlign w:val="center"/>
          </w:tcPr>
          <w:p w14:paraId="2940B10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锌</w:t>
            </w:r>
          </w:p>
        </w:tc>
        <w:tc>
          <w:tcPr>
            <w:tcW w:w="1317" w:type="dxa"/>
            <w:noWrap w:val="0"/>
            <w:vAlign w:val="center"/>
          </w:tcPr>
          <w:p w14:paraId="36E624C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346918E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1056" w:type="dxa"/>
            <w:noWrap w:val="0"/>
            <w:vAlign w:val="center"/>
          </w:tcPr>
          <w:p w14:paraId="586D94E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1026" w:type="dxa"/>
            <w:noWrap w:val="0"/>
            <w:vAlign w:val="center"/>
          </w:tcPr>
          <w:p w14:paraId="16E7081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1026" w:type="dxa"/>
            <w:noWrap w:val="0"/>
            <w:vAlign w:val="center"/>
          </w:tcPr>
          <w:p w14:paraId="13DB11E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1026" w:type="dxa"/>
            <w:noWrap w:val="0"/>
            <w:vAlign w:val="center"/>
          </w:tcPr>
          <w:p w14:paraId="43E69CB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850" w:type="dxa"/>
            <w:noWrap w:val="0"/>
            <w:vAlign w:val="center"/>
          </w:tcPr>
          <w:p w14:paraId="12547C4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≤1.00</w:t>
            </w:r>
          </w:p>
        </w:tc>
      </w:tr>
      <w:tr w14:paraId="3D9B11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1179" w:type="dxa"/>
            <w:noWrap w:val="0"/>
            <w:vAlign w:val="center"/>
          </w:tcPr>
          <w:p w14:paraId="78A174E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阴离子表面活性剂</w:t>
            </w:r>
          </w:p>
        </w:tc>
        <w:tc>
          <w:tcPr>
            <w:tcW w:w="1317" w:type="dxa"/>
            <w:noWrap w:val="0"/>
            <w:vAlign w:val="center"/>
          </w:tcPr>
          <w:p w14:paraId="43CCC1D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5752607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1056" w:type="dxa"/>
            <w:noWrap w:val="0"/>
            <w:vAlign w:val="center"/>
          </w:tcPr>
          <w:p w14:paraId="7A706B9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1026" w:type="dxa"/>
            <w:noWrap w:val="0"/>
            <w:vAlign w:val="center"/>
          </w:tcPr>
          <w:p w14:paraId="3AC6BC5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1026" w:type="dxa"/>
            <w:noWrap w:val="0"/>
            <w:vAlign w:val="center"/>
          </w:tcPr>
          <w:p w14:paraId="3E5731E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1026" w:type="dxa"/>
            <w:noWrap w:val="0"/>
            <w:vAlign w:val="center"/>
          </w:tcPr>
          <w:p w14:paraId="3B6DC35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850" w:type="dxa"/>
            <w:noWrap w:val="0"/>
            <w:vAlign w:val="center"/>
          </w:tcPr>
          <w:p w14:paraId="6B696CD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≤0.3</w:t>
            </w:r>
          </w:p>
        </w:tc>
      </w:tr>
      <w:tr w14:paraId="0F177E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1179" w:type="dxa"/>
            <w:noWrap w:val="0"/>
            <w:vAlign w:val="center"/>
          </w:tcPr>
          <w:p w14:paraId="27FF0D8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石油类</w:t>
            </w:r>
          </w:p>
        </w:tc>
        <w:tc>
          <w:tcPr>
            <w:tcW w:w="1317" w:type="dxa"/>
            <w:noWrap w:val="0"/>
            <w:vAlign w:val="center"/>
          </w:tcPr>
          <w:p w14:paraId="00895C8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24D2BC9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4.85</w:t>
            </w:r>
          </w:p>
        </w:tc>
        <w:tc>
          <w:tcPr>
            <w:tcW w:w="1056" w:type="dxa"/>
            <w:noWrap w:val="0"/>
            <w:vAlign w:val="center"/>
          </w:tcPr>
          <w:p w14:paraId="69184AB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4.86</w:t>
            </w:r>
          </w:p>
        </w:tc>
        <w:tc>
          <w:tcPr>
            <w:tcW w:w="1026" w:type="dxa"/>
            <w:noWrap w:val="0"/>
            <w:vAlign w:val="center"/>
          </w:tcPr>
          <w:p w14:paraId="2D3C7D8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4.90</w:t>
            </w:r>
          </w:p>
        </w:tc>
        <w:tc>
          <w:tcPr>
            <w:tcW w:w="1026" w:type="dxa"/>
            <w:noWrap w:val="0"/>
            <w:vAlign w:val="center"/>
          </w:tcPr>
          <w:p w14:paraId="69247D9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4.89</w:t>
            </w:r>
          </w:p>
        </w:tc>
        <w:tc>
          <w:tcPr>
            <w:tcW w:w="1026" w:type="dxa"/>
            <w:noWrap w:val="0"/>
            <w:vAlign w:val="center"/>
          </w:tcPr>
          <w:p w14:paraId="61EA7F2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4.89</w:t>
            </w:r>
          </w:p>
        </w:tc>
        <w:tc>
          <w:tcPr>
            <w:tcW w:w="850" w:type="dxa"/>
            <w:noWrap w:val="0"/>
            <w:vAlign w:val="center"/>
          </w:tcPr>
          <w:p w14:paraId="7AAEFD5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0.05</w:t>
            </w:r>
          </w:p>
        </w:tc>
      </w:tr>
      <w:tr w14:paraId="1165D4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1179" w:type="dxa"/>
            <w:noWrap w:val="0"/>
            <w:vAlign w:val="center"/>
          </w:tcPr>
          <w:p w14:paraId="754E0B9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铅</w:t>
            </w:r>
          </w:p>
        </w:tc>
        <w:tc>
          <w:tcPr>
            <w:tcW w:w="1317" w:type="dxa"/>
            <w:noWrap w:val="0"/>
            <w:vAlign w:val="center"/>
          </w:tcPr>
          <w:p w14:paraId="7C3A646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042" w:type="dxa"/>
            <w:noWrap w:val="0"/>
            <w:vAlign w:val="center"/>
          </w:tcPr>
          <w:p w14:paraId="6C79DF2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1056" w:type="dxa"/>
            <w:noWrap w:val="0"/>
            <w:vAlign w:val="center"/>
          </w:tcPr>
          <w:p w14:paraId="76AA4D6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1026" w:type="dxa"/>
            <w:noWrap w:val="0"/>
            <w:vAlign w:val="center"/>
          </w:tcPr>
          <w:p w14:paraId="61AE667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1026" w:type="dxa"/>
            <w:noWrap w:val="0"/>
            <w:vAlign w:val="center"/>
          </w:tcPr>
          <w:p w14:paraId="3BCF51E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1026" w:type="dxa"/>
            <w:noWrap w:val="0"/>
            <w:vAlign w:val="center"/>
          </w:tcPr>
          <w:p w14:paraId="4F79252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850" w:type="dxa"/>
            <w:noWrap w:val="0"/>
            <w:vAlign w:val="center"/>
          </w:tcPr>
          <w:p w14:paraId="0A33DA4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≤0.01</w:t>
            </w:r>
          </w:p>
        </w:tc>
      </w:tr>
    </w:tbl>
    <w:p w14:paraId="0924FC55">
      <w:pPr>
        <w:pStyle w:val="7"/>
        <w:bidi w:val="0"/>
        <w:rPr>
          <w:highlight w:val="none"/>
        </w:rPr>
      </w:pPr>
      <w:r>
        <w:rPr>
          <w:rFonts w:hint="eastAsia"/>
          <w:highlight w:val="none"/>
          <w:lang w:val="en-US" w:eastAsia="zh-CN"/>
        </w:rPr>
        <w:t>续</w:t>
      </w:r>
      <w:r>
        <w:rPr>
          <w:highlight w:val="none"/>
        </w:rPr>
        <w:t>表4-2-</w:t>
      </w:r>
      <w:r>
        <w:rPr>
          <w:rFonts w:hint="eastAsia"/>
          <w:highlight w:val="none"/>
          <w:lang w:val="en-US" w:eastAsia="zh-CN"/>
        </w:rPr>
        <w:t>5</w:t>
      </w:r>
      <w:r>
        <w:rPr>
          <w:highlight w:val="none"/>
        </w:rPr>
        <w:t>地下水监测结果表单位：mg/L</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8"/>
        <w:gridCol w:w="1084"/>
        <w:gridCol w:w="1091"/>
        <w:gridCol w:w="1092"/>
        <w:gridCol w:w="1091"/>
        <w:gridCol w:w="1092"/>
        <w:gridCol w:w="1092"/>
        <w:gridCol w:w="792"/>
      </w:tblGrid>
      <w:tr w14:paraId="41F581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vMerge w:val="restart"/>
            <w:noWrap w:val="0"/>
            <w:vAlign w:val="center"/>
          </w:tcPr>
          <w:p w14:paraId="68BAA94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检测项目</w:t>
            </w:r>
          </w:p>
        </w:tc>
        <w:tc>
          <w:tcPr>
            <w:tcW w:w="1182" w:type="dxa"/>
            <w:tcBorders>
              <w:bottom w:val="single" w:color="auto" w:sz="4" w:space="0"/>
            </w:tcBorders>
            <w:noWrap w:val="0"/>
            <w:vAlign w:val="center"/>
          </w:tcPr>
          <w:p w14:paraId="5294FDB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采样时间</w:t>
            </w:r>
          </w:p>
        </w:tc>
        <w:tc>
          <w:tcPr>
            <w:tcW w:w="5953" w:type="dxa"/>
            <w:gridSpan w:val="5"/>
            <w:tcBorders>
              <w:bottom w:val="single" w:color="auto" w:sz="4" w:space="0"/>
            </w:tcBorders>
            <w:noWrap w:val="0"/>
            <w:vAlign w:val="center"/>
          </w:tcPr>
          <w:p w14:paraId="45CDFCB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2026.02.24</w:t>
            </w:r>
          </w:p>
        </w:tc>
        <w:tc>
          <w:tcPr>
            <w:tcW w:w="856" w:type="dxa"/>
            <w:vMerge w:val="restart"/>
            <w:noWrap w:val="0"/>
            <w:vAlign w:val="center"/>
          </w:tcPr>
          <w:p w14:paraId="7002BBC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标准</w:t>
            </w:r>
          </w:p>
          <w:p w14:paraId="74AD9E1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限值</w:t>
            </w:r>
          </w:p>
        </w:tc>
      </w:tr>
      <w:tr w14:paraId="6654E9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vMerge w:val="continue"/>
            <w:noWrap w:val="0"/>
            <w:vAlign w:val="center"/>
          </w:tcPr>
          <w:p w14:paraId="3FFEA25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c>
          <w:tcPr>
            <w:tcW w:w="1182" w:type="dxa"/>
            <w:tcBorders>
              <w:top w:val="single" w:color="auto" w:sz="4" w:space="0"/>
              <w:bottom w:val="single" w:color="auto" w:sz="4" w:space="0"/>
            </w:tcBorders>
            <w:noWrap w:val="0"/>
            <w:vAlign w:val="center"/>
          </w:tcPr>
          <w:p w14:paraId="54ED3BC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采样</w:t>
            </w:r>
            <w:r>
              <w:rPr>
                <w:rFonts w:hint="default" w:ascii="Times New Roman" w:hAnsi="Times New Roman" w:eastAsia="宋体" w:cs="Times New Roman"/>
                <w:b w:val="0"/>
                <w:bCs w:val="0"/>
                <w:color w:val="000000"/>
                <w:sz w:val="21"/>
                <w:szCs w:val="21"/>
                <w:highlight w:val="none"/>
              </w:rPr>
              <w:t>点位</w:t>
            </w:r>
          </w:p>
        </w:tc>
        <w:tc>
          <w:tcPr>
            <w:tcW w:w="1190" w:type="dxa"/>
            <w:tcBorders>
              <w:top w:val="single" w:color="auto" w:sz="4" w:space="0"/>
              <w:bottom w:val="single" w:color="auto" w:sz="4" w:space="0"/>
            </w:tcBorders>
            <w:noWrap w:val="0"/>
            <w:vAlign w:val="center"/>
          </w:tcPr>
          <w:p w14:paraId="3CC46AF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厂址侧向</w:t>
            </w:r>
          </w:p>
          <w:p w14:paraId="1A0273F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☆6</w:t>
            </w:r>
          </w:p>
        </w:tc>
        <w:tc>
          <w:tcPr>
            <w:tcW w:w="1191" w:type="dxa"/>
            <w:noWrap w:val="0"/>
            <w:vAlign w:val="center"/>
          </w:tcPr>
          <w:p w14:paraId="413ADC9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厂址侧向</w:t>
            </w:r>
          </w:p>
          <w:p w14:paraId="533CEFB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☆7</w:t>
            </w:r>
          </w:p>
        </w:tc>
        <w:tc>
          <w:tcPr>
            <w:tcW w:w="1190" w:type="dxa"/>
            <w:noWrap w:val="0"/>
            <w:vAlign w:val="center"/>
          </w:tcPr>
          <w:p w14:paraId="086C81E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厂址侧向</w:t>
            </w:r>
          </w:p>
          <w:p w14:paraId="068DFF6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☆8</w:t>
            </w:r>
          </w:p>
        </w:tc>
        <w:tc>
          <w:tcPr>
            <w:tcW w:w="1191" w:type="dxa"/>
            <w:noWrap w:val="0"/>
            <w:vAlign w:val="center"/>
          </w:tcPr>
          <w:p w14:paraId="0C86685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厂址侧向</w:t>
            </w:r>
          </w:p>
          <w:p w14:paraId="7EF7473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☆9</w:t>
            </w:r>
          </w:p>
        </w:tc>
        <w:tc>
          <w:tcPr>
            <w:tcW w:w="1191" w:type="dxa"/>
            <w:noWrap w:val="0"/>
            <w:vAlign w:val="center"/>
          </w:tcPr>
          <w:p w14:paraId="32AE0D0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厂址下游</w:t>
            </w:r>
          </w:p>
          <w:p w14:paraId="3227817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w:t>
            </w:r>
          </w:p>
        </w:tc>
        <w:tc>
          <w:tcPr>
            <w:tcW w:w="856" w:type="dxa"/>
            <w:vMerge w:val="continue"/>
            <w:noWrap w:val="0"/>
            <w:vAlign w:val="center"/>
          </w:tcPr>
          <w:p w14:paraId="76ECB5D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r>
      <w:tr w14:paraId="7BD231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vMerge w:val="continue"/>
            <w:noWrap w:val="0"/>
            <w:vAlign w:val="center"/>
          </w:tcPr>
          <w:p w14:paraId="68E5573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c>
          <w:tcPr>
            <w:tcW w:w="1182" w:type="dxa"/>
            <w:tcBorders>
              <w:top w:val="single" w:color="auto" w:sz="4" w:space="0"/>
            </w:tcBorders>
            <w:noWrap w:val="0"/>
            <w:vAlign w:val="center"/>
          </w:tcPr>
          <w:p w14:paraId="3DEF325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样品</w:t>
            </w:r>
            <w:r>
              <w:rPr>
                <w:rFonts w:hint="eastAsia" w:ascii="Times New Roman" w:hAnsi="Times New Roman" w:eastAsia="宋体" w:cs="Times New Roman"/>
                <w:b w:val="0"/>
                <w:bCs w:val="0"/>
                <w:color w:val="000000"/>
                <w:sz w:val="21"/>
                <w:szCs w:val="21"/>
                <w:highlight w:val="none"/>
              </w:rPr>
              <w:t>性状</w:t>
            </w:r>
          </w:p>
        </w:tc>
        <w:tc>
          <w:tcPr>
            <w:tcW w:w="1190" w:type="dxa"/>
            <w:tcBorders>
              <w:top w:val="single" w:color="auto" w:sz="4" w:space="0"/>
            </w:tcBorders>
            <w:noWrap w:val="0"/>
            <w:vAlign w:val="center"/>
          </w:tcPr>
          <w:p w14:paraId="702B886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1191" w:type="dxa"/>
            <w:noWrap w:val="0"/>
            <w:vAlign w:val="center"/>
          </w:tcPr>
          <w:p w14:paraId="4EC029E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1190" w:type="dxa"/>
            <w:noWrap w:val="0"/>
            <w:vAlign w:val="center"/>
          </w:tcPr>
          <w:p w14:paraId="6F1F949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1191" w:type="dxa"/>
            <w:noWrap w:val="0"/>
            <w:vAlign w:val="center"/>
          </w:tcPr>
          <w:p w14:paraId="232290D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1191" w:type="dxa"/>
            <w:noWrap w:val="0"/>
            <w:vAlign w:val="center"/>
          </w:tcPr>
          <w:p w14:paraId="46A78F7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无色、无味</w:t>
            </w:r>
          </w:p>
        </w:tc>
        <w:tc>
          <w:tcPr>
            <w:tcW w:w="856" w:type="dxa"/>
            <w:vMerge w:val="continue"/>
            <w:noWrap w:val="0"/>
            <w:vAlign w:val="center"/>
          </w:tcPr>
          <w:p w14:paraId="2F557A2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r>
      <w:tr w14:paraId="1F7B7C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vMerge w:val="continue"/>
            <w:noWrap w:val="0"/>
            <w:vAlign w:val="center"/>
          </w:tcPr>
          <w:p w14:paraId="529CEC8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c>
          <w:tcPr>
            <w:tcW w:w="1182" w:type="dxa"/>
            <w:tcBorders>
              <w:top w:val="single" w:color="auto" w:sz="4" w:space="0"/>
            </w:tcBorders>
            <w:noWrap w:val="0"/>
            <w:vAlign w:val="center"/>
          </w:tcPr>
          <w:p w14:paraId="56D8BD7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样品编号</w:t>
            </w:r>
          </w:p>
        </w:tc>
        <w:tc>
          <w:tcPr>
            <w:tcW w:w="1190" w:type="dxa"/>
            <w:tcBorders>
              <w:top w:val="single" w:color="auto" w:sz="4" w:space="0"/>
            </w:tcBorders>
            <w:noWrap w:val="0"/>
            <w:vAlign w:val="center"/>
          </w:tcPr>
          <w:p w14:paraId="30408BF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Y260224020601</w:t>
            </w:r>
          </w:p>
        </w:tc>
        <w:tc>
          <w:tcPr>
            <w:tcW w:w="1191" w:type="dxa"/>
            <w:noWrap w:val="0"/>
            <w:vAlign w:val="center"/>
          </w:tcPr>
          <w:p w14:paraId="1470FE5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Y260224020701</w:t>
            </w:r>
          </w:p>
        </w:tc>
        <w:tc>
          <w:tcPr>
            <w:tcW w:w="1190" w:type="dxa"/>
            <w:noWrap w:val="0"/>
            <w:vAlign w:val="center"/>
          </w:tcPr>
          <w:p w14:paraId="316E01A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Y260224020801</w:t>
            </w:r>
          </w:p>
        </w:tc>
        <w:tc>
          <w:tcPr>
            <w:tcW w:w="1191" w:type="dxa"/>
            <w:noWrap w:val="0"/>
            <w:vAlign w:val="center"/>
          </w:tcPr>
          <w:p w14:paraId="199EB0E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Y260224020901</w:t>
            </w:r>
          </w:p>
        </w:tc>
        <w:tc>
          <w:tcPr>
            <w:tcW w:w="1191" w:type="dxa"/>
            <w:noWrap w:val="0"/>
            <w:vAlign w:val="center"/>
          </w:tcPr>
          <w:p w14:paraId="546A986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Y260224021001</w:t>
            </w:r>
          </w:p>
        </w:tc>
        <w:tc>
          <w:tcPr>
            <w:tcW w:w="856" w:type="dxa"/>
            <w:vMerge w:val="continue"/>
            <w:noWrap w:val="0"/>
            <w:vAlign w:val="center"/>
          </w:tcPr>
          <w:p w14:paraId="4BA458D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p>
        </w:tc>
      </w:tr>
      <w:tr w14:paraId="3EE90A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01D7773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钾</w:t>
            </w:r>
          </w:p>
        </w:tc>
        <w:tc>
          <w:tcPr>
            <w:tcW w:w="1182" w:type="dxa"/>
            <w:noWrap w:val="0"/>
            <w:vAlign w:val="center"/>
          </w:tcPr>
          <w:p w14:paraId="059F250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0E6261C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0.39</w:t>
            </w:r>
          </w:p>
        </w:tc>
        <w:tc>
          <w:tcPr>
            <w:tcW w:w="1191" w:type="dxa"/>
            <w:noWrap w:val="0"/>
            <w:vAlign w:val="center"/>
          </w:tcPr>
          <w:p w14:paraId="0DB808C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0.47</w:t>
            </w:r>
          </w:p>
        </w:tc>
        <w:tc>
          <w:tcPr>
            <w:tcW w:w="1190" w:type="dxa"/>
            <w:noWrap w:val="0"/>
            <w:vAlign w:val="center"/>
          </w:tcPr>
          <w:p w14:paraId="604AAB7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0.43</w:t>
            </w:r>
          </w:p>
        </w:tc>
        <w:tc>
          <w:tcPr>
            <w:tcW w:w="1191" w:type="dxa"/>
            <w:noWrap w:val="0"/>
            <w:vAlign w:val="center"/>
          </w:tcPr>
          <w:p w14:paraId="4E359FC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0.38</w:t>
            </w:r>
          </w:p>
        </w:tc>
        <w:tc>
          <w:tcPr>
            <w:tcW w:w="1191" w:type="dxa"/>
            <w:noWrap w:val="0"/>
            <w:vAlign w:val="center"/>
          </w:tcPr>
          <w:p w14:paraId="38070A3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0.46</w:t>
            </w:r>
          </w:p>
        </w:tc>
        <w:tc>
          <w:tcPr>
            <w:tcW w:w="856" w:type="dxa"/>
            <w:noWrap w:val="0"/>
            <w:vAlign w:val="center"/>
          </w:tcPr>
          <w:p w14:paraId="10B5AE0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0DF965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46B03BD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钠</w:t>
            </w:r>
          </w:p>
        </w:tc>
        <w:tc>
          <w:tcPr>
            <w:tcW w:w="1182" w:type="dxa"/>
            <w:noWrap w:val="0"/>
            <w:vAlign w:val="center"/>
          </w:tcPr>
          <w:p w14:paraId="4FB44AC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1D71DF1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1.84</w:t>
            </w:r>
          </w:p>
        </w:tc>
        <w:tc>
          <w:tcPr>
            <w:tcW w:w="1191" w:type="dxa"/>
            <w:noWrap w:val="0"/>
            <w:vAlign w:val="center"/>
          </w:tcPr>
          <w:p w14:paraId="57831FE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2.32</w:t>
            </w:r>
          </w:p>
        </w:tc>
        <w:tc>
          <w:tcPr>
            <w:tcW w:w="1190" w:type="dxa"/>
            <w:noWrap w:val="0"/>
            <w:vAlign w:val="center"/>
          </w:tcPr>
          <w:p w14:paraId="50E80D7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2.70</w:t>
            </w:r>
          </w:p>
        </w:tc>
        <w:tc>
          <w:tcPr>
            <w:tcW w:w="1191" w:type="dxa"/>
            <w:noWrap w:val="0"/>
            <w:vAlign w:val="center"/>
          </w:tcPr>
          <w:p w14:paraId="6C1BE7F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2.60</w:t>
            </w:r>
          </w:p>
        </w:tc>
        <w:tc>
          <w:tcPr>
            <w:tcW w:w="1191" w:type="dxa"/>
            <w:noWrap w:val="0"/>
            <w:vAlign w:val="center"/>
          </w:tcPr>
          <w:p w14:paraId="15FD1C4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2.56</w:t>
            </w:r>
          </w:p>
        </w:tc>
        <w:tc>
          <w:tcPr>
            <w:tcW w:w="856" w:type="dxa"/>
            <w:noWrap w:val="0"/>
            <w:vAlign w:val="center"/>
          </w:tcPr>
          <w:p w14:paraId="243ECF9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≤200</w:t>
            </w:r>
          </w:p>
        </w:tc>
      </w:tr>
      <w:tr w14:paraId="76E37E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450B76C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钙</w:t>
            </w:r>
          </w:p>
        </w:tc>
        <w:tc>
          <w:tcPr>
            <w:tcW w:w="1182" w:type="dxa"/>
            <w:noWrap w:val="0"/>
            <w:vAlign w:val="center"/>
          </w:tcPr>
          <w:p w14:paraId="70E0206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72384DC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48.8</w:t>
            </w:r>
          </w:p>
        </w:tc>
        <w:tc>
          <w:tcPr>
            <w:tcW w:w="1191" w:type="dxa"/>
            <w:noWrap w:val="0"/>
            <w:vAlign w:val="center"/>
          </w:tcPr>
          <w:p w14:paraId="3E03A6C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45.1</w:t>
            </w:r>
          </w:p>
        </w:tc>
        <w:tc>
          <w:tcPr>
            <w:tcW w:w="1190" w:type="dxa"/>
            <w:noWrap w:val="0"/>
            <w:vAlign w:val="center"/>
          </w:tcPr>
          <w:p w14:paraId="5CF1D23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41.3</w:t>
            </w:r>
          </w:p>
        </w:tc>
        <w:tc>
          <w:tcPr>
            <w:tcW w:w="1191" w:type="dxa"/>
            <w:noWrap w:val="0"/>
            <w:vAlign w:val="center"/>
          </w:tcPr>
          <w:p w14:paraId="03016B7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48.8</w:t>
            </w:r>
          </w:p>
        </w:tc>
        <w:tc>
          <w:tcPr>
            <w:tcW w:w="1191" w:type="dxa"/>
            <w:noWrap w:val="0"/>
            <w:vAlign w:val="center"/>
          </w:tcPr>
          <w:p w14:paraId="72E7A5E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45.1</w:t>
            </w:r>
          </w:p>
        </w:tc>
        <w:tc>
          <w:tcPr>
            <w:tcW w:w="856" w:type="dxa"/>
            <w:noWrap w:val="0"/>
            <w:vAlign w:val="center"/>
          </w:tcPr>
          <w:p w14:paraId="0C39C4E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3B3EB7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1A4EC2B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镁</w:t>
            </w:r>
          </w:p>
        </w:tc>
        <w:tc>
          <w:tcPr>
            <w:tcW w:w="1182" w:type="dxa"/>
            <w:noWrap w:val="0"/>
            <w:vAlign w:val="center"/>
          </w:tcPr>
          <w:p w14:paraId="3065C43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116D11E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20.2</w:t>
            </w:r>
          </w:p>
        </w:tc>
        <w:tc>
          <w:tcPr>
            <w:tcW w:w="1191" w:type="dxa"/>
            <w:noWrap w:val="0"/>
            <w:vAlign w:val="center"/>
          </w:tcPr>
          <w:p w14:paraId="3EC7D1B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19.6</w:t>
            </w:r>
          </w:p>
        </w:tc>
        <w:tc>
          <w:tcPr>
            <w:tcW w:w="1190" w:type="dxa"/>
            <w:noWrap w:val="0"/>
            <w:vAlign w:val="center"/>
          </w:tcPr>
          <w:p w14:paraId="13099AD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17.2</w:t>
            </w:r>
          </w:p>
        </w:tc>
        <w:tc>
          <w:tcPr>
            <w:tcW w:w="1191" w:type="dxa"/>
            <w:noWrap w:val="0"/>
            <w:vAlign w:val="center"/>
          </w:tcPr>
          <w:p w14:paraId="1E5DA00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18.4</w:t>
            </w:r>
          </w:p>
        </w:tc>
        <w:tc>
          <w:tcPr>
            <w:tcW w:w="1191" w:type="dxa"/>
            <w:noWrap w:val="0"/>
            <w:vAlign w:val="center"/>
          </w:tcPr>
          <w:p w14:paraId="034E784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19.9</w:t>
            </w:r>
          </w:p>
        </w:tc>
        <w:tc>
          <w:tcPr>
            <w:tcW w:w="856" w:type="dxa"/>
            <w:noWrap w:val="0"/>
            <w:vAlign w:val="center"/>
          </w:tcPr>
          <w:p w14:paraId="1197F57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6FF9F8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777A468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碳酸根</w:t>
            </w:r>
          </w:p>
        </w:tc>
        <w:tc>
          <w:tcPr>
            <w:tcW w:w="1182" w:type="dxa"/>
            <w:noWrap w:val="0"/>
            <w:vAlign w:val="center"/>
          </w:tcPr>
          <w:p w14:paraId="65A9BA8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757F172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1191" w:type="dxa"/>
            <w:noWrap w:val="0"/>
            <w:vAlign w:val="center"/>
          </w:tcPr>
          <w:p w14:paraId="69121D0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1190" w:type="dxa"/>
            <w:noWrap w:val="0"/>
            <w:vAlign w:val="center"/>
          </w:tcPr>
          <w:p w14:paraId="1994237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1191" w:type="dxa"/>
            <w:noWrap w:val="0"/>
            <w:vAlign w:val="center"/>
          </w:tcPr>
          <w:p w14:paraId="32BC2B4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1191" w:type="dxa"/>
            <w:noWrap w:val="0"/>
            <w:vAlign w:val="center"/>
          </w:tcPr>
          <w:p w14:paraId="6D4E0A1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5L</w:t>
            </w:r>
          </w:p>
        </w:tc>
        <w:tc>
          <w:tcPr>
            <w:tcW w:w="856" w:type="dxa"/>
            <w:noWrap w:val="0"/>
            <w:vAlign w:val="center"/>
          </w:tcPr>
          <w:p w14:paraId="2330311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1BD132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3EE1D04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碳酸氢根</w:t>
            </w:r>
          </w:p>
        </w:tc>
        <w:tc>
          <w:tcPr>
            <w:tcW w:w="1182" w:type="dxa"/>
            <w:noWrap w:val="0"/>
            <w:vAlign w:val="center"/>
          </w:tcPr>
          <w:p w14:paraId="5DF4159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4973626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207</w:t>
            </w:r>
          </w:p>
        </w:tc>
        <w:tc>
          <w:tcPr>
            <w:tcW w:w="1191" w:type="dxa"/>
            <w:noWrap w:val="0"/>
            <w:vAlign w:val="center"/>
          </w:tcPr>
          <w:p w14:paraId="6604E0D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195</w:t>
            </w:r>
          </w:p>
        </w:tc>
        <w:tc>
          <w:tcPr>
            <w:tcW w:w="1190" w:type="dxa"/>
            <w:noWrap w:val="0"/>
            <w:vAlign w:val="center"/>
          </w:tcPr>
          <w:p w14:paraId="034BCFC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180</w:t>
            </w:r>
          </w:p>
        </w:tc>
        <w:tc>
          <w:tcPr>
            <w:tcW w:w="1191" w:type="dxa"/>
            <w:noWrap w:val="0"/>
            <w:vAlign w:val="center"/>
          </w:tcPr>
          <w:p w14:paraId="5943444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192</w:t>
            </w:r>
          </w:p>
        </w:tc>
        <w:tc>
          <w:tcPr>
            <w:tcW w:w="1191" w:type="dxa"/>
            <w:noWrap w:val="0"/>
            <w:vAlign w:val="center"/>
          </w:tcPr>
          <w:p w14:paraId="3B82920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204</w:t>
            </w:r>
          </w:p>
        </w:tc>
        <w:tc>
          <w:tcPr>
            <w:tcW w:w="856" w:type="dxa"/>
            <w:noWrap w:val="0"/>
            <w:vAlign w:val="center"/>
          </w:tcPr>
          <w:p w14:paraId="69D7880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59635C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2122E2A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氯离子</w:t>
            </w:r>
          </w:p>
        </w:tc>
        <w:tc>
          <w:tcPr>
            <w:tcW w:w="1182" w:type="dxa"/>
            <w:noWrap w:val="0"/>
            <w:vAlign w:val="center"/>
          </w:tcPr>
          <w:p w14:paraId="41430B8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21D2509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17.3</w:t>
            </w:r>
          </w:p>
        </w:tc>
        <w:tc>
          <w:tcPr>
            <w:tcW w:w="1191" w:type="dxa"/>
            <w:noWrap w:val="0"/>
            <w:vAlign w:val="center"/>
          </w:tcPr>
          <w:p w14:paraId="7763A8E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14.4</w:t>
            </w:r>
          </w:p>
        </w:tc>
        <w:tc>
          <w:tcPr>
            <w:tcW w:w="1190" w:type="dxa"/>
            <w:noWrap w:val="0"/>
            <w:vAlign w:val="center"/>
          </w:tcPr>
          <w:p w14:paraId="617B13F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13.7</w:t>
            </w:r>
          </w:p>
        </w:tc>
        <w:tc>
          <w:tcPr>
            <w:tcW w:w="1191" w:type="dxa"/>
            <w:noWrap w:val="0"/>
            <w:vAlign w:val="center"/>
          </w:tcPr>
          <w:p w14:paraId="08A1386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12.3</w:t>
            </w:r>
          </w:p>
        </w:tc>
        <w:tc>
          <w:tcPr>
            <w:tcW w:w="1191" w:type="dxa"/>
            <w:noWrap w:val="0"/>
            <w:vAlign w:val="center"/>
          </w:tcPr>
          <w:p w14:paraId="2505657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14.3</w:t>
            </w:r>
          </w:p>
        </w:tc>
        <w:tc>
          <w:tcPr>
            <w:tcW w:w="856" w:type="dxa"/>
            <w:noWrap w:val="0"/>
            <w:vAlign w:val="center"/>
          </w:tcPr>
          <w:p w14:paraId="029EE03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3C4EEA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5834CAD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硫酸根离子</w:t>
            </w:r>
          </w:p>
        </w:tc>
        <w:tc>
          <w:tcPr>
            <w:tcW w:w="1182" w:type="dxa"/>
            <w:noWrap w:val="0"/>
            <w:vAlign w:val="center"/>
          </w:tcPr>
          <w:p w14:paraId="4CF3361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4C2DF8A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15.2</w:t>
            </w:r>
          </w:p>
        </w:tc>
        <w:tc>
          <w:tcPr>
            <w:tcW w:w="1191" w:type="dxa"/>
            <w:noWrap w:val="0"/>
            <w:vAlign w:val="center"/>
          </w:tcPr>
          <w:p w14:paraId="7C369BB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15.5</w:t>
            </w:r>
          </w:p>
        </w:tc>
        <w:tc>
          <w:tcPr>
            <w:tcW w:w="1190" w:type="dxa"/>
            <w:noWrap w:val="0"/>
            <w:vAlign w:val="center"/>
          </w:tcPr>
          <w:p w14:paraId="6147C8F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14.3</w:t>
            </w:r>
          </w:p>
        </w:tc>
        <w:tc>
          <w:tcPr>
            <w:tcW w:w="1191" w:type="dxa"/>
            <w:noWrap w:val="0"/>
            <w:vAlign w:val="center"/>
          </w:tcPr>
          <w:p w14:paraId="4BCE021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15.3</w:t>
            </w:r>
          </w:p>
        </w:tc>
        <w:tc>
          <w:tcPr>
            <w:tcW w:w="1191" w:type="dxa"/>
            <w:noWrap w:val="0"/>
            <w:vAlign w:val="center"/>
          </w:tcPr>
          <w:p w14:paraId="5B8BA54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15.7</w:t>
            </w:r>
          </w:p>
        </w:tc>
        <w:tc>
          <w:tcPr>
            <w:tcW w:w="856" w:type="dxa"/>
            <w:noWrap w:val="0"/>
            <w:vAlign w:val="center"/>
          </w:tcPr>
          <w:p w14:paraId="0903856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w:t>
            </w:r>
          </w:p>
        </w:tc>
      </w:tr>
      <w:tr w14:paraId="3795F0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09339FE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pH</w:t>
            </w:r>
          </w:p>
        </w:tc>
        <w:tc>
          <w:tcPr>
            <w:tcW w:w="1182" w:type="dxa"/>
            <w:noWrap w:val="0"/>
            <w:vAlign w:val="center"/>
          </w:tcPr>
          <w:p w14:paraId="3110B28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无量纲</w:t>
            </w:r>
          </w:p>
        </w:tc>
        <w:tc>
          <w:tcPr>
            <w:tcW w:w="1190" w:type="dxa"/>
            <w:noWrap w:val="0"/>
            <w:vAlign w:val="center"/>
          </w:tcPr>
          <w:p w14:paraId="4FC1DF5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7.2</w:t>
            </w:r>
          </w:p>
        </w:tc>
        <w:tc>
          <w:tcPr>
            <w:tcW w:w="1191" w:type="dxa"/>
            <w:noWrap w:val="0"/>
            <w:vAlign w:val="center"/>
          </w:tcPr>
          <w:p w14:paraId="3256FAB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7.3</w:t>
            </w:r>
          </w:p>
        </w:tc>
        <w:tc>
          <w:tcPr>
            <w:tcW w:w="1190" w:type="dxa"/>
            <w:noWrap w:val="0"/>
            <w:vAlign w:val="center"/>
          </w:tcPr>
          <w:p w14:paraId="6B008D2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6.7</w:t>
            </w:r>
          </w:p>
        </w:tc>
        <w:tc>
          <w:tcPr>
            <w:tcW w:w="1191" w:type="dxa"/>
            <w:noWrap w:val="0"/>
            <w:vAlign w:val="center"/>
          </w:tcPr>
          <w:p w14:paraId="085A217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6.9</w:t>
            </w:r>
          </w:p>
        </w:tc>
        <w:tc>
          <w:tcPr>
            <w:tcW w:w="1191" w:type="dxa"/>
            <w:noWrap w:val="0"/>
            <w:vAlign w:val="center"/>
          </w:tcPr>
          <w:p w14:paraId="3E30BF4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7.0</w:t>
            </w:r>
          </w:p>
        </w:tc>
        <w:tc>
          <w:tcPr>
            <w:tcW w:w="856" w:type="dxa"/>
            <w:noWrap w:val="0"/>
            <w:vAlign w:val="center"/>
          </w:tcPr>
          <w:p w14:paraId="140A50C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6.5-8.5</w:t>
            </w:r>
          </w:p>
        </w:tc>
      </w:tr>
      <w:tr w14:paraId="18CFA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61EA926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总硬度</w:t>
            </w:r>
          </w:p>
        </w:tc>
        <w:tc>
          <w:tcPr>
            <w:tcW w:w="1182" w:type="dxa"/>
            <w:noWrap w:val="0"/>
            <w:vAlign w:val="center"/>
          </w:tcPr>
          <w:p w14:paraId="1A7B61D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571E8DE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160</w:t>
            </w:r>
          </w:p>
        </w:tc>
        <w:tc>
          <w:tcPr>
            <w:tcW w:w="1191" w:type="dxa"/>
            <w:noWrap w:val="0"/>
            <w:vAlign w:val="center"/>
          </w:tcPr>
          <w:p w14:paraId="69E7EB5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112</w:t>
            </w:r>
          </w:p>
        </w:tc>
        <w:tc>
          <w:tcPr>
            <w:tcW w:w="1190" w:type="dxa"/>
            <w:noWrap w:val="0"/>
            <w:vAlign w:val="center"/>
          </w:tcPr>
          <w:p w14:paraId="4835BDE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146</w:t>
            </w:r>
          </w:p>
        </w:tc>
        <w:tc>
          <w:tcPr>
            <w:tcW w:w="1191" w:type="dxa"/>
            <w:noWrap w:val="0"/>
            <w:vAlign w:val="center"/>
          </w:tcPr>
          <w:p w14:paraId="7E8F376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185</w:t>
            </w:r>
          </w:p>
        </w:tc>
        <w:tc>
          <w:tcPr>
            <w:tcW w:w="1191" w:type="dxa"/>
            <w:noWrap w:val="0"/>
            <w:vAlign w:val="center"/>
          </w:tcPr>
          <w:p w14:paraId="48BC08C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177</w:t>
            </w:r>
          </w:p>
        </w:tc>
        <w:tc>
          <w:tcPr>
            <w:tcW w:w="856" w:type="dxa"/>
            <w:noWrap w:val="0"/>
            <w:vAlign w:val="center"/>
          </w:tcPr>
          <w:p w14:paraId="0E70481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≤450</w:t>
            </w:r>
          </w:p>
        </w:tc>
      </w:tr>
      <w:tr w14:paraId="5A6EB3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2605B6F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溶解性</w:t>
            </w:r>
          </w:p>
          <w:p w14:paraId="67C26EF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总固体</w:t>
            </w:r>
          </w:p>
        </w:tc>
        <w:tc>
          <w:tcPr>
            <w:tcW w:w="1182" w:type="dxa"/>
            <w:noWrap w:val="0"/>
            <w:vAlign w:val="center"/>
          </w:tcPr>
          <w:p w14:paraId="4CF7A83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17F2D2A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285</w:t>
            </w:r>
          </w:p>
        </w:tc>
        <w:tc>
          <w:tcPr>
            <w:tcW w:w="1191" w:type="dxa"/>
            <w:noWrap w:val="0"/>
            <w:vAlign w:val="center"/>
          </w:tcPr>
          <w:p w14:paraId="61528C9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269</w:t>
            </w:r>
          </w:p>
        </w:tc>
        <w:tc>
          <w:tcPr>
            <w:tcW w:w="1190" w:type="dxa"/>
            <w:noWrap w:val="0"/>
            <w:vAlign w:val="center"/>
          </w:tcPr>
          <w:p w14:paraId="3F08C5A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315</w:t>
            </w:r>
          </w:p>
        </w:tc>
        <w:tc>
          <w:tcPr>
            <w:tcW w:w="1191" w:type="dxa"/>
            <w:noWrap w:val="0"/>
            <w:vAlign w:val="center"/>
          </w:tcPr>
          <w:p w14:paraId="39E8486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355</w:t>
            </w:r>
          </w:p>
        </w:tc>
        <w:tc>
          <w:tcPr>
            <w:tcW w:w="1191" w:type="dxa"/>
            <w:noWrap w:val="0"/>
            <w:vAlign w:val="center"/>
          </w:tcPr>
          <w:p w14:paraId="11FA6E0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294</w:t>
            </w:r>
          </w:p>
        </w:tc>
        <w:tc>
          <w:tcPr>
            <w:tcW w:w="856" w:type="dxa"/>
            <w:noWrap w:val="0"/>
            <w:vAlign w:val="center"/>
          </w:tcPr>
          <w:p w14:paraId="106B561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≤1000</w:t>
            </w:r>
          </w:p>
        </w:tc>
      </w:tr>
      <w:tr w14:paraId="3BAEB9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383D4D5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硫酸盐</w:t>
            </w:r>
          </w:p>
        </w:tc>
        <w:tc>
          <w:tcPr>
            <w:tcW w:w="1182" w:type="dxa"/>
            <w:noWrap w:val="0"/>
            <w:vAlign w:val="center"/>
          </w:tcPr>
          <w:p w14:paraId="6C5D2AB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268CA26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w:t>
            </w:r>
          </w:p>
        </w:tc>
        <w:tc>
          <w:tcPr>
            <w:tcW w:w="1191" w:type="dxa"/>
            <w:noWrap w:val="0"/>
            <w:vAlign w:val="center"/>
          </w:tcPr>
          <w:p w14:paraId="424E7CD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16</w:t>
            </w:r>
          </w:p>
        </w:tc>
        <w:tc>
          <w:tcPr>
            <w:tcW w:w="1190" w:type="dxa"/>
            <w:noWrap w:val="0"/>
            <w:vAlign w:val="center"/>
          </w:tcPr>
          <w:p w14:paraId="4B9BE91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w:t>
            </w:r>
          </w:p>
        </w:tc>
        <w:tc>
          <w:tcPr>
            <w:tcW w:w="1191" w:type="dxa"/>
            <w:noWrap w:val="0"/>
            <w:vAlign w:val="center"/>
          </w:tcPr>
          <w:p w14:paraId="4608797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w:t>
            </w:r>
          </w:p>
        </w:tc>
        <w:tc>
          <w:tcPr>
            <w:tcW w:w="1191" w:type="dxa"/>
            <w:noWrap w:val="0"/>
            <w:vAlign w:val="center"/>
          </w:tcPr>
          <w:p w14:paraId="04652A6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16</w:t>
            </w:r>
          </w:p>
        </w:tc>
        <w:tc>
          <w:tcPr>
            <w:tcW w:w="856" w:type="dxa"/>
            <w:noWrap w:val="0"/>
            <w:vAlign w:val="center"/>
          </w:tcPr>
          <w:p w14:paraId="78845AF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≤250</w:t>
            </w:r>
          </w:p>
        </w:tc>
      </w:tr>
      <w:tr w14:paraId="6A06E8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98" w:type="dxa"/>
            <w:noWrap w:val="0"/>
            <w:vAlign w:val="center"/>
          </w:tcPr>
          <w:p w14:paraId="3282A8F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氯化物</w:t>
            </w:r>
          </w:p>
        </w:tc>
        <w:tc>
          <w:tcPr>
            <w:tcW w:w="1182" w:type="dxa"/>
            <w:noWrap w:val="0"/>
            <w:vAlign w:val="center"/>
          </w:tcPr>
          <w:p w14:paraId="4BD83E4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18958CF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14</w:t>
            </w:r>
          </w:p>
        </w:tc>
        <w:tc>
          <w:tcPr>
            <w:tcW w:w="1191" w:type="dxa"/>
            <w:noWrap w:val="0"/>
            <w:vAlign w:val="center"/>
          </w:tcPr>
          <w:p w14:paraId="28F1BDE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15</w:t>
            </w:r>
          </w:p>
        </w:tc>
        <w:tc>
          <w:tcPr>
            <w:tcW w:w="1190" w:type="dxa"/>
            <w:noWrap w:val="0"/>
            <w:vAlign w:val="center"/>
          </w:tcPr>
          <w:p w14:paraId="39CAB5E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16</w:t>
            </w:r>
          </w:p>
        </w:tc>
        <w:tc>
          <w:tcPr>
            <w:tcW w:w="1191" w:type="dxa"/>
            <w:noWrap w:val="0"/>
            <w:vAlign w:val="center"/>
          </w:tcPr>
          <w:p w14:paraId="3A54114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12</w:t>
            </w:r>
          </w:p>
        </w:tc>
        <w:tc>
          <w:tcPr>
            <w:tcW w:w="1191" w:type="dxa"/>
            <w:noWrap w:val="0"/>
            <w:vAlign w:val="center"/>
          </w:tcPr>
          <w:p w14:paraId="5254582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12</w:t>
            </w:r>
          </w:p>
        </w:tc>
        <w:tc>
          <w:tcPr>
            <w:tcW w:w="856" w:type="dxa"/>
            <w:noWrap w:val="0"/>
            <w:vAlign w:val="center"/>
          </w:tcPr>
          <w:p w14:paraId="1C53B8E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≤250</w:t>
            </w:r>
          </w:p>
        </w:tc>
      </w:tr>
      <w:tr w14:paraId="03057D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790216D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铁</w:t>
            </w:r>
          </w:p>
        </w:tc>
        <w:tc>
          <w:tcPr>
            <w:tcW w:w="1182" w:type="dxa"/>
            <w:noWrap w:val="0"/>
            <w:vAlign w:val="center"/>
          </w:tcPr>
          <w:p w14:paraId="01BC63B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198F2F0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0.07</w:t>
            </w:r>
          </w:p>
        </w:tc>
        <w:tc>
          <w:tcPr>
            <w:tcW w:w="1191" w:type="dxa"/>
            <w:noWrap w:val="0"/>
            <w:vAlign w:val="center"/>
          </w:tcPr>
          <w:p w14:paraId="2055C59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0.04</w:t>
            </w:r>
          </w:p>
        </w:tc>
        <w:tc>
          <w:tcPr>
            <w:tcW w:w="1190" w:type="dxa"/>
            <w:noWrap w:val="0"/>
            <w:vAlign w:val="center"/>
          </w:tcPr>
          <w:p w14:paraId="04F0EB9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0.10</w:t>
            </w:r>
          </w:p>
        </w:tc>
        <w:tc>
          <w:tcPr>
            <w:tcW w:w="1191" w:type="dxa"/>
            <w:noWrap w:val="0"/>
            <w:vAlign w:val="center"/>
          </w:tcPr>
          <w:p w14:paraId="51ED08A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0.10</w:t>
            </w:r>
          </w:p>
        </w:tc>
        <w:tc>
          <w:tcPr>
            <w:tcW w:w="1191" w:type="dxa"/>
            <w:noWrap w:val="0"/>
            <w:vAlign w:val="center"/>
          </w:tcPr>
          <w:p w14:paraId="679655E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0.04</w:t>
            </w:r>
          </w:p>
        </w:tc>
        <w:tc>
          <w:tcPr>
            <w:tcW w:w="856" w:type="dxa"/>
            <w:noWrap w:val="0"/>
            <w:vAlign w:val="center"/>
          </w:tcPr>
          <w:p w14:paraId="276244C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≤0.3</w:t>
            </w:r>
          </w:p>
        </w:tc>
      </w:tr>
      <w:tr w14:paraId="591B20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6BE0DF5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锰</w:t>
            </w:r>
          </w:p>
        </w:tc>
        <w:tc>
          <w:tcPr>
            <w:tcW w:w="1182" w:type="dxa"/>
            <w:noWrap w:val="0"/>
            <w:vAlign w:val="center"/>
          </w:tcPr>
          <w:p w14:paraId="6A1EAE7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084B35E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191" w:type="dxa"/>
            <w:noWrap w:val="0"/>
            <w:vAlign w:val="center"/>
          </w:tcPr>
          <w:p w14:paraId="42CC634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190" w:type="dxa"/>
            <w:noWrap w:val="0"/>
            <w:vAlign w:val="center"/>
          </w:tcPr>
          <w:p w14:paraId="2550CF9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191" w:type="dxa"/>
            <w:noWrap w:val="0"/>
            <w:vAlign w:val="center"/>
          </w:tcPr>
          <w:p w14:paraId="5A54674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191" w:type="dxa"/>
            <w:noWrap w:val="0"/>
            <w:vAlign w:val="center"/>
          </w:tcPr>
          <w:p w14:paraId="45DEA1F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856" w:type="dxa"/>
            <w:noWrap w:val="0"/>
            <w:vAlign w:val="center"/>
          </w:tcPr>
          <w:p w14:paraId="177D5BE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≤0.10</w:t>
            </w:r>
          </w:p>
        </w:tc>
      </w:tr>
      <w:tr w14:paraId="101EF9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7B814D1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挥发酚</w:t>
            </w:r>
          </w:p>
        </w:tc>
        <w:tc>
          <w:tcPr>
            <w:tcW w:w="1182" w:type="dxa"/>
            <w:noWrap w:val="0"/>
            <w:vAlign w:val="center"/>
          </w:tcPr>
          <w:p w14:paraId="5C302E1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607A379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191" w:type="dxa"/>
            <w:noWrap w:val="0"/>
            <w:vAlign w:val="center"/>
          </w:tcPr>
          <w:p w14:paraId="746E6BF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190" w:type="dxa"/>
            <w:noWrap w:val="0"/>
            <w:vAlign w:val="center"/>
          </w:tcPr>
          <w:p w14:paraId="443E0BD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191" w:type="dxa"/>
            <w:noWrap w:val="0"/>
            <w:vAlign w:val="center"/>
          </w:tcPr>
          <w:p w14:paraId="14F362D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191" w:type="dxa"/>
            <w:noWrap w:val="0"/>
            <w:vAlign w:val="center"/>
          </w:tcPr>
          <w:p w14:paraId="678CDC1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856" w:type="dxa"/>
            <w:noWrap w:val="0"/>
            <w:vAlign w:val="center"/>
          </w:tcPr>
          <w:p w14:paraId="2A1ABB4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≤0.002</w:t>
            </w:r>
          </w:p>
        </w:tc>
      </w:tr>
      <w:tr w14:paraId="7B9C1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26B36ED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耗氧量</w:t>
            </w:r>
          </w:p>
        </w:tc>
        <w:tc>
          <w:tcPr>
            <w:tcW w:w="1182" w:type="dxa"/>
            <w:noWrap w:val="0"/>
            <w:vAlign w:val="center"/>
          </w:tcPr>
          <w:p w14:paraId="1CABB9B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0720ABC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0.9</w:t>
            </w:r>
          </w:p>
        </w:tc>
        <w:tc>
          <w:tcPr>
            <w:tcW w:w="1191" w:type="dxa"/>
            <w:noWrap w:val="0"/>
            <w:vAlign w:val="center"/>
          </w:tcPr>
          <w:p w14:paraId="683AB29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0.7</w:t>
            </w:r>
          </w:p>
        </w:tc>
        <w:tc>
          <w:tcPr>
            <w:tcW w:w="1190" w:type="dxa"/>
            <w:noWrap w:val="0"/>
            <w:vAlign w:val="center"/>
          </w:tcPr>
          <w:p w14:paraId="2223185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0.6</w:t>
            </w:r>
          </w:p>
        </w:tc>
        <w:tc>
          <w:tcPr>
            <w:tcW w:w="1191" w:type="dxa"/>
            <w:noWrap w:val="0"/>
            <w:vAlign w:val="center"/>
          </w:tcPr>
          <w:p w14:paraId="7C22AC6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0.5</w:t>
            </w:r>
          </w:p>
        </w:tc>
        <w:tc>
          <w:tcPr>
            <w:tcW w:w="1191" w:type="dxa"/>
            <w:noWrap w:val="0"/>
            <w:vAlign w:val="center"/>
          </w:tcPr>
          <w:p w14:paraId="4E7E4E5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0.6</w:t>
            </w:r>
          </w:p>
        </w:tc>
        <w:tc>
          <w:tcPr>
            <w:tcW w:w="856" w:type="dxa"/>
            <w:noWrap w:val="0"/>
            <w:vAlign w:val="center"/>
          </w:tcPr>
          <w:p w14:paraId="77D360C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≤3.0</w:t>
            </w:r>
          </w:p>
        </w:tc>
      </w:tr>
      <w:tr w14:paraId="2ABEB3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28D3844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氨氮</w:t>
            </w:r>
          </w:p>
        </w:tc>
        <w:tc>
          <w:tcPr>
            <w:tcW w:w="1182" w:type="dxa"/>
            <w:noWrap w:val="0"/>
            <w:vAlign w:val="center"/>
          </w:tcPr>
          <w:p w14:paraId="33EB6BD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3FE7075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0.174</w:t>
            </w:r>
          </w:p>
        </w:tc>
        <w:tc>
          <w:tcPr>
            <w:tcW w:w="1191" w:type="dxa"/>
            <w:noWrap w:val="0"/>
            <w:vAlign w:val="center"/>
          </w:tcPr>
          <w:p w14:paraId="7371F16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0.191</w:t>
            </w:r>
          </w:p>
        </w:tc>
        <w:tc>
          <w:tcPr>
            <w:tcW w:w="1190" w:type="dxa"/>
            <w:noWrap w:val="0"/>
            <w:vAlign w:val="center"/>
          </w:tcPr>
          <w:p w14:paraId="50886B3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0.171</w:t>
            </w:r>
          </w:p>
        </w:tc>
        <w:tc>
          <w:tcPr>
            <w:tcW w:w="1191" w:type="dxa"/>
            <w:noWrap w:val="0"/>
            <w:vAlign w:val="center"/>
          </w:tcPr>
          <w:p w14:paraId="25A0BDC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0.165</w:t>
            </w:r>
          </w:p>
        </w:tc>
        <w:tc>
          <w:tcPr>
            <w:tcW w:w="1191" w:type="dxa"/>
            <w:noWrap w:val="0"/>
            <w:vAlign w:val="center"/>
          </w:tcPr>
          <w:p w14:paraId="0DC915B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0.185</w:t>
            </w:r>
          </w:p>
        </w:tc>
        <w:tc>
          <w:tcPr>
            <w:tcW w:w="856" w:type="dxa"/>
            <w:noWrap w:val="0"/>
            <w:vAlign w:val="center"/>
          </w:tcPr>
          <w:p w14:paraId="0BDB7F4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≤0.50</w:t>
            </w:r>
          </w:p>
        </w:tc>
      </w:tr>
      <w:tr w14:paraId="3563BF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28E83E5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总大肠菌群</w:t>
            </w:r>
          </w:p>
        </w:tc>
        <w:tc>
          <w:tcPr>
            <w:tcW w:w="1182" w:type="dxa"/>
            <w:noWrap w:val="0"/>
            <w:vAlign w:val="center"/>
          </w:tcPr>
          <w:p w14:paraId="315E46A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MPN/100mL</w:t>
            </w:r>
          </w:p>
        </w:tc>
        <w:tc>
          <w:tcPr>
            <w:tcW w:w="1190" w:type="dxa"/>
            <w:noWrap w:val="0"/>
            <w:vAlign w:val="center"/>
          </w:tcPr>
          <w:p w14:paraId="6DC5BA8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1191" w:type="dxa"/>
            <w:noWrap w:val="0"/>
            <w:vAlign w:val="center"/>
          </w:tcPr>
          <w:p w14:paraId="6780420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1190" w:type="dxa"/>
            <w:noWrap w:val="0"/>
            <w:vAlign w:val="center"/>
          </w:tcPr>
          <w:p w14:paraId="3A26D86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1191" w:type="dxa"/>
            <w:noWrap w:val="0"/>
            <w:vAlign w:val="center"/>
          </w:tcPr>
          <w:p w14:paraId="0EE74FA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1191" w:type="dxa"/>
            <w:noWrap w:val="0"/>
            <w:vAlign w:val="center"/>
          </w:tcPr>
          <w:p w14:paraId="30EFDFA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w:t>
            </w:r>
          </w:p>
        </w:tc>
        <w:tc>
          <w:tcPr>
            <w:tcW w:w="856" w:type="dxa"/>
            <w:noWrap w:val="0"/>
            <w:vAlign w:val="center"/>
          </w:tcPr>
          <w:p w14:paraId="2F1EB94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≤3.0</w:t>
            </w:r>
          </w:p>
        </w:tc>
      </w:tr>
      <w:tr w14:paraId="340E60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2103143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菌落总数</w:t>
            </w:r>
          </w:p>
        </w:tc>
        <w:tc>
          <w:tcPr>
            <w:tcW w:w="1182" w:type="dxa"/>
            <w:noWrap w:val="0"/>
            <w:vAlign w:val="center"/>
          </w:tcPr>
          <w:p w14:paraId="6EA9E28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CFU/mL</w:t>
            </w:r>
          </w:p>
        </w:tc>
        <w:tc>
          <w:tcPr>
            <w:tcW w:w="1190" w:type="dxa"/>
            <w:noWrap w:val="0"/>
            <w:vAlign w:val="center"/>
          </w:tcPr>
          <w:p w14:paraId="1855593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1191" w:type="dxa"/>
            <w:noWrap w:val="0"/>
            <w:vAlign w:val="center"/>
          </w:tcPr>
          <w:p w14:paraId="7DE1431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1190" w:type="dxa"/>
            <w:noWrap w:val="0"/>
            <w:vAlign w:val="center"/>
          </w:tcPr>
          <w:p w14:paraId="7B2213D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1191" w:type="dxa"/>
            <w:noWrap w:val="0"/>
            <w:vAlign w:val="center"/>
          </w:tcPr>
          <w:p w14:paraId="012EB80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1191" w:type="dxa"/>
            <w:noWrap w:val="0"/>
            <w:vAlign w:val="center"/>
          </w:tcPr>
          <w:p w14:paraId="15C507D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未检出</w:t>
            </w:r>
          </w:p>
        </w:tc>
        <w:tc>
          <w:tcPr>
            <w:tcW w:w="856" w:type="dxa"/>
            <w:noWrap w:val="0"/>
            <w:vAlign w:val="center"/>
          </w:tcPr>
          <w:p w14:paraId="33A5070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≤100</w:t>
            </w:r>
          </w:p>
        </w:tc>
      </w:tr>
      <w:tr w14:paraId="1AE555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7D9184D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亚硝酸盐</w:t>
            </w:r>
          </w:p>
        </w:tc>
        <w:tc>
          <w:tcPr>
            <w:tcW w:w="1182" w:type="dxa"/>
            <w:noWrap w:val="0"/>
            <w:vAlign w:val="center"/>
          </w:tcPr>
          <w:p w14:paraId="4F2DEBF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77470A6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0.018</w:t>
            </w:r>
          </w:p>
        </w:tc>
        <w:tc>
          <w:tcPr>
            <w:tcW w:w="1191" w:type="dxa"/>
            <w:noWrap w:val="0"/>
            <w:vAlign w:val="center"/>
          </w:tcPr>
          <w:p w14:paraId="1AE6634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0.016</w:t>
            </w:r>
          </w:p>
        </w:tc>
        <w:tc>
          <w:tcPr>
            <w:tcW w:w="1190" w:type="dxa"/>
            <w:noWrap w:val="0"/>
            <w:vAlign w:val="center"/>
          </w:tcPr>
          <w:p w14:paraId="6553271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0.019</w:t>
            </w:r>
          </w:p>
        </w:tc>
        <w:tc>
          <w:tcPr>
            <w:tcW w:w="1191" w:type="dxa"/>
            <w:noWrap w:val="0"/>
            <w:vAlign w:val="center"/>
          </w:tcPr>
          <w:p w14:paraId="0F0E17A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0.018</w:t>
            </w:r>
          </w:p>
        </w:tc>
        <w:tc>
          <w:tcPr>
            <w:tcW w:w="1191" w:type="dxa"/>
            <w:noWrap w:val="0"/>
            <w:vAlign w:val="center"/>
          </w:tcPr>
          <w:p w14:paraId="5A1F9FD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0.014</w:t>
            </w:r>
          </w:p>
        </w:tc>
        <w:tc>
          <w:tcPr>
            <w:tcW w:w="856" w:type="dxa"/>
            <w:noWrap w:val="0"/>
            <w:vAlign w:val="center"/>
          </w:tcPr>
          <w:p w14:paraId="039DEA0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≤1.00</w:t>
            </w:r>
          </w:p>
        </w:tc>
      </w:tr>
      <w:tr w14:paraId="308738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4F8DD1D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硝酸盐</w:t>
            </w:r>
          </w:p>
        </w:tc>
        <w:tc>
          <w:tcPr>
            <w:tcW w:w="1182" w:type="dxa"/>
            <w:noWrap w:val="0"/>
            <w:vAlign w:val="center"/>
          </w:tcPr>
          <w:p w14:paraId="1794918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250FC44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6.80</w:t>
            </w:r>
          </w:p>
        </w:tc>
        <w:tc>
          <w:tcPr>
            <w:tcW w:w="1191" w:type="dxa"/>
            <w:noWrap w:val="0"/>
            <w:vAlign w:val="center"/>
          </w:tcPr>
          <w:p w14:paraId="1D52274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6.80</w:t>
            </w:r>
          </w:p>
        </w:tc>
        <w:tc>
          <w:tcPr>
            <w:tcW w:w="1190" w:type="dxa"/>
            <w:noWrap w:val="0"/>
            <w:vAlign w:val="center"/>
          </w:tcPr>
          <w:p w14:paraId="32BA8BD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6.40</w:t>
            </w:r>
          </w:p>
        </w:tc>
        <w:tc>
          <w:tcPr>
            <w:tcW w:w="1191" w:type="dxa"/>
            <w:noWrap w:val="0"/>
            <w:vAlign w:val="center"/>
          </w:tcPr>
          <w:p w14:paraId="6F538C9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7.50</w:t>
            </w:r>
          </w:p>
        </w:tc>
        <w:tc>
          <w:tcPr>
            <w:tcW w:w="1191" w:type="dxa"/>
            <w:noWrap w:val="0"/>
            <w:vAlign w:val="center"/>
          </w:tcPr>
          <w:p w14:paraId="2E503B5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6.60</w:t>
            </w:r>
          </w:p>
        </w:tc>
        <w:tc>
          <w:tcPr>
            <w:tcW w:w="856" w:type="dxa"/>
            <w:noWrap w:val="0"/>
            <w:vAlign w:val="center"/>
          </w:tcPr>
          <w:p w14:paraId="284AB0A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≤20.0</w:t>
            </w:r>
          </w:p>
        </w:tc>
      </w:tr>
      <w:tr w14:paraId="7CAB7A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3C3F5D1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氰化物</w:t>
            </w:r>
          </w:p>
        </w:tc>
        <w:tc>
          <w:tcPr>
            <w:tcW w:w="1182" w:type="dxa"/>
            <w:noWrap w:val="0"/>
            <w:vAlign w:val="center"/>
          </w:tcPr>
          <w:p w14:paraId="730721C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10691D1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1191" w:type="dxa"/>
            <w:noWrap w:val="0"/>
            <w:vAlign w:val="center"/>
          </w:tcPr>
          <w:p w14:paraId="423452E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1190" w:type="dxa"/>
            <w:noWrap w:val="0"/>
            <w:vAlign w:val="center"/>
          </w:tcPr>
          <w:p w14:paraId="591FF1E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1191" w:type="dxa"/>
            <w:noWrap w:val="0"/>
            <w:vAlign w:val="center"/>
          </w:tcPr>
          <w:p w14:paraId="40FBA34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1191" w:type="dxa"/>
            <w:noWrap w:val="0"/>
            <w:vAlign w:val="center"/>
          </w:tcPr>
          <w:p w14:paraId="61D78AC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0.002L</w:t>
            </w:r>
          </w:p>
        </w:tc>
        <w:tc>
          <w:tcPr>
            <w:tcW w:w="856" w:type="dxa"/>
            <w:noWrap w:val="0"/>
            <w:vAlign w:val="center"/>
          </w:tcPr>
          <w:p w14:paraId="7D31B14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≤0.05</w:t>
            </w:r>
          </w:p>
        </w:tc>
      </w:tr>
      <w:tr w14:paraId="3122E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4385EFC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氟化物</w:t>
            </w:r>
          </w:p>
        </w:tc>
        <w:tc>
          <w:tcPr>
            <w:tcW w:w="1182" w:type="dxa"/>
            <w:noWrap w:val="0"/>
            <w:vAlign w:val="center"/>
          </w:tcPr>
          <w:p w14:paraId="53759E9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557E3D2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1191" w:type="dxa"/>
            <w:noWrap w:val="0"/>
            <w:vAlign w:val="center"/>
          </w:tcPr>
          <w:p w14:paraId="2150FC5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1190" w:type="dxa"/>
            <w:noWrap w:val="0"/>
            <w:vAlign w:val="center"/>
          </w:tcPr>
          <w:p w14:paraId="39502F7E">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1191" w:type="dxa"/>
            <w:noWrap w:val="0"/>
            <w:vAlign w:val="center"/>
          </w:tcPr>
          <w:p w14:paraId="27A5AAA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1191" w:type="dxa"/>
            <w:noWrap w:val="0"/>
            <w:vAlign w:val="center"/>
          </w:tcPr>
          <w:p w14:paraId="6EE4424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0.02L</w:t>
            </w:r>
          </w:p>
        </w:tc>
        <w:tc>
          <w:tcPr>
            <w:tcW w:w="856" w:type="dxa"/>
            <w:noWrap w:val="0"/>
            <w:vAlign w:val="center"/>
          </w:tcPr>
          <w:p w14:paraId="1FB8182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w:t>
            </w:r>
          </w:p>
        </w:tc>
      </w:tr>
      <w:tr w14:paraId="6E6ECD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0400C77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eastAsia"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汞</w:t>
            </w:r>
          </w:p>
        </w:tc>
        <w:tc>
          <w:tcPr>
            <w:tcW w:w="1182" w:type="dxa"/>
            <w:noWrap w:val="0"/>
            <w:vAlign w:val="center"/>
          </w:tcPr>
          <w:p w14:paraId="04F79F0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5658E3F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1191" w:type="dxa"/>
            <w:noWrap w:val="0"/>
            <w:vAlign w:val="center"/>
          </w:tcPr>
          <w:p w14:paraId="66EEC02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1190" w:type="dxa"/>
            <w:noWrap w:val="0"/>
            <w:vAlign w:val="center"/>
          </w:tcPr>
          <w:p w14:paraId="59C4DAD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1191" w:type="dxa"/>
            <w:noWrap w:val="0"/>
            <w:vAlign w:val="center"/>
          </w:tcPr>
          <w:p w14:paraId="35229C5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1191" w:type="dxa"/>
            <w:noWrap w:val="0"/>
            <w:vAlign w:val="center"/>
          </w:tcPr>
          <w:p w14:paraId="1AEE0F7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0.00004L</w:t>
            </w:r>
          </w:p>
        </w:tc>
        <w:tc>
          <w:tcPr>
            <w:tcW w:w="856" w:type="dxa"/>
            <w:noWrap w:val="0"/>
            <w:vAlign w:val="center"/>
          </w:tcPr>
          <w:p w14:paraId="5A9DFD5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≤0.001</w:t>
            </w:r>
          </w:p>
        </w:tc>
      </w:tr>
      <w:tr w14:paraId="2D5009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4AA321E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砷</w:t>
            </w:r>
          </w:p>
        </w:tc>
        <w:tc>
          <w:tcPr>
            <w:tcW w:w="1182" w:type="dxa"/>
            <w:noWrap w:val="0"/>
            <w:vAlign w:val="center"/>
          </w:tcPr>
          <w:p w14:paraId="6B7D3CE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55714B04">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191" w:type="dxa"/>
            <w:noWrap w:val="0"/>
            <w:vAlign w:val="center"/>
          </w:tcPr>
          <w:p w14:paraId="4A3888C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190" w:type="dxa"/>
            <w:noWrap w:val="0"/>
            <w:vAlign w:val="center"/>
          </w:tcPr>
          <w:p w14:paraId="71E13A8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191" w:type="dxa"/>
            <w:noWrap w:val="0"/>
            <w:vAlign w:val="center"/>
          </w:tcPr>
          <w:p w14:paraId="37C9794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1191" w:type="dxa"/>
            <w:noWrap w:val="0"/>
            <w:vAlign w:val="center"/>
          </w:tcPr>
          <w:p w14:paraId="033CE31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0.0003L</w:t>
            </w:r>
          </w:p>
        </w:tc>
        <w:tc>
          <w:tcPr>
            <w:tcW w:w="856" w:type="dxa"/>
            <w:noWrap w:val="0"/>
            <w:vAlign w:val="center"/>
          </w:tcPr>
          <w:p w14:paraId="2748825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≤0.01</w:t>
            </w:r>
          </w:p>
        </w:tc>
      </w:tr>
      <w:tr w14:paraId="70942D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4E32D3C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镉</w:t>
            </w:r>
          </w:p>
        </w:tc>
        <w:tc>
          <w:tcPr>
            <w:tcW w:w="1182" w:type="dxa"/>
            <w:noWrap w:val="0"/>
            <w:vAlign w:val="center"/>
          </w:tcPr>
          <w:p w14:paraId="566930D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2F7D9AC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1191" w:type="dxa"/>
            <w:noWrap w:val="0"/>
            <w:vAlign w:val="center"/>
          </w:tcPr>
          <w:p w14:paraId="3857913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1190" w:type="dxa"/>
            <w:noWrap w:val="0"/>
            <w:vAlign w:val="center"/>
          </w:tcPr>
          <w:p w14:paraId="44D6CF2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1191" w:type="dxa"/>
            <w:noWrap w:val="0"/>
            <w:vAlign w:val="center"/>
          </w:tcPr>
          <w:p w14:paraId="1BDF8DC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1191" w:type="dxa"/>
            <w:noWrap w:val="0"/>
            <w:vAlign w:val="center"/>
          </w:tcPr>
          <w:p w14:paraId="79DEA69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0.0005L</w:t>
            </w:r>
          </w:p>
        </w:tc>
        <w:tc>
          <w:tcPr>
            <w:tcW w:w="856" w:type="dxa"/>
            <w:noWrap w:val="0"/>
            <w:vAlign w:val="center"/>
          </w:tcPr>
          <w:p w14:paraId="01E4836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≤0.005</w:t>
            </w:r>
          </w:p>
        </w:tc>
      </w:tr>
      <w:tr w14:paraId="7D3C2E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530AEDA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六价铬</w:t>
            </w:r>
          </w:p>
        </w:tc>
        <w:tc>
          <w:tcPr>
            <w:tcW w:w="1182" w:type="dxa"/>
            <w:noWrap w:val="0"/>
            <w:vAlign w:val="center"/>
          </w:tcPr>
          <w:p w14:paraId="460B6A8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54C0207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1191" w:type="dxa"/>
            <w:noWrap w:val="0"/>
            <w:vAlign w:val="center"/>
          </w:tcPr>
          <w:p w14:paraId="7CCDD3C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1190" w:type="dxa"/>
            <w:noWrap w:val="0"/>
            <w:vAlign w:val="center"/>
          </w:tcPr>
          <w:p w14:paraId="070A12E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1191" w:type="dxa"/>
            <w:noWrap w:val="0"/>
            <w:vAlign w:val="center"/>
          </w:tcPr>
          <w:p w14:paraId="1FFDDA4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1191" w:type="dxa"/>
            <w:noWrap w:val="0"/>
            <w:vAlign w:val="center"/>
          </w:tcPr>
          <w:p w14:paraId="2043167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0.004L</w:t>
            </w:r>
          </w:p>
        </w:tc>
        <w:tc>
          <w:tcPr>
            <w:tcW w:w="856" w:type="dxa"/>
            <w:noWrap w:val="0"/>
            <w:vAlign w:val="center"/>
          </w:tcPr>
          <w:p w14:paraId="3C44E36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≤0.05</w:t>
            </w:r>
          </w:p>
        </w:tc>
      </w:tr>
      <w:tr w14:paraId="071D2F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78250C9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锌</w:t>
            </w:r>
          </w:p>
        </w:tc>
        <w:tc>
          <w:tcPr>
            <w:tcW w:w="1182" w:type="dxa"/>
            <w:noWrap w:val="0"/>
            <w:vAlign w:val="center"/>
          </w:tcPr>
          <w:p w14:paraId="53CC1B0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6B99EC8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1191" w:type="dxa"/>
            <w:noWrap w:val="0"/>
            <w:vAlign w:val="center"/>
          </w:tcPr>
          <w:p w14:paraId="66E7ADC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1190" w:type="dxa"/>
            <w:noWrap w:val="0"/>
            <w:vAlign w:val="center"/>
          </w:tcPr>
          <w:p w14:paraId="4212566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1191" w:type="dxa"/>
            <w:noWrap w:val="0"/>
            <w:vAlign w:val="center"/>
          </w:tcPr>
          <w:p w14:paraId="44357DE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1191" w:type="dxa"/>
            <w:noWrap w:val="0"/>
            <w:vAlign w:val="center"/>
          </w:tcPr>
          <w:p w14:paraId="6721EA5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0.05L</w:t>
            </w:r>
          </w:p>
        </w:tc>
        <w:tc>
          <w:tcPr>
            <w:tcW w:w="856" w:type="dxa"/>
            <w:noWrap w:val="0"/>
            <w:vAlign w:val="center"/>
          </w:tcPr>
          <w:p w14:paraId="1432C3C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≤1.00</w:t>
            </w:r>
          </w:p>
        </w:tc>
      </w:tr>
      <w:tr w14:paraId="443352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03A9FCB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阴离子表面活性剂</w:t>
            </w:r>
          </w:p>
        </w:tc>
        <w:tc>
          <w:tcPr>
            <w:tcW w:w="1182" w:type="dxa"/>
            <w:noWrap w:val="0"/>
            <w:vAlign w:val="center"/>
          </w:tcPr>
          <w:p w14:paraId="31EAEE3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57EFE5E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1191" w:type="dxa"/>
            <w:noWrap w:val="0"/>
            <w:vAlign w:val="center"/>
          </w:tcPr>
          <w:p w14:paraId="1AF5A2EB">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1190" w:type="dxa"/>
            <w:noWrap w:val="0"/>
            <w:vAlign w:val="center"/>
          </w:tcPr>
          <w:p w14:paraId="036ADB79">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1191" w:type="dxa"/>
            <w:noWrap w:val="0"/>
            <w:vAlign w:val="center"/>
          </w:tcPr>
          <w:p w14:paraId="642F13E8">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1191" w:type="dxa"/>
            <w:noWrap w:val="0"/>
            <w:vAlign w:val="center"/>
          </w:tcPr>
          <w:p w14:paraId="1942C43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0.050L</w:t>
            </w:r>
          </w:p>
        </w:tc>
        <w:tc>
          <w:tcPr>
            <w:tcW w:w="856" w:type="dxa"/>
            <w:noWrap w:val="0"/>
            <w:vAlign w:val="center"/>
          </w:tcPr>
          <w:p w14:paraId="5D4CBC4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≤0.3</w:t>
            </w:r>
          </w:p>
        </w:tc>
      </w:tr>
      <w:tr w14:paraId="113FA0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7D88484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石油类</w:t>
            </w:r>
          </w:p>
        </w:tc>
        <w:tc>
          <w:tcPr>
            <w:tcW w:w="1182" w:type="dxa"/>
            <w:noWrap w:val="0"/>
            <w:vAlign w:val="center"/>
          </w:tcPr>
          <w:p w14:paraId="03CB720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1CC29D16">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bookmarkStart w:id="313" w:name="OLE_LINK13"/>
            <w:r>
              <w:rPr>
                <w:rFonts w:hint="eastAsia" w:ascii="Times New Roman" w:hAnsi="Times New Roman" w:eastAsia="宋体" w:cs="Times New Roman"/>
                <w:b w:val="0"/>
                <w:bCs w:val="0"/>
                <w:color w:val="000000"/>
                <w:sz w:val="21"/>
                <w:szCs w:val="21"/>
                <w:highlight w:val="none"/>
              </w:rPr>
              <w:t>0.01L</w:t>
            </w:r>
            <w:bookmarkEnd w:id="313"/>
          </w:p>
        </w:tc>
        <w:tc>
          <w:tcPr>
            <w:tcW w:w="1191" w:type="dxa"/>
            <w:noWrap w:val="0"/>
            <w:vAlign w:val="center"/>
          </w:tcPr>
          <w:p w14:paraId="2C159E70">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0.01L</w:t>
            </w:r>
          </w:p>
        </w:tc>
        <w:tc>
          <w:tcPr>
            <w:tcW w:w="1190" w:type="dxa"/>
            <w:noWrap w:val="0"/>
            <w:vAlign w:val="center"/>
          </w:tcPr>
          <w:p w14:paraId="7F1D9945">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191" w:type="dxa"/>
            <w:noWrap w:val="0"/>
            <w:vAlign w:val="center"/>
          </w:tcPr>
          <w:p w14:paraId="1F2448CA">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1191" w:type="dxa"/>
            <w:noWrap w:val="0"/>
            <w:vAlign w:val="center"/>
          </w:tcPr>
          <w:p w14:paraId="4537F413">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0.01L</w:t>
            </w:r>
          </w:p>
        </w:tc>
        <w:tc>
          <w:tcPr>
            <w:tcW w:w="856" w:type="dxa"/>
            <w:noWrap w:val="0"/>
            <w:vAlign w:val="center"/>
          </w:tcPr>
          <w:p w14:paraId="7D1803D7">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0.05</w:t>
            </w:r>
          </w:p>
        </w:tc>
      </w:tr>
      <w:tr w14:paraId="6709B2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1298" w:type="dxa"/>
            <w:noWrap w:val="0"/>
            <w:vAlign w:val="center"/>
          </w:tcPr>
          <w:p w14:paraId="1097C121">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铅</w:t>
            </w:r>
          </w:p>
        </w:tc>
        <w:tc>
          <w:tcPr>
            <w:tcW w:w="1182" w:type="dxa"/>
            <w:noWrap w:val="0"/>
            <w:vAlign w:val="center"/>
          </w:tcPr>
          <w:p w14:paraId="5F8AC872">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mg/L</w:t>
            </w:r>
          </w:p>
        </w:tc>
        <w:tc>
          <w:tcPr>
            <w:tcW w:w="1190" w:type="dxa"/>
            <w:noWrap w:val="0"/>
            <w:vAlign w:val="center"/>
          </w:tcPr>
          <w:p w14:paraId="4AFE917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1191" w:type="dxa"/>
            <w:noWrap w:val="0"/>
            <w:vAlign w:val="center"/>
          </w:tcPr>
          <w:p w14:paraId="7927765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1190" w:type="dxa"/>
            <w:noWrap w:val="0"/>
            <w:vAlign w:val="center"/>
          </w:tcPr>
          <w:p w14:paraId="025D11C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1191" w:type="dxa"/>
            <w:noWrap w:val="0"/>
            <w:vAlign w:val="center"/>
          </w:tcPr>
          <w:p w14:paraId="2D07428C">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1191" w:type="dxa"/>
            <w:noWrap w:val="0"/>
            <w:vAlign w:val="center"/>
          </w:tcPr>
          <w:p w14:paraId="7BFB3A3F">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0.0025L</w:t>
            </w:r>
          </w:p>
        </w:tc>
        <w:tc>
          <w:tcPr>
            <w:tcW w:w="856" w:type="dxa"/>
            <w:noWrap w:val="0"/>
            <w:vAlign w:val="center"/>
          </w:tcPr>
          <w:p w14:paraId="5C20D24D">
            <w:pPr>
              <w:keepNext w:val="0"/>
              <w:keepLines w:val="0"/>
              <w:widowControl/>
              <w:suppressLineNumbers w:val="0"/>
              <w:wordWrap/>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≤0.01</w:t>
            </w:r>
          </w:p>
        </w:tc>
      </w:tr>
    </w:tbl>
    <w:p w14:paraId="2F6531AD">
      <w:pPr>
        <w:spacing w:line="0" w:lineRule="atLeast"/>
        <w:jc w:val="left"/>
        <w:rPr>
          <w:rFonts w:hAnsiTheme="minorEastAsia" w:eastAsiaTheme="minorEastAsia"/>
          <w:b/>
          <w:sz w:val="18"/>
          <w:highlight w:val="none"/>
        </w:rPr>
      </w:pPr>
    </w:p>
    <w:p w14:paraId="065D7EA3">
      <w:pPr>
        <w:spacing w:line="0" w:lineRule="atLeast"/>
        <w:jc w:val="left"/>
        <w:rPr>
          <w:rFonts w:eastAsiaTheme="minorEastAsia"/>
          <w:b/>
          <w:sz w:val="18"/>
          <w:highlight w:val="none"/>
        </w:rPr>
      </w:pPr>
      <w:r>
        <w:rPr>
          <w:rFonts w:hAnsiTheme="minorEastAsia" w:eastAsiaTheme="minorEastAsia"/>
          <w:b/>
          <w:sz w:val="18"/>
          <w:highlight w:val="none"/>
        </w:rPr>
        <w:t>注：</w:t>
      </w:r>
      <w:r>
        <w:rPr>
          <w:rFonts w:eastAsiaTheme="minorEastAsia"/>
          <w:b/>
          <w:sz w:val="18"/>
          <w:highlight w:val="none"/>
        </w:rPr>
        <w:t>L</w:t>
      </w:r>
      <w:r>
        <w:rPr>
          <w:rFonts w:hAnsiTheme="minorEastAsia" w:eastAsiaTheme="minorEastAsia"/>
          <w:b/>
          <w:sz w:val="18"/>
          <w:highlight w:val="none"/>
        </w:rPr>
        <w:t>为低于检出限。</w:t>
      </w:r>
    </w:p>
    <w:p w14:paraId="20C548CD">
      <w:pPr>
        <w:pStyle w:val="6"/>
        <w:bidi w:val="0"/>
        <w:rPr>
          <w:highlight w:val="none"/>
        </w:rPr>
      </w:pPr>
      <w:r>
        <w:rPr>
          <w:highlight w:val="none"/>
        </w:rPr>
        <w:t>4.2.3.2地下水环境现状评价</w:t>
      </w:r>
    </w:p>
    <w:p w14:paraId="65EDDD8E">
      <w:pPr>
        <w:bidi w:val="0"/>
        <w:rPr>
          <w:highlight w:val="none"/>
        </w:rPr>
      </w:pPr>
      <w:bookmarkStart w:id="314" w:name="_Toc703"/>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水质现状</w:t>
      </w:r>
      <w:bookmarkEnd w:id="314"/>
    </w:p>
    <w:p w14:paraId="4010FE3C">
      <w:pPr>
        <w:bidi w:val="0"/>
        <w:rPr>
          <w:highlight w:val="none"/>
        </w:rPr>
      </w:pPr>
      <w:r>
        <w:rPr>
          <w:highlight w:val="none"/>
        </w:rPr>
        <w:t>采用单项标准指数法对地下水现状监测结果进行评价，评价模式如下：</w:t>
      </w:r>
    </w:p>
    <w:p w14:paraId="42C3664A">
      <w:pPr>
        <w:bidi w:val="0"/>
        <w:jc w:val="center"/>
        <w:rPr>
          <w:highlight w:val="none"/>
        </w:rPr>
      </w:pPr>
      <w:r>
        <w:rPr>
          <w:highlight w:val="none"/>
        </w:rPr>
        <w:t>Pi=Ci/Csi</w:t>
      </w:r>
    </w:p>
    <w:p w14:paraId="4E3FF52D">
      <w:pPr>
        <w:bidi w:val="0"/>
        <w:rPr>
          <w:highlight w:val="none"/>
        </w:rPr>
      </w:pPr>
      <w:r>
        <w:rPr>
          <w:highlight w:val="none"/>
        </w:rPr>
        <w:t>式中：Pi—第i个水质因子的标准指数，无量纲；</w:t>
      </w:r>
    </w:p>
    <w:p w14:paraId="54A2B769">
      <w:pPr>
        <w:bidi w:val="0"/>
        <w:rPr>
          <w:highlight w:val="none"/>
        </w:rPr>
      </w:pPr>
      <w:r>
        <w:rPr>
          <w:highlight w:val="none"/>
        </w:rPr>
        <w:t>Ci—第i个水质因子的监测质量浓度值，mg/L；</w:t>
      </w:r>
    </w:p>
    <w:p w14:paraId="788E5023">
      <w:pPr>
        <w:bidi w:val="0"/>
        <w:rPr>
          <w:highlight w:val="none"/>
        </w:rPr>
      </w:pPr>
      <w:r>
        <w:rPr>
          <w:highlight w:val="none"/>
        </w:rPr>
        <w:t>Csi—第i个水质因子的标准质量浓度值，mg/L。</w:t>
      </w:r>
    </w:p>
    <w:p w14:paraId="4B5EC442">
      <w:pPr>
        <w:bidi w:val="0"/>
        <w:jc w:val="center"/>
        <w:rPr>
          <w:highlight w:val="none"/>
        </w:rPr>
      </w:pPr>
      <w:r>
        <w:rPr>
          <w:rFonts w:ascii="Times New Roman" w:hAnsi="Times New Roman" w:cs="Times New Roman"/>
          <w:highlight w:val="none"/>
        </w:rPr>
        <w:object>
          <v:shape id="_x0000_i1031" o:spt="75" type="#_x0000_t75" style="height:32.85pt;width:77.75pt;" o:ole="t" filled="f" coordsize="21600,21600">
            <v:path/>
            <v:fill on="f" focussize="0,0"/>
            <v:stroke/>
            <v:imagedata r:id="rId51" o:title=""/>
            <o:lock v:ext="edit" aspectratio="t"/>
            <w10:wrap type="none"/>
            <w10:anchorlock/>
          </v:shape>
          <o:OLEObject Type="Embed" ProgID="Equation.DSMT4" ShapeID="_x0000_i1031" DrawAspect="Content" ObjectID="_1468075731" r:id="rId50">
            <o:LockedField>false</o:LockedField>
          </o:OLEObject>
        </w:object>
      </w:r>
      <w:r>
        <w:rPr>
          <w:highlight w:val="none"/>
        </w:rPr>
        <w:t>pH≤7.0时</w:t>
      </w:r>
    </w:p>
    <w:p w14:paraId="1FC30658">
      <w:pPr>
        <w:bidi w:val="0"/>
        <w:jc w:val="center"/>
        <w:rPr>
          <w:highlight w:val="none"/>
        </w:rPr>
      </w:pPr>
      <w:r>
        <w:rPr>
          <w:rFonts w:ascii="Times New Roman" w:hAnsi="Times New Roman" w:cs="Times New Roman"/>
          <w:highlight w:val="none"/>
        </w:rPr>
        <w:object>
          <v:shape id="_x0000_i1032" o:spt="75" type="#_x0000_t75" style="height:32.85pt;width:77.75pt;" o:ole="t" filled="f" coordsize="21600,21600">
            <v:path/>
            <v:fill on="f" focussize="0,0"/>
            <v:stroke/>
            <v:imagedata r:id="rId53" o:title=""/>
            <o:lock v:ext="edit" aspectratio="t"/>
            <w10:wrap type="none"/>
            <w10:anchorlock/>
          </v:shape>
          <o:OLEObject Type="Embed" ProgID="Equation.DSMT4" ShapeID="_x0000_i1032" DrawAspect="Content" ObjectID="_1468075732" r:id="rId52">
            <o:LockedField>false</o:LockedField>
          </o:OLEObject>
        </w:object>
      </w:r>
      <w:r>
        <w:rPr>
          <w:highlight w:val="none"/>
        </w:rPr>
        <w:t>pH＞7.0时</w:t>
      </w:r>
    </w:p>
    <w:p w14:paraId="14C0265E">
      <w:pPr>
        <w:bidi w:val="0"/>
        <w:rPr>
          <w:highlight w:val="none"/>
        </w:rPr>
      </w:pPr>
      <w:r>
        <w:rPr>
          <w:highlight w:val="none"/>
        </w:rPr>
        <w:t>式中：PpH——pH的标准指数，量纲为一；</w:t>
      </w:r>
    </w:p>
    <w:p w14:paraId="12EC04CE">
      <w:pPr>
        <w:bidi w:val="0"/>
        <w:rPr>
          <w:highlight w:val="none"/>
        </w:rPr>
      </w:pPr>
      <w:r>
        <w:rPr>
          <w:highlight w:val="none"/>
        </w:rPr>
        <w:t>pH——pH监测值；</w:t>
      </w:r>
    </w:p>
    <w:p w14:paraId="1AE6166D">
      <w:pPr>
        <w:bidi w:val="0"/>
        <w:rPr>
          <w:highlight w:val="none"/>
        </w:rPr>
      </w:pPr>
      <w:r>
        <w:rPr>
          <w:highlight w:val="none"/>
        </w:rPr>
        <w:t>pHsu——标准中pH的上限值；</w:t>
      </w:r>
    </w:p>
    <w:p w14:paraId="0991BBE6">
      <w:pPr>
        <w:bidi w:val="0"/>
        <w:rPr>
          <w:highlight w:val="none"/>
        </w:rPr>
      </w:pPr>
      <w:r>
        <w:rPr>
          <w:highlight w:val="none"/>
        </w:rPr>
        <w:t>pHsd——标准中pH的下限值。</w:t>
      </w:r>
    </w:p>
    <w:p w14:paraId="68AD70FA">
      <w:pPr>
        <w:bidi w:val="0"/>
        <w:rPr>
          <w:rFonts w:ascii="Times New Roman" w:hAnsi="Times New Roman" w:cs="Times New Roman"/>
          <w:highlight w:val="none"/>
        </w:rPr>
      </w:pPr>
      <w:r>
        <w:rPr>
          <w:rFonts w:ascii="Times New Roman" w:cs="Times New Roman" w:hAnsiTheme="minorEastAsia"/>
          <w:highlight w:val="none"/>
        </w:rPr>
        <w:t>当标准指数＞</w:t>
      </w:r>
      <w:r>
        <w:rPr>
          <w:rFonts w:ascii="Times New Roman" w:hAnsi="Times New Roman" w:cs="Times New Roman"/>
          <w:highlight w:val="none"/>
        </w:rPr>
        <w:t>1</w:t>
      </w:r>
      <w:r>
        <w:rPr>
          <w:rFonts w:ascii="Times New Roman" w:cs="Times New Roman" w:hAnsiTheme="minorEastAsia"/>
          <w:highlight w:val="none"/>
        </w:rPr>
        <w:t>时，表示该水质参数所表征的污染物已满足不了标准要求，水体已受到污染；反之，则满足标准要求。</w:t>
      </w:r>
    </w:p>
    <w:p w14:paraId="766D0EC1">
      <w:pPr>
        <w:pStyle w:val="7"/>
        <w:bidi w:val="0"/>
        <w:rPr>
          <w:highlight w:val="none"/>
        </w:rPr>
      </w:pPr>
      <w:r>
        <w:rPr>
          <w:highlight w:val="none"/>
        </w:rPr>
        <w:t>表4-2-</w:t>
      </w:r>
      <w:r>
        <w:rPr>
          <w:rFonts w:hint="eastAsia"/>
          <w:highlight w:val="none"/>
          <w:lang w:val="en-US" w:eastAsia="zh-CN"/>
        </w:rPr>
        <w:t>6</w:t>
      </w:r>
      <w:r>
        <w:rPr>
          <w:highlight w:val="none"/>
        </w:rPr>
        <w:t>地下水</w:t>
      </w:r>
      <w:r>
        <w:rPr>
          <w:rFonts w:hint="eastAsia"/>
          <w:highlight w:val="none"/>
          <w:lang w:val="en-US" w:eastAsia="zh-CN"/>
        </w:rPr>
        <w:t>水</w:t>
      </w:r>
      <w:r>
        <w:rPr>
          <w:highlight w:val="none"/>
        </w:rPr>
        <w:t>质现状评价因子统计结果</w:t>
      </w:r>
    </w:p>
    <w:tbl>
      <w:tblPr>
        <w:tblStyle w:val="44"/>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243"/>
        <w:gridCol w:w="1136"/>
        <w:gridCol w:w="1044"/>
        <w:gridCol w:w="1085"/>
        <w:gridCol w:w="994"/>
        <w:gridCol w:w="1354"/>
      </w:tblGrid>
      <w:tr w14:paraId="48594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70" w:type="pct"/>
            <w:vAlign w:val="center"/>
          </w:tcPr>
          <w:p w14:paraId="0EAB1527">
            <w:pPr>
              <w:pStyle w:val="8"/>
              <w:suppressLineNumbers w:val="0"/>
              <w:bidi w:val="0"/>
              <w:spacing w:before="0" w:beforeAutospacing="0" w:after="0" w:afterAutospacing="0"/>
              <w:ind w:left="0" w:right="0"/>
              <w:rPr>
                <w:rFonts w:hint="default"/>
                <w:highlight w:val="none"/>
              </w:rPr>
            </w:pPr>
            <w:r>
              <w:rPr>
                <w:rFonts w:hint="default"/>
                <w:highlight w:val="none"/>
              </w:rPr>
              <w:t>检测项目</w:t>
            </w:r>
          </w:p>
        </w:tc>
        <w:tc>
          <w:tcPr>
            <w:tcW w:w="730" w:type="pct"/>
            <w:vAlign w:val="center"/>
          </w:tcPr>
          <w:p w14:paraId="2F1697BA">
            <w:pPr>
              <w:pStyle w:val="8"/>
              <w:suppressLineNumbers w:val="0"/>
              <w:bidi w:val="0"/>
              <w:spacing w:before="0" w:beforeAutospacing="0" w:after="0" w:afterAutospacing="0"/>
              <w:ind w:left="0" w:right="0"/>
              <w:rPr>
                <w:rFonts w:hint="default"/>
                <w:highlight w:val="none"/>
              </w:rPr>
            </w:pPr>
            <w:r>
              <w:rPr>
                <w:rFonts w:hint="default"/>
                <w:highlight w:val="none"/>
              </w:rPr>
              <w:t>最大值</w:t>
            </w:r>
          </w:p>
        </w:tc>
        <w:tc>
          <w:tcPr>
            <w:tcW w:w="667" w:type="pct"/>
            <w:vAlign w:val="center"/>
          </w:tcPr>
          <w:p w14:paraId="10BC3E6D">
            <w:pPr>
              <w:pStyle w:val="8"/>
              <w:suppressLineNumbers w:val="0"/>
              <w:bidi w:val="0"/>
              <w:spacing w:before="0" w:beforeAutospacing="0" w:after="0" w:afterAutospacing="0"/>
              <w:ind w:left="0" w:right="0"/>
              <w:rPr>
                <w:rFonts w:hint="default"/>
                <w:highlight w:val="none"/>
              </w:rPr>
            </w:pPr>
            <w:r>
              <w:rPr>
                <w:rFonts w:hint="default"/>
                <w:highlight w:val="none"/>
              </w:rPr>
              <w:t>最小值</w:t>
            </w:r>
          </w:p>
        </w:tc>
        <w:tc>
          <w:tcPr>
            <w:tcW w:w="613" w:type="pct"/>
            <w:vAlign w:val="center"/>
          </w:tcPr>
          <w:p w14:paraId="3AFC7D91">
            <w:pPr>
              <w:pStyle w:val="8"/>
              <w:suppressLineNumbers w:val="0"/>
              <w:bidi w:val="0"/>
              <w:spacing w:before="0" w:beforeAutospacing="0" w:after="0" w:afterAutospacing="0"/>
              <w:ind w:left="0" w:right="0"/>
              <w:rPr>
                <w:rFonts w:hint="default"/>
                <w:highlight w:val="none"/>
              </w:rPr>
            </w:pPr>
            <w:r>
              <w:rPr>
                <w:rFonts w:hint="default"/>
                <w:highlight w:val="none"/>
              </w:rPr>
              <w:t>均值</w:t>
            </w:r>
          </w:p>
        </w:tc>
        <w:tc>
          <w:tcPr>
            <w:tcW w:w="637" w:type="pct"/>
            <w:vAlign w:val="center"/>
          </w:tcPr>
          <w:p w14:paraId="264DA68B">
            <w:pPr>
              <w:pStyle w:val="8"/>
              <w:suppressLineNumbers w:val="0"/>
              <w:bidi w:val="0"/>
              <w:spacing w:before="0" w:beforeAutospacing="0" w:after="0" w:afterAutospacing="0"/>
              <w:ind w:left="0" w:right="0"/>
              <w:rPr>
                <w:rFonts w:hint="default"/>
                <w:highlight w:val="none"/>
              </w:rPr>
            </w:pPr>
            <w:r>
              <w:rPr>
                <w:rFonts w:hint="default"/>
                <w:highlight w:val="none"/>
              </w:rPr>
              <w:t>标准差</w:t>
            </w:r>
          </w:p>
        </w:tc>
        <w:tc>
          <w:tcPr>
            <w:tcW w:w="584" w:type="pct"/>
            <w:vAlign w:val="center"/>
          </w:tcPr>
          <w:p w14:paraId="30DAE050">
            <w:pPr>
              <w:pStyle w:val="8"/>
              <w:suppressLineNumbers w:val="0"/>
              <w:bidi w:val="0"/>
              <w:spacing w:before="0" w:beforeAutospacing="0" w:after="0" w:afterAutospacing="0"/>
              <w:ind w:left="0" w:right="0"/>
              <w:rPr>
                <w:rFonts w:hint="default"/>
                <w:highlight w:val="none"/>
              </w:rPr>
            </w:pPr>
            <w:r>
              <w:rPr>
                <w:rFonts w:hint="default"/>
                <w:highlight w:val="none"/>
              </w:rPr>
              <w:t>检出率</w:t>
            </w:r>
          </w:p>
        </w:tc>
        <w:tc>
          <w:tcPr>
            <w:tcW w:w="795" w:type="pct"/>
            <w:vAlign w:val="center"/>
          </w:tcPr>
          <w:p w14:paraId="2C991C26">
            <w:pPr>
              <w:pStyle w:val="8"/>
              <w:suppressLineNumbers w:val="0"/>
              <w:bidi w:val="0"/>
              <w:spacing w:before="0" w:beforeAutospacing="0" w:after="0" w:afterAutospacing="0"/>
              <w:ind w:left="0" w:right="0"/>
              <w:rPr>
                <w:rFonts w:hint="default"/>
                <w:highlight w:val="none"/>
              </w:rPr>
            </w:pPr>
            <w:r>
              <w:rPr>
                <w:rFonts w:hint="default"/>
                <w:highlight w:val="none"/>
              </w:rPr>
              <w:t>超标率</w:t>
            </w:r>
          </w:p>
        </w:tc>
      </w:tr>
      <w:tr w14:paraId="14CBC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0" w:type="pct"/>
            <w:vAlign w:val="center"/>
          </w:tcPr>
          <w:p w14:paraId="1874C25A">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rPr>
              <w:t>钾</w:t>
            </w:r>
          </w:p>
        </w:tc>
        <w:tc>
          <w:tcPr>
            <w:tcW w:w="730" w:type="pct"/>
            <w:vAlign w:val="bottom"/>
          </w:tcPr>
          <w:p w14:paraId="4B41C6F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1.4</w:t>
            </w:r>
          </w:p>
        </w:tc>
        <w:tc>
          <w:tcPr>
            <w:tcW w:w="667" w:type="pct"/>
            <w:vAlign w:val="bottom"/>
          </w:tcPr>
          <w:p w14:paraId="0484054C">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1.26</w:t>
            </w:r>
          </w:p>
        </w:tc>
        <w:tc>
          <w:tcPr>
            <w:tcW w:w="613" w:type="pct"/>
            <w:vAlign w:val="bottom"/>
          </w:tcPr>
          <w:p w14:paraId="7D7F7D5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1.35 </w:t>
            </w:r>
          </w:p>
        </w:tc>
        <w:tc>
          <w:tcPr>
            <w:tcW w:w="637" w:type="pct"/>
            <w:vAlign w:val="bottom"/>
          </w:tcPr>
          <w:p w14:paraId="4F2D43E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0.04 </w:t>
            </w:r>
          </w:p>
        </w:tc>
        <w:tc>
          <w:tcPr>
            <w:tcW w:w="584" w:type="pct"/>
            <w:vAlign w:val="center"/>
          </w:tcPr>
          <w:p w14:paraId="3500F02F">
            <w:pPr>
              <w:pStyle w:val="8"/>
              <w:suppressLineNumbers w:val="0"/>
              <w:bidi w:val="0"/>
              <w:spacing w:before="0" w:beforeAutospacing="0" w:after="0" w:afterAutospacing="0"/>
              <w:ind w:left="0" w:right="0"/>
              <w:rPr>
                <w:rFonts w:hint="default"/>
                <w:highlight w:val="none"/>
              </w:rPr>
            </w:pPr>
            <w:r>
              <w:rPr>
                <w:rFonts w:hint="default"/>
                <w:highlight w:val="none"/>
              </w:rPr>
              <w:t>100%</w:t>
            </w:r>
          </w:p>
        </w:tc>
        <w:tc>
          <w:tcPr>
            <w:tcW w:w="795" w:type="pct"/>
            <w:vAlign w:val="center"/>
          </w:tcPr>
          <w:p w14:paraId="5DDBA192">
            <w:pPr>
              <w:pStyle w:val="8"/>
              <w:suppressLineNumbers w:val="0"/>
              <w:bidi w:val="0"/>
              <w:spacing w:before="0" w:beforeAutospacing="0" w:after="0" w:afterAutospacing="0"/>
              <w:ind w:left="0" w:right="0"/>
              <w:rPr>
                <w:rFonts w:hint="default"/>
                <w:highlight w:val="none"/>
              </w:rPr>
            </w:pPr>
            <w:r>
              <w:rPr>
                <w:rFonts w:hint="default"/>
                <w:highlight w:val="none"/>
              </w:rPr>
              <w:t>0%</w:t>
            </w:r>
          </w:p>
        </w:tc>
      </w:tr>
      <w:tr w14:paraId="629B0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970" w:type="pct"/>
            <w:vAlign w:val="center"/>
          </w:tcPr>
          <w:p w14:paraId="09FC3605">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rPr>
              <w:t>钠</w:t>
            </w:r>
          </w:p>
        </w:tc>
        <w:tc>
          <w:tcPr>
            <w:tcW w:w="730" w:type="pct"/>
            <w:vAlign w:val="bottom"/>
          </w:tcPr>
          <w:p w14:paraId="510FEC1C">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11.8</w:t>
            </w:r>
          </w:p>
        </w:tc>
        <w:tc>
          <w:tcPr>
            <w:tcW w:w="667" w:type="pct"/>
            <w:vAlign w:val="bottom"/>
          </w:tcPr>
          <w:p w14:paraId="4617AB1D">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9.54</w:t>
            </w:r>
          </w:p>
        </w:tc>
        <w:tc>
          <w:tcPr>
            <w:tcW w:w="613" w:type="pct"/>
            <w:vAlign w:val="bottom"/>
          </w:tcPr>
          <w:p w14:paraId="515F6FE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10.50 </w:t>
            </w:r>
          </w:p>
        </w:tc>
        <w:tc>
          <w:tcPr>
            <w:tcW w:w="637" w:type="pct"/>
            <w:vAlign w:val="bottom"/>
          </w:tcPr>
          <w:p w14:paraId="0857767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0.74 </w:t>
            </w:r>
          </w:p>
        </w:tc>
        <w:tc>
          <w:tcPr>
            <w:tcW w:w="584" w:type="pct"/>
            <w:vAlign w:val="center"/>
          </w:tcPr>
          <w:p w14:paraId="67524972">
            <w:pPr>
              <w:pStyle w:val="8"/>
              <w:suppressLineNumbers w:val="0"/>
              <w:bidi w:val="0"/>
              <w:spacing w:before="0" w:beforeAutospacing="0" w:after="0" w:afterAutospacing="0"/>
              <w:ind w:left="0" w:right="0"/>
              <w:rPr>
                <w:rFonts w:hint="default"/>
                <w:highlight w:val="none"/>
              </w:rPr>
            </w:pPr>
            <w:r>
              <w:rPr>
                <w:rFonts w:hint="default"/>
                <w:highlight w:val="none"/>
              </w:rPr>
              <w:t>100%</w:t>
            </w:r>
          </w:p>
        </w:tc>
        <w:tc>
          <w:tcPr>
            <w:tcW w:w="795" w:type="pct"/>
            <w:vAlign w:val="center"/>
          </w:tcPr>
          <w:p w14:paraId="432FBA21">
            <w:pPr>
              <w:pStyle w:val="8"/>
              <w:suppressLineNumbers w:val="0"/>
              <w:bidi w:val="0"/>
              <w:spacing w:before="0" w:beforeAutospacing="0" w:after="0" w:afterAutospacing="0"/>
              <w:ind w:left="0" w:right="0"/>
              <w:rPr>
                <w:rFonts w:hint="default"/>
                <w:highlight w:val="none"/>
              </w:rPr>
            </w:pPr>
            <w:r>
              <w:rPr>
                <w:rFonts w:hint="default"/>
                <w:highlight w:val="none"/>
              </w:rPr>
              <w:t>0%</w:t>
            </w:r>
          </w:p>
        </w:tc>
      </w:tr>
      <w:tr w14:paraId="0C5D5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70" w:type="pct"/>
            <w:vAlign w:val="center"/>
          </w:tcPr>
          <w:p w14:paraId="41016B6E">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rPr>
              <w:t>钙</w:t>
            </w:r>
          </w:p>
        </w:tc>
        <w:tc>
          <w:tcPr>
            <w:tcW w:w="730" w:type="pct"/>
            <w:vAlign w:val="bottom"/>
          </w:tcPr>
          <w:p w14:paraId="1A37FD6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150</w:t>
            </w:r>
          </w:p>
        </w:tc>
        <w:tc>
          <w:tcPr>
            <w:tcW w:w="667" w:type="pct"/>
            <w:vAlign w:val="bottom"/>
          </w:tcPr>
          <w:p w14:paraId="1D35D7D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130.4</w:t>
            </w:r>
          </w:p>
        </w:tc>
        <w:tc>
          <w:tcPr>
            <w:tcW w:w="613" w:type="pct"/>
            <w:vAlign w:val="bottom"/>
          </w:tcPr>
          <w:p w14:paraId="204111C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142.83 </w:t>
            </w:r>
          </w:p>
        </w:tc>
        <w:tc>
          <w:tcPr>
            <w:tcW w:w="637" w:type="pct"/>
            <w:vAlign w:val="bottom"/>
          </w:tcPr>
          <w:p w14:paraId="6BC2158C">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5.78 </w:t>
            </w:r>
          </w:p>
        </w:tc>
        <w:tc>
          <w:tcPr>
            <w:tcW w:w="584" w:type="pct"/>
            <w:vAlign w:val="center"/>
          </w:tcPr>
          <w:p w14:paraId="66FF79B6">
            <w:pPr>
              <w:pStyle w:val="8"/>
              <w:suppressLineNumbers w:val="0"/>
              <w:bidi w:val="0"/>
              <w:spacing w:before="0" w:beforeAutospacing="0" w:after="0" w:afterAutospacing="0"/>
              <w:ind w:left="0" w:right="0"/>
              <w:rPr>
                <w:rFonts w:hint="default"/>
                <w:highlight w:val="none"/>
              </w:rPr>
            </w:pPr>
            <w:r>
              <w:rPr>
                <w:rFonts w:hint="default"/>
                <w:highlight w:val="none"/>
              </w:rPr>
              <w:t>100%</w:t>
            </w:r>
          </w:p>
        </w:tc>
        <w:tc>
          <w:tcPr>
            <w:tcW w:w="795" w:type="pct"/>
            <w:vAlign w:val="center"/>
          </w:tcPr>
          <w:p w14:paraId="0DD581B5">
            <w:pPr>
              <w:pStyle w:val="8"/>
              <w:suppressLineNumbers w:val="0"/>
              <w:bidi w:val="0"/>
              <w:spacing w:before="0" w:beforeAutospacing="0" w:after="0" w:afterAutospacing="0"/>
              <w:ind w:left="0" w:right="0"/>
              <w:rPr>
                <w:rFonts w:hint="default"/>
                <w:highlight w:val="none"/>
              </w:rPr>
            </w:pPr>
            <w:r>
              <w:rPr>
                <w:rFonts w:hint="default"/>
                <w:highlight w:val="none"/>
              </w:rPr>
              <w:t>0%</w:t>
            </w:r>
          </w:p>
        </w:tc>
      </w:tr>
      <w:tr w14:paraId="679B2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970" w:type="pct"/>
            <w:vAlign w:val="center"/>
          </w:tcPr>
          <w:p w14:paraId="3DD62E62">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rPr>
              <w:t>镁</w:t>
            </w:r>
          </w:p>
        </w:tc>
        <w:tc>
          <w:tcPr>
            <w:tcW w:w="730" w:type="pct"/>
            <w:vAlign w:val="bottom"/>
          </w:tcPr>
          <w:p w14:paraId="37E60A8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21.6</w:t>
            </w:r>
          </w:p>
        </w:tc>
        <w:tc>
          <w:tcPr>
            <w:tcW w:w="667" w:type="pct"/>
            <w:vAlign w:val="bottom"/>
          </w:tcPr>
          <w:p w14:paraId="355ED96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19</w:t>
            </w:r>
          </w:p>
        </w:tc>
        <w:tc>
          <w:tcPr>
            <w:tcW w:w="613" w:type="pct"/>
            <w:vAlign w:val="bottom"/>
          </w:tcPr>
          <w:p w14:paraId="7E29417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20.66 </w:t>
            </w:r>
          </w:p>
        </w:tc>
        <w:tc>
          <w:tcPr>
            <w:tcW w:w="637" w:type="pct"/>
            <w:vAlign w:val="bottom"/>
          </w:tcPr>
          <w:p w14:paraId="4D43AFB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0.83 </w:t>
            </w:r>
          </w:p>
        </w:tc>
        <w:tc>
          <w:tcPr>
            <w:tcW w:w="584" w:type="pct"/>
            <w:vAlign w:val="center"/>
          </w:tcPr>
          <w:p w14:paraId="1EDF68B2">
            <w:pPr>
              <w:pStyle w:val="8"/>
              <w:suppressLineNumbers w:val="0"/>
              <w:bidi w:val="0"/>
              <w:spacing w:before="0" w:beforeAutospacing="0" w:after="0" w:afterAutospacing="0"/>
              <w:ind w:left="0" w:right="0"/>
              <w:rPr>
                <w:rFonts w:hint="default"/>
                <w:highlight w:val="none"/>
              </w:rPr>
            </w:pPr>
            <w:r>
              <w:rPr>
                <w:rFonts w:hint="default"/>
                <w:highlight w:val="none"/>
              </w:rPr>
              <w:t>100%</w:t>
            </w:r>
          </w:p>
        </w:tc>
        <w:tc>
          <w:tcPr>
            <w:tcW w:w="795" w:type="pct"/>
            <w:vAlign w:val="center"/>
          </w:tcPr>
          <w:p w14:paraId="3A54CD63">
            <w:pPr>
              <w:pStyle w:val="8"/>
              <w:suppressLineNumbers w:val="0"/>
              <w:bidi w:val="0"/>
              <w:spacing w:before="0" w:beforeAutospacing="0" w:after="0" w:afterAutospacing="0"/>
              <w:ind w:left="0" w:right="0"/>
              <w:rPr>
                <w:rFonts w:hint="default"/>
                <w:highlight w:val="none"/>
              </w:rPr>
            </w:pPr>
            <w:r>
              <w:rPr>
                <w:rFonts w:hint="default"/>
                <w:highlight w:val="none"/>
              </w:rPr>
              <w:t>0%</w:t>
            </w:r>
          </w:p>
        </w:tc>
      </w:tr>
      <w:tr w14:paraId="1F144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3D4F3FA2">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rPr>
              <w:t>碳酸根离子</w:t>
            </w:r>
          </w:p>
        </w:tc>
        <w:tc>
          <w:tcPr>
            <w:tcW w:w="730" w:type="pct"/>
            <w:vAlign w:val="bottom"/>
          </w:tcPr>
          <w:p w14:paraId="0D2BE62A">
            <w:pPr>
              <w:pStyle w:val="8"/>
              <w:suppressLineNumbers w:val="0"/>
              <w:bidi w:val="0"/>
              <w:spacing w:before="0" w:beforeAutospacing="0" w:after="0" w:afterAutospacing="0"/>
              <w:ind w:left="0" w:right="0"/>
              <w:rPr>
                <w:rFonts w:hint="default"/>
                <w:highlight w:val="none"/>
              </w:rPr>
            </w:pPr>
            <w:r>
              <w:rPr>
                <w:rFonts w:hint="default"/>
                <w:highlight w:val="none"/>
                <w:lang w:val="en-US" w:eastAsia="zh-CN"/>
              </w:rPr>
              <w:t>5L</w:t>
            </w:r>
          </w:p>
        </w:tc>
        <w:tc>
          <w:tcPr>
            <w:tcW w:w="667" w:type="pct"/>
            <w:vAlign w:val="bottom"/>
          </w:tcPr>
          <w:p w14:paraId="5FC234DF">
            <w:pPr>
              <w:pStyle w:val="8"/>
              <w:suppressLineNumbers w:val="0"/>
              <w:bidi w:val="0"/>
              <w:spacing w:before="0" w:beforeAutospacing="0" w:after="0" w:afterAutospacing="0"/>
              <w:ind w:left="0" w:right="0"/>
              <w:rPr>
                <w:rFonts w:hint="default"/>
                <w:highlight w:val="none"/>
              </w:rPr>
            </w:pPr>
            <w:r>
              <w:rPr>
                <w:rFonts w:hint="default"/>
                <w:highlight w:val="none"/>
                <w:lang w:val="en-US" w:eastAsia="zh-CN"/>
              </w:rPr>
              <w:t>5L</w:t>
            </w:r>
          </w:p>
        </w:tc>
        <w:tc>
          <w:tcPr>
            <w:tcW w:w="613" w:type="pct"/>
            <w:vAlign w:val="bottom"/>
          </w:tcPr>
          <w:p w14:paraId="5F24F058">
            <w:pPr>
              <w:pStyle w:val="8"/>
              <w:suppressLineNumbers w:val="0"/>
              <w:bidi w:val="0"/>
              <w:spacing w:before="0" w:beforeAutospacing="0" w:after="0" w:afterAutospacing="0"/>
              <w:ind w:left="0" w:right="0"/>
              <w:rPr>
                <w:rFonts w:hint="default"/>
                <w:highlight w:val="none"/>
              </w:rPr>
            </w:pPr>
            <w:r>
              <w:rPr>
                <w:rFonts w:hint="default"/>
                <w:highlight w:val="none"/>
                <w:lang w:val="en-US" w:eastAsia="zh-CN"/>
              </w:rPr>
              <w:t>5L</w:t>
            </w:r>
          </w:p>
        </w:tc>
        <w:tc>
          <w:tcPr>
            <w:tcW w:w="637" w:type="pct"/>
            <w:vAlign w:val="bottom"/>
          </w:tcPr>
          <w:p w14:paraId="498F9694">
            <w:pPr>
              <w:pStyle w:val="8"/>
              <w:suppressLineNumbers w:val="0"/>
              <w:bidi w:val="0"/>
              <w:spacing w:before="0" w:beforeAutospacing="0" w:after="0" w:afterAutospacing="0"/>
              <w:ind w:left="0" w:right="0"/>
              <w:rPr>
                <w:rFonts w:hint="default"/>
                <w:highlight w:val="none"/>
              </w:rPr>
            </w:pPr>
            <w:r>
              <w:rPr>
                <w:rFonts w:hint="default"/>
                <w:highlight w:val="none"/>
                <w:lang w:val="en-US" w:eastAsia="zh-CN"/>
              </w:rPr>
              <w:t>-</w:t>
            </w:r>
          </w:p>
        </w:tc>
        <w:tc>
          <w:tcPr>
            <w:tcW w:w="584" w:type="pct"/>
            <w:vAlign w:val="center"/>
          </w:tcPr>
          <w:p w14:paraId="23514F29">
            <w:pPr>
              <w:pStyle w:val="8"/>
              <w:suppressLineNumbers w:val="0"/>
              <w:bidi w:val="0"/>
              <w:spacing w:before="0" w:beforeAutospacing="0" w:after="0" w:afterAutospacing="0"/>
              <w:ind w:left="0" w:right="0"/>
              <w:rPr>
                <w:rFonts w:hint="default"/>
                <w:highlight w:val="none"/>
              </w:rPr>
            </w:pPr>
            <w:r>
              <w:rPr>
                <w:rFonts w:hint="default"/>
                <w:highlight w:val="none"/>
              </w:rPr>
              <w:t>0%</w:t>
            </w:r>
          </w:p>
        </w:tc>
        <w:tc>
          <w:tcPr>
            <w:tcW w:w="795" w:type="pct"/>
            <w:vAlign w:val="center"/>
          </w:tcPr>
          <w:p w14:paraId="0DD332F4">
            <w:pPr>
              <w:pStyle w:val="8"/>
              <w:suppressLineNumbers w:val="0"/>
              <w:bidi w:val="0"/>
              <w:spacing w:before="0" w:beforeAutospacing="0" w:after="0" w:afterAutospacing="0"/>
              <w:ind w:left="0" w:right="0"/>
              <w:rPr>
                <w:rFonts w:hint="default"/>
                <w:highlight w:val="none"/>
              </w:rPr>
            </w:pPr>
            <w:r>
              <w:rPr>
                <w:rFonts w:hint="default"/>
                <w:highlight w:val="none"/>
              </w:rPr>
              <w:t>0%</w:t>
            </w:r>
          </w:p>
        </w:tc>
      </w:tr>
      <w:tr w14:paraId="005D5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3541A786">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rPr>
              <w:t>碳酸氢根离子</w:t>
            </w:r>
          </w:p>
        </w:tc>
        <w:tc>
          <w:tcPr>
            <w:tcW w:w="730" w:type="pct"/>
            <w:vAlign w:val="bottom"/>
          </w:tcPr>
          <w:p w14:paraId="45B86A4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566</w:t>
            </w:r>
          </w:p>
        </w:tc>
        <w:tc>
          <w:tcPr>
            <w:tcW w:w="667" w:type="pct"/>
            <w:vAlign w:val="bottom"/>
          </w:tcPr>
          <w:p w14:paraId="62C3EFB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416</w:t>
            </w:r>
          </w:p>
        </w:tc>
        <w:tc>
          <w:tcPr>
            <w:tcW w:w="613" w:type="pct"/>
            <w:vAlign w:val="bottom"/>
          </w:tcPr>
          <w:p w14:paraId="210235C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530.00 </w:t>
            </w:r>
          </w:p>
        </w:tc>
        <w:tc>
          <w:tcPr>
            <w:tcW w:w="637" w:type="pct"/>
            <w:vAlign w:val="bottom"/>
          </w:tcPr>
          <w:p w14:paraId="2D87484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47.49 </w:t>
            </w:r>
          </w:p>
        </w:tc>
        <w:tc>
          <w:tcPr>
            <w:tcW w:w="584" w:type="pct"/>
            <w:vAlign w:val="center"/>
          </w:tcPr>
          <w:p w14:paraId="1BDC767A">
            <w:pPr>
              <w:pStyle w:val="8"/>
              <w:suppressLineNumbers w:val="0"/>
              <w:bidi w:val="0"/>
              <w:spacing w:before="0" w:beforeAutospacing="0" w:after="0" w:afterAutospacing="0"/>
              <w:ind w:left="0" w:right="0"/>
              <w:rPr>
                <w:rFonts w:hint="default"/>
                <w:highlight w:val="none"/>
              </w:rPr>
            </w:pPr>
            <w:r>
              <w:rPr>
                <w:rFonts w:hint="default"/>
                <w:highlight w:val="none"/>
              </w:rPr>
              <w:t>100%</w:t>
            </w:r>
          </w:p>
        </w:tc>
        <w:tc>
          <w:tcPr>
            <w:tcW w:w="795" w:type="pct"/>
            <w:vAlign w:val="center"/>
          </w:tcPr>
          <w:p w14:paraId="2832B2BD">
            <w:pPr>
              <w:pStyle w:val="8"/>
              <w:suppressLineNumbers w:val="0"/>
              <w:bidi w:val="0"/>
              <w:spacing w:before="0" w:beforeAutospacing="0" w:after="0" w:afterAutospacing="0"/>
              <w:ind w:left="0" w:right="0"/>
              <w:rPr>
                <w:rFonts w:hint="default"/>
                <w:highlight w:val="none"/>
              </w:rPr>
            </w:pPr>
            <w:r>
              <w:rPr>
                <w:rFonts w:hint="default"/>
                <w:highlight w:val="none"/>
              </w:rPr>
              <w:t>0%</w:t>
            </w:r>
          </w:p>
        </w:tc>
      </w:tr>
      <w:tr w14:paraId="53381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1C5B955A">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rPr>
              <w:t>氯离子</w:t>
            </w:r>
          </w:p>
        </w:tc>
        <w:tc>
          <w:tcPr>
            <w:tcW w:w="730" w:type="pct"/>
            <w:vAlign w:val="bottom"/>
          </w:tcPr>
          <w:p w14:paraId="12ECEA66">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29.5</w:t>
            </w:r>
          </w:p>
        </w:tc>
        <w:tc>
          <w:tcPr>
            <w:tcW w:w="667" w:type="pct"/>
            <w:vAlign w:val="bottom"/>
          </w:tcPr>
          <w:p w14:paraId="55AB23E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6.34</w:t>
            </w:r>
          </w:p>
        </w:tc>
        <w:tc>
          <w:tcPr>
            <w:tcW w:w="613" w:type="pct"/>
            <w:vAlign w:val="bottom"/>
          </w:tcPr>
          <w:p w14:paraId="7BD93B74">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11.25 </w:t>
            </w:r>
          </w:p>
        </w:tc>
        <w:tc>
          <w:tcPr>
            <w:tcW w:w="637" w:type="pct"/>
            <w:vAlign w:val="bottom"/>
          </w:tcPr>
          <w:p w14:paraId="2E4865F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7.57 </w:t>
            </w:r>
          </w:p>
        </w:tc>
        <w:tc>
          <w:tcPr>
            <w:tcW w:w="584" w:type="pct"/>
            <w:vAlign w:val="center"/>
          </w:tcPr>
          <w:p w14:paraId="12E6AA9E">
            <w:pPr>
              <w:pStyle w:val="8"/>
              <w:suppressLineNumbers w:val="0"/>
              <w:bidi w:val="0"/>
              <w:spacing w:before="0" w:beforeAutospacing="0" w:after="0" w:afterAutospacing="0"/>
              <w:ind w:left="0" w:right="0"/>
              <w:rPr>
                <w:rFonts w:hint="default"/>
                <w:highlight w:val="none"/>
              </w:rPr>
            </w:pPr>
            <w:r>
              <w:rPr>
                <w:rFonts w:hint="eastAsia"/>
                <w:highlight w:val="none"/>
                <w:lang w:val="en-US" w:eastAsia="zh-CN"/>
              </w:rPr>
              <w:t>100</w:t>
            </w:r>
            <w:r>
              <w:rPr>
                <w:rFonts w:hint="default"/>
                <w:highlight w:val="none"/>
              </w:rPr>
              <w:t>%</w:t>
            </w:r>
          </w:p>
        </w:tc>
        <w:tc>
          <w:tcPr>
            <w:tcW w:w="795" w:type="pct"/>
            <w:vAlign w:val="center"/>
          </w:tcPr>
          <w:p w14:paraId="61775506">
            <w:pPr>
              <w:pStyle w:val="8"/>
              <w:suppressLineNumbers w:val="0"/>
              <w:bidi w:val="0"/>
              <w:spacing w:before="0" w:beforeAutospacing="0" w:after="0" w:afterAutospacing="0"/>
              <w:ind w:left="0" w:right="0"/>
              <w:rPr>
                <w:rFonts w:hint="default"/>
                <w:highlight w:val="none"/>
              </w:rPr>
            </w:pPr>
            <w:r>
              <w:rPr>
                <w:rFonts w:hint="default"/>
                <w:highlight w:val="none"/>
              </w:rPr>
              <w:t>0%</w:t>
            </w:r>
          </w:p>
        </w:tc>
      </w:tr>
      <w:tr w14:paraId="1259D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527F9DDE">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rPr>
              <w:t>硫酸根离子</w:t>
            </w:r>
          </w:p>
        </w:tc>
        <w:tc>
          <w:tcPr>
            <w:tcW w:w="730" w:type="pct"/>
            <w:vAlign w:val="bottom"/>
          </w:tcPr>
          <w:p w14:paraId="5181A7A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50.7</w:t>
            </w:r>
          </w:p>
        </w:tc>
        <w:tc>
          <w:tcPr>
            <w:tcW w:w="667" w:type="pct"/>
            <w:vAlign w:val="bottom"/>
          </w:tcPr>
          <w:p w14:paraId="410C27F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7.34</w:t>
            </w:r>
          </w:p>
        </w:tc>
        <w:tc>
          <w:tcPr>
            <w:tcW w:w="613" w:type="pct"/>
            <w:vAlign w:val="bottom"/>
          </w:tcPr>
          <w:p w14:paraId="61E507D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13.86 </w:t>
            </w:r>
          </w:p>
        </w:tc>
        <w:tc>
          <w:tcPr>
            <w:tcW w:w="637" w:type="pct"/>
            <w:vAlign w:val="bottom"/>
          </w:tcPr>
          <w:p w14:paraId="046D547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15.04 </w:t>
            </w:r>
          </w:p>
        </w:tc>
        <w:tc>
          <w:tcPr>
            <w:tcW w:w="584" w:type="pct"/>
            <w:vAlign w:val="center"/>
          </w:tcPr>
          <w:p w14:paraId="32CE0D05">
            <w:pPr>
              <w:pStyle w:val="8"/>
              <w:suppressLineNumbers w:val="0"/>
              <w:bidi w:val="0"/>
              <w:spacing w:before="0" w:beforeAutospacing="0" w:after="0" w:afterAutospacing="0"/>
              <w:ind w:left="0" w:right="0"/>
              <w:rPr>
                <w:rFonts w:hint="default"/>
                <w:highlight w:val="none"/>
              </w:rPr>
            </w:pPr>
            <w:r>
              <w:rPr>
                <w:rFonts w:hint="default"/>
                <w:highlight w:val="none"/>
              </w:rPr>
              <w:t>100%</w:t>
            </w:r>
          </w:p>
        </w:tc>
        <w:tc>
          <w:tcPr>
            <w:tcW w:w="795" w:type="pct"/>
            <w:vAlign w:val="center"/>
          </w:tcPr>
          <w:p w14:paraId="48A747E6">
            <w:pPr>
              <w:pStyle w:val="8"/>
              <w:suppressLineNumbers w:val="0"/>
              <w:bidi w:val="0"/>
              <w:spacing w:before="0" w:beforeAutospacing="0" w:after="0" w:afterAutospacing="0"/>
              <w:ind w:left="0" w:right="0"/>
              <w:rPr>
                <w:rFonts w:hint="default"/>
                <w:highlight w:val="none"/>
              </w:rPr>
            </w:pPr>
            <w:r>
              <w:rPr>
                <w:rFonts w:hint="default"/>
                <w:highlight w:val="none"/>
              </w:rPr>
              <w:t>0%</w:t>
            </w:r>
          </w:p>
        </w:tc>
      </w:tr>
      <w:tr w14:paraId="7FF04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5F447F1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pH</w:t>
            </w:r>
          </w:p>
        </w:tc>
        <w:tc>
          <w:tcPr>
            <w:tcW w:w="730" w:type="pct"/>
            <w:vAlign w:val="bottom"/>
          </w:tcPr>
          <w:p w14:paraId="7F35550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7.5</w:t>
            </w:r>
          </w:p>
        </w:tc>
        <w:tc>
          <w:tcPr>
            <w:tcW w:w="667" w:type="pct"/>
            <w:vAlign w:val="bottom"/>
          </w:tcPr>
          <w:p w14:paraId="1604584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6.8</w:t>
            </w:r>
          </w:p>
        </w:tc>
        <w:tc>
          <w:tcPr>
            <w:tcW w:w="613" w:type="pct"/>
            <w:vAlign w:val="bottom"/>
          </w:tcPr>
          <w:p w14:paraId="207D232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7.19 </w:t>
            </w:r>
          </w:p>
        </w:tc>
        <w:tc>
          <w:tcPr>
            <w:tcW w:w="637" w:type="pct"/>
            <w:vAlign w:val="bottom"/>
          </w:tcPr>
          <w:p w14:paraId="72B3A1D6">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0.22 </w:t>
            </w:r>
          </w:p>
        </w:tc>
        <w:tc>
          <w:tcPr>
            <w:tcW w:w="584" w:type="pct"/>
            <w:vAlign w:val="center"/>
          </w:tcPr>
          <w:p w14:paraId="3F41CF9C">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100%</w:t>
            </w:r>
          </w:p>
        </w:tc>
        <w:tc>
          <w:tcPr>
            <w:tcW w:w="795" w:type="pct"/>
            <w:vAlign w:val="center"/>
          </w:tcPr>
          <w:p w14:paraId="53EAB9D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2C2C2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1494896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总硬度</w:t>
            </w:r>
          </w:p>
        </w:tc>
        <w:tc>
          <w:tcPr>
            <w:tcW w:w="730" w:type="pct"/>
            <w:vAlign w:val="bottom"/>
          </w:tcPr>
          <w:p w14:paraId="30E8919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310</w:t>
            </w:r>
          </w:p>
        </w:tc>
        <w:tc>
          <w:tcPr>
            <w:tcW w:w="667" w:type="pct"/>
            <w:vAlign w:val="bottom"/>
          </w:tcPr>
          <w:p w14:paraId="541B58AD">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202</w:t>
            </w:r>
          </w:p>
        </w:tc>
        <w:tc>
          <w:tcPr>
            <w:tcW w:w="613" w:type="pct"/>
            <w:vAlign w:val="bottom"/>
          </w:tcPr>
          <w:p w14:paraId="10ADF76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276.86 </w:t>
            </w:r>
          </w:p>
        </w:tc>
        <w:tc>
          <w:tcPr>
            <w:tcW w:w="637" w:type="pct"/>
            <w:vAlign w:val="bottom"/>
          </w:tcPr>
          <w:p w14:paraId="23F7FEA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32.22 </w:t>
            </w:r>
          </w:p>
        </w:tc>
        <w:tc>
          <w:tcPr>
            <w:tcW w:w="584" w:type="pct"/>
            <w:vAlign w:val="center"/>
          </w:tcPr>
          <w:p w14:paraId="70FD16B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100%</w:t>
            </w:r>
          </w:p>
        </w:tc>
        <w:tc>
          <w:tcPr>
            <w:tcW w:w="795" w:type="pct"/>
            <w:vAlign w:val="center"/>
          </w:tcPr>
          <w:p w14:paraId="7A61E22D">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0266C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15EB86E0">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溶解性总固体</w:t>
            </w:r>
          </w:p>
        </w:tc>
        <w:tc>
          <w:tcPr>
            <w:tcW w:w="730" w:type="pct"/>
            <w:vAlign w:val="bottom"/>
          </w:tcPr>
          <w:p w14:paraId="41A37F8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396</w:t>
            </w:r>
          </w:p>
        </w:tc>
        <w:tc>
          <w:tcPr>
            <w:tcW w:w="667" w:type="pct"/>
            <w:vAlign w:val="bottom"/>
          </w:tcPr>
          <w:p w14:paraId="0414C5B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335</w:t>
            </w:r>
          </w:p>
        </w:tc>
        <w:tc>
          <w:tcPr>
            <w:tcW w:w="613" w:type="pct"/>
            <w:vAlign w:val="bottom"/>
          </w:tcPr>
          <w:p w14:paraId="786F9F34">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362.57 </w:t>
            </w:r>
          </w:p>
        </w:tc>
        <w:tc>
          <w:tcPr>
            <w:tcW w:w="637" w:type="pct"/>
            <w:vAlign w:val="bottom"/>
          </w:tcPr>
          <w:p w14:paraId="403D2D5C">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18.78 </w:t>
            </w:r>
          </w:p>
        </w:tc>
        <w:tc>
          <w:tcPr>
            <w:tcW w:w="584" w:type="pct"/>
            <w:vAlign w:val="center"/>
          </w:tcPr>
          <w:p w14:paraId="5B7F5E5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100%</w:t>
            </w:r>
          </w:p>
        </w:tc>
        <w:tc>
          <w:tcPr>
            <w:tcW w:w="795" w:type="pct"/>
            <w:vAlign w:val="center"/>
          </w:tcPr>
          <w:p w14:paraId="5DA0263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540A5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055A0D8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硫酸盐</w:t>
            </w:r>
          </w:p>
        </w:tc>
        <w:tc>
          <w:tcPr>
            <w:tcW w:w="730" w:type="pct"/>
            <w:vAlign w:val="bottom"/>
          </w:tcPr>
          <w:p w14:paraId="661C793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50</w:t>
            </w:r>
          </w:p>
        </w:tc>
        <w:tc>
          <w:tcPr>
            <w:tcW w:w="667" w:type="pct"/>
            <w:vAlign w:val="bottom"/>
          </w:tcPr>
          <w:p w14:paraId="59D01E1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9</w:t>
            </w:r>
          </w:p>
        </w:tc>
        <w:tc>
          <w:tcPr>
            <w:tcW w:w="613" w:type="pct"/>
            <w:vAlign w:val="bottom"/>
          </w:tcPr>
          <w:p w14:paraId="5E1DFF2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29.50 </w:t>
            </w:r>
          </w:p>
        </w:tc>
        <w:tc>
          <w:tcPr>
            <w:tcW w:w="637" w:type="pct"/>
            <w:vAlign w:val="bottom"/>
          </w:tcPr>
          <w:p w14:paraId="359D6F5C">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20.50 </w:t>
            </w:r>
          </w:p>
        </w:tc>
        <w:tc>
          <w:tcPr>
            <w:tcW w:w="584" w:type="pct"/>
            <w:vAlign w:val="center"/>
          </w:tcPr>
          <w:p w14:paraId="5F48EB1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100%</w:t>
            </w:r>
          </w:p>
        </w:tc>
        <w:tc>
          <w:tcPr>
            <w:tcW w:w="795" w:type="pct"/>
            <w:vAlign w:val="center"/>
          </w:tcPr>
          <w:p w14:paraId="3EB03CD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5EEC0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970" w:type="pct"/>
            <w:vAlign w:val="center"/>
          </w:tcPr>
          <w:p w14:paraId="28A46F06">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氯化物</w:t>
            </w:r>
          </w:p>
        </w:tc>
        <w:tc>
          <w:tcPr>
            <w:tcW w:w="730" w:type="pct"/>
            <w:vAlign w:val="bottom"/>
          </w:tcPr>
          <w:p w14:paraId="26CA7C96">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29</w:t>
            </w:r>
          </w:p>
        </w:tc>
        <w:tc>
          <w:tcPr>
            <w:tcW w:w="667" w:type="pct"/>
            <w:vAlign w:val="bottom"/>
          </w:tcPr>
          <w:p w14:paraId="57C5674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29</w:t>
            </w:r>
          </w:p>
        </w:tc>
        <w:tc>
          <w:tcPr>
            <w:tcW w:w="613" w:type="pct"/>
            <w:vAlign w:val="bottom"/>
          </w:tcPr>
          <w:p w14:paraId="4F336E80">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29.00 </w:t>
            </w:r>
          </w:p>
        </w:tc>
        <w:tc>
          <w:tcPr>
            <w:tcW w:w="637" w:type="pct"/>
            <w:vAlign w:val="bottom"/>
          </w:tcPr>
          <w:p w14:paraId="39A9579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0.00 </w:t>
            </w:r>
          </w:p>
        </w:tc>
        <w:tc>
          <w:tcPr>
            <w:tcW w:w="584" w:type="pct"/>
            <w:vAlign w:val="center"/>
          </w:tcPr>
          <w:p w14:paraId="666B84B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100</w:t>
            </w:r>
            <w:r>
              <w:rPr>
                <w:rFonts w:hint="default" w:ascii="Times New Roman" w:hAnsi="Times New Roman" w:eastAsia="宋体" w:cs="Times New Roman"/>
                <w:highlight w:val="none"/>
                <w:lang w:val="en-US" w:eastAsia="zh-CN"/>
              </w:rPr>
              <w:t>%</w:t>
            </w:r>
          </w:p>
        </w:tc>
        <w:tc>
          <w:tcPr>
            <w:tcW w:w="795" w:type="pct"/>
            <w:vAlign w:val="center"/>
          </w:tcPr>
          <w:p w14:paraId="7DD5645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601CA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2373E30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铁</w:t>
            </w:r>
          </w:p>
        </w:tc>
        <w:tc>
          <w:tcPr>
            <w:tcW w:w="730" w:type="pct"/>
            <w:vAlign w:val="bottom"/>
          </w:tcPr>
          <w:p w14:paraId="665E6466">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0.03L</w:t>
            </w:r>
          </w:p>
        </w:tc>
        <w:tc>
          <w:tcPr>
            <w:tcW w:w="667" w:type="pct"/>
            <w:vAlign w:val="bottom"/>
          </w:tcPr>
          <w:p w14:paraId="3FE213E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0.03L</w:t>
            </w:r>
          </w:p>
        </w:tc>
        <w:tc>
          <w:tcPr>
            <w:tcW w:w="613" w:type="pct"/>
            <w:vAlign w:val="bottom"/>
          </w:tcPr>
          <w:p w14:paraId="687472E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0.03L</w:t>
            </w:r>
          </w:p>
        </w:tc>
        <w:tc>
          <w:tcPr>
            <w:tcW w:w="637" w:type="pct"/>
            <w:vAlign w:val="bottom"/>
          </w:tcPr>
          <w:p w14:paraId="21C82A8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3CBA8F0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w:t>
            </w:r>
          </w:p>
        </w:tc>
        <w:tc>
          <w:tcPr>
            <w:tcW w:w="795" w:type="pct"/>
            <w:vAlign w:val="center"/>
          </w:tcPr>
          <w:p w14:paraId="4B455454">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0B9B5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60A42DC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锰</w:t>
            </w:r>
          </w:p>
        </w:tc>
        <w:tc>
          <w:tcPr>
            <w:tcW w:w="730" w:type="pct"/>
            <w:vAlign w:val="bottom"/>
          </w:tcPr>
          <w:p w14:paraId="01DD642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0.08</w:t>
            </w:r>
          </w:p>
        </w:tc>
        <w:tc>
          <w:tcPr>
            <w:tcW w:w="667" w:type="pct"/>
            <w:vAlign w:val="bottom"/>
          </w:tcPr>
          <w:p w14:paraId="43D4138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0.03</w:t>
            </w:r>
          </w:p>
        </w:tc>
        <w:tc>
          <w:tcPr>
            <w:tcW w:w="613" w:type="pct"/>
            <w:vAlign w:val="bottom"/>
          </w:tcPr>
          <w:p w14:paraId="613DE2AD">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0.07 </w:t>
            </w:r>
          </w:p>
        </w:tc>
        <w:tc>
          <w:tcPr>
            <w:tcW w:w="637" w:type="pct"/>
            <w:vAlign w:val="bottom"/>
          </w:tcPr>
          <w:p w14:paraId="565C113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0.02 </w:t>
            </w:r>
          </w:p>
        </w:tc>
        <w:tc>
          <w:tcPr>
            <w:tcW w:w="584" w:type="pct"/>
            <w:vAlign w:val="center"/>
          </w:tcPr>
          <w:p w14:paraId="51D2C62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w:t>
            </w:r>
            <w:r>
              <w:rPr>
                <w:rFonts w:hint="eastAsia" w:cs="Times New Roman"/>
                <w:highlight w:val="none"/>
                <w:lang w:val="en-US" w:eastAsia="zh-CN"/>
              </w:rPr>
              <w:t>4</w:t>
            </w:r>
            <w:r>
              <w:rPr>
                <w:rFonts w:hint="default" w:ascii="Times New Roman" w:hAnsi="Times New Roman" w:eastAsia="宋体" w:cs="Times New Roman"/>
                <w:highlight w:val="none"/>
                <w:lang w:val="en-US" w:eastAsia="zh-CN"/>
              </w:rPr>
              <w:t>%</w:t>
            </w:r>
          </w:p>
        </w:tc>
        <w:tc>
          <w:tcPr>
            <w:tcW w:w="795" w:type="pct"/>
            <w:vAlign w:val="center"/>
          </w:tcPr>
          <w:p w14:paraId="0915881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w:t>
            </w:r>
          </w:p>
        </w:tc>
      </w:tr>
      <w:tr w14:paraId="08243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30CE93A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挥发酚</w:t>
            </w:r>
          </w:p>
        </w:tc>
        <w:tc>
          <w:tcPr>
            <w:tcW w:w="730" w:type="pct"/>
            <w:vAlign w:val="bottom"/>
          </w:tcPr>
          <w:p w14:paraId="10AE4D3C">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0.0003L</w:t>
            </w:r>
          </w:p>
        </w:tc>
        <w:tc>
          <w:tcPr>
            <w:tcW w:w="667" w:type="pct"/>
            <w:vAlign w:val="bottom"/>
          </w:tcPr>
          <w:p w14:paraId="5A8231E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0.0003L</w:t>
            </w:r>
          </w:p>
        </w:tc>
        <w:tc>
          <w:tcPr>
            <w:tcW w:w="613" w:type="pct"/>
            <w:vAlign w:val="bottom"/>
          </w:tcPr>
          <w:p w14:paraId="6210F17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0.0003L</w:t>
            </w:r>
          </w:p>
        </w:tc>
        <w:tc>
          <w:tcPr>
            <w:tcW w:w="637" w:type="pct"/>
            <w:vAlign w:val="bottom"/>
          </w:tcPr>
          <w:p w14:paraId="0B11C32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418ABC7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w:t>
            </w:r>
          </w:p>
        </w:tc>
        <w:tc>
          <w:tcPr>
            <w:tcW w:w="795" w:type="pct"/>
            <w:vAlign w:val="center"/>
          </w:tcPr>
          <w:p w14:paraId="16EBBC3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w:t>
            </w:r>
          </w:p>
        </w:tc>
      </w:tr>
      <w:tr w14:paraId="0958A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2B52445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高锰酸盐指数</w:t>
            </w:r>
          </w:p>
        </w:tc>
        <w:tc>
          <w:tcPr>
            <w:tcW w:w="730" w:type="pct"/>
            <w:vAlign w:val="bottom"/>
          </w:tcPr>
          <w:p w14:paraId="52C3431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0.9</w:t>
            </w:r>
          </w:p>
        </w:tc>
        <w:tc>
          <w:tcPr>
            <w:tcW w:w="667" w:type="pct"/>
            <w:vAlign w:val="bottom"/>
          </w:tcPr>
          <w:p w14:paraId="70446CE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0.6</w:t>
            </w:r>
          </w:p>
        </w:tc>
        <w:tc>
          <w:tcPr>
            <w:tcW w:w="613" w:type="pct"/>
            <w:vAlign w:val="bottom"/>
          </w:tcPr>
          <w:p w14:paraId="1B47281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0.79 </w:t>
            </w:r>
          </w:p>
        </w:tc>
        <w:tc>
          <w:tcPr>
            <w:tcW w:w="637" w:type="pct"/>
            <w:vAlign w:val="bottom"/>
          </w:tcPr>
          <w:p w14:paraId="18995A6D">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0.12 </w:t>
            </w:r>
          </w:p>
        </w:tc>
        <w:tc>
          <w:tcPr>
            <w:tcW w:w="584" w:type="pct"/>
            <w:vAlign w:val="center"/>
          </w:tcPr>
          <w:p w14:paraId="538C15C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10</w:t>
            </w:r>
            <w:r>
              <w:rPr>
                <w:rFonts w:hint="default" w:ascii="Times New Roman" w:hAnsi="Times New Roman" w:eastAsia="宋体" w:cs="Times New Roman"/>
                <w:highlight w:val="none"/>
                <w:lang w:val="en-US" w:eastAsia="zh-CN"/>
              </w:rPr>
              <w:t>0%</w:t>
            </w:r>
          </w:p>
        </w:tc>
        <w:tc>
          <w:tcPr>
            <w:tcW w:w="795" w:type="pct"/>
            <w:vAlign w:val="center"/>
          </w:tcPr>
          <w:p w14:paraId="293A2C7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75FDB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286B9CC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氨氮</w:t>
            </w:r>
          </w:p>
        </w:tc>
        <w:tc>
          <w:tcPr>
            <w:tcW w:w="730" w:type="pct"/>
            <w:vAlign w:val="bottom"/>
          </w:tcPr>
          <w:p w14:paraId="36B63CC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0.048</w:t>
            </w:r>
          </w:p>
        </w:tc>
        <w:tc>
          <w:tcPr>
            <w:tcW w:w="667" w:type="pct"/>
            <w:vAlign w:val="bottom"/>
          </w:tcPr>
          <w:p w14:paraId="3C3A6BA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0.034</w:t>
            </w:r>
          </w:p>
        </w:tc>
        <w:tc>
          <w:tcPr>
            <w:tcW w:w="613" w:type="pct"/>
            <w:vAlign w:val="bottom"/>
          </w:tcPr>
          <w:p w14:paraId="2F483D4C">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0.04 </w:t>
            </w:r>
          </w:p>
        </w:tc>
        <w:tc>
          <w:tcPr>
            <w:tcW w:w="637" w:type="pct"/>
            <w:vAlign w:val="bottom"/>
          </w:tcPr>
          <w:p w14:paraId="5C4B46B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0.00 </w:t>
            </w:r>
          </w:p>
        </w:tc>
        <w:tc>
          <w:tcPr>
            <w:tcW w:w="584" w:type="pct"/>
            <w:vAlign w:val="center"/>
          </w:tcPr>
          <w:p w14:paraId="7CBED48D">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100</w:t>
            </w:r>
            <w:r>
              <w:rPr>
                <w:rFonts w:hint="default" w:ascii="Times New Roman" w:hAnsi="Times New Roman" w:eastAsia="宋体" w:cs="Times New Roman"/>
                <w:highlight w:val="none"/>
                <w:lang w:val="en-US" w:eastAsia="zh-CN"/>
              </w:rPr>
              <w:t>%</w:t>
            </w:r>
          </w:p>
        </w:tc>
        <w:tc>
          <w:tcPr>
            <w:tcW w:w="795" w:type="pct"/>
            <w:vAlign w:val="center"/>
          </w:tcPr>
          <w:p w14:paraId="6A17600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629A5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6940783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总大肠菌群</w:t>
            </w:r>
          </w:p>
        </w:tc>
        <w:tc>
          <w:tcPr>
            <w:tcW w:w="730" w:type="pct"/>
            <w:vAlign w:val="bottom"/>
          </w:tcPr>
          <w:p w14:paraId="5902914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2</w:t>
            </w:r>
          </w:p>
        </w:tc>
        <w:tc>
          <w:tcPr>
            <w:tcW w:w="667" w:type="pct"/>
            <w:vAlign w:val="bottom"/>
          </w:tcPr>
          <w:p w14:paraId="52B5F6B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2</w:t>
            </w:r>
          </w:p>
        </w:tc>
        <w:tc>
          <w:tcPr>
            <w:tcW w:w="613" w:type="pct"/>
            <w:vAlign w:val="bottom"/>
          </w:tcPr>
          <w:p w14:paraId="391D98C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2</w:t>
            </w:r>
          </w:p>
        </w:tc>
        <w:tc>
          <w:tcPr>
            <w:tcW w:w="637" w:type="pct"/>
            <w:vAlign w:val="bottom"/>
          </w:tcPr>
          <w:p w14:paraId="6A975800">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5293ADA6">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c>
          <w:tcPr>
            <w:tcW w:w="795" w:type="pct"/>
            <w:vAlign w:val="center"/>
          </w:tcPr>
          <w:p w14:paraId="16319CB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0D6E7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3AF6DB4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菌落总数</w:t>
            </w:r>
          </w:p>
        </w:tc>
        <w:tc>
          <w:tcPr>
            <w:tcW w:w="730" w:type="pct"/>
            <w:vAlign w:val="bottom"/>
          </w:tcPr>
          <w:p w14:paraId="77E9802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未检出</w:t>
            </w:r>
          </w:p>
        </w:tc>
        <w:tc>
          <w:tcPr>
            <w:tcW w:w="667" w:type="pct"/>
            <w:vAlign w:val="bottom"/>
          </w:tcPr>
          <w:p w14:paraId="0D87640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未检出</w:t>
            </w:r>
          </w:p>
        </w:tc>
        <w:tc>
          <w:tcPr>
            <w:tcW w:w="613" w:type="pct"/>
            <w:vAlign w:val="bottom"/>
          </w:tcPr>
          <w:p w14:paraId="60F691E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未检出</w:t>
            </w:r>
          </w:p>
        </w:tc>
        <w:tc>
          <w:tcPr>
            <w:tcW w:w="637" w:type="pct"/>
            <w:vAlign w:val="bottom"/>
          </w:tcPr>
          <w:p w14:paraId="3E3307B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未检出</w:t>
            </w:r>
          </w:p>
        </w:tc>
        <w:tc>
          <w:tcPr>
            <w:tcW w:w="584" w:type="pct"/>
            <w:vAlign w:val="center"/>
          </w:tcPr>
          <w:p w14:paraId="7371590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100</w:t>
            </w:r>
            <w:r>
              <w:rPr>
                <w:rFonts w:hint="default" w:ascii="Times New Roman" w:hAnsi="Times New Roman" w:eastAsia="宋体" w:cs="Times New Roman"/>
                <w:highlight w:val="none"/>
                <w:lang w:val="en-US" w:eastAsia="zh-CN"/>
              </w:rPr>
              <w:t>%</w:t>
            </w:r>
          </w:p>
        </w:tc>
        <w:tc>
          <w:tcPr>
            <w:tcW w:w="795" w:type="pct"/>
            <w:vAlign w:val="center"/>
          </w:tcPr>
          <w:p w14:paraId="42841340">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431BD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1BB22B4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亚硝酸盐</w:t>
            </w:r>
          </w:p>
        </w:tc>
        <w:tc>
          <w:tcPr>
            <w:tcW w:w="730" w:type="pct"/>
            <w:vAlign w:val="bottom"/>
          </w:tcPr>
          <w:p w14:paraId="71A69F4D">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0.003L</w:t>
            </w:r>
          </w:p>
        </w:tc>
        <w:tc>
          <w:tcPr>
            <w:tcW w:w="667" w:type="pct"/>
            <w:vAlign w:val="bottom"/>
          </w:tcPr>
          <w:p w14:paraId="086A0324">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0.003L</w:t>
            </w:r>
          </w:p>
        </w:tc>
        <w:tc>
          <w:tcPr>
            <w:tcW w:w="613" w:type="pct"/>
            <w:vAlign w:val="bottom"/>
          </w:tcPr>
          <w:p w14:paraId="28A225B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0.003L</w:t>
            </w:r>
          </w:p>
        </w:tc>
        <w:tc>
          <w:tcPr>
            <w:tcW w:w="637" w:type="pct"/>
            <w:vAlign w:val="bottom"/>
          </w:tcPr>
          <w:p w14:paraId="1C06954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7C06C20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w:t>
            </w:r>
          </w:p>
        </w:tc>
        <w:tc>
          <w:tcPr>
            <w:tcW w:w="795" w:type="pct"/>
            <w:vAlign w:val="center"/>
          </w:tcPr>
          <w:p w14:paraId="789EFE5D">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46A67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4BCC0FA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硝酸盐</w:t>
            </w:r>
          </w:p>
        </w:tc>
        <w:tc>
          <w:tcPr>
            <w:tcW w:w="730" w:type="pct"/>
            <w:vAlign w:val="bottom"/>
          </w:tcPr>
          <w:p w14:paraId="15DB6170">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6.07</w:t>
            </w:r>
          </w:p>
        </w:tc>
        <w:tc>
          <w:tcPr>
            <w:tcW w:w="667" w:type="pct"/>
            <w:vAlign w:val="bottom"/>
          </w:tcPr>
          <w:p w14:paraId="5AC7C7B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0.58</w:t>
            </w:r>
          </w:p>
        </w:tc>
        <w:tc>
          <w:tcPr>
            <w:tcW w:w="613" w:type="pct"/>
            <w:vAlign w:val="bottom"/>
          </w:tcPr>
          <w:p w14:paraId="779BE1C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1.41 </w:t>
            </w:r>
          </w:p>
        </w:tc>
        <w:tc>
          <w:tcPr>
            <w:tcW w:w="637" w:type="pct"/>
            <w:vAlign w:val="bottom"/>
          </w:tcPr>
          <w:p w14:paraId="664F0856">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1.90 </w:t>
            </w:r>
          </w:p>
        </w:tc>
        <w:tc>
          <w:tcPr>
            <w:tcW w:w="584" w:type="pct"/>
            <w:vAlign w:val="center"/>
          </w:tcPr>
          <w:p w14:paraId="33F0B50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c>
          <w:tcPr>
            <w:tcW w:w="795" w:type="pct"/>
            <w:vAlign w:val="center"/>
          </w:tcPr>
          <w:p w14:paraId="385636B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4C9FF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7D6F1414">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氰化物</w:t>
            </w:r>
          </w:p>
        </w:tc>
        <w:tc>
          <w:tcPr>
            <w:tcW w:w="730" w:type="pct"/>
            <w:vAlign w:val="bottom"/>
          </w:tcPr>
          <w:p w14:paraId="12491AC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0.002L</w:t>
            </w:r>
          </w:p>
        </w:tc>
        <w:tc>
          <w:tcPr>
            <w:tcW w:w="667" w:type="pct"/>
            <w:vAlign w:val="bottom"/>
          </w:tcPr>
          <w:p w14:paraId="025BA56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0.002L</w:t>
            </w:r>
          </w:p>
        </w:tc>
        <w:tc>
          <w:tcPr>
            <w:tcW w:w="613" w:type="pct"/>
            <w:vAlign w:val="bottom"/>
          </w:tcPr>
          <w:p w14:paraId="11A3FCD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0.002L</w:t>
            </w:r>
          </w:p>
        </w:tc>
        <w:tc>
          <w:tcPr>
            <w:tcW w:w="637" w:type="pct"/>
            <w:vAlign w:val="bottom"/>
          </w:tcPr>
          <w:p w14:paraId="75481B9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06C4699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w:t>
            </w:r>
          </w:p>
        </w:tc>
        <w:tc>
          <w:tcPr>
            <w:tcW w:w="795" w:type="pct"/>
            <w:vAlign w:val="center"/>
          </w:tcPr>
          <w:p w14:paraId="2F9761B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378AB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7A79B976">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氟化物</w:t>
            </w:r>
          </w:p>
        </w:tc>
        <w:tc>
          <w:tcPr>
            <w:tcW w:w="730" w:type="pct"/>
            <w:vAlign w:val="bottom"/>
          </w:tcPr>
          <w:p w14:paraId="264EA03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0.47</w:t>
            </w:r>
          </w:p>
        </w:tc>
        <w:tc>
          <w:tcPr>
            <w:tcW w:w="667" w:type="pct"/>
            <w:vAlign w:val="bottom"/>
          </w:tcPr>
          <w:p w14:paraId="032D9A8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0.12</w:t>
            </w:r>
          </w:p>
        </w:tc>
        <w:tc>
          <w:tcPr>
            <w:tcW w:w="613" w:type="pct"/>
            <w:vAlign w:val="bottom"/>
          </w:tcPr>
          <w:p w14:paraId="667A112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0.28</w:t>
            </w:r>
          </w:p>
        </w:tc>
        <w:tc>
          <w:tcPr>
            <w:tcW w:w="637" w:type="pct"/>
            <w:vAlign w:val="bottom"/>
          </w:tcPr>
          <w:p w14:paraId="782136F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0.14</w:t>
            </w:r>
          </w:p>
        </w:tc>
        <w:tc>
          <w:tcPr>
            <w:tcW w:w="584" w:type="pct"/>
            <w:vAlign w:val="center"/>
          </w:tcPr>
          <w:p w14:paraId="094070B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100%</w:t>
            </w:r>
          </w:p>
        </w:tc>
        <w:tc>
          <w:tcPr>
            <w:tcW w:w="795" w:type="pct"/>
            <w:vAlign w:val="center"/>
          </w:tcPr>
          <w:p w14:paraId="4DE4BE3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06D79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177E7B3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汞</w:t>
            </w:r>
          </w:p>
        </w:tc>
        <w:tc>
          <w:tcPr>
            <w:tcW w:w="730" w:type="pct"/>
            <w:vAlign w:val="bottom"/>
          </w:tcPr>
          <w:p w14:paraId="13DB7A3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0.00004L</w:t>
            </w:r>
          </w:p>
        </w:tc>
        <w:tc>
          <w:tcPr>
            <w:tcW w:w="667" w:type="pct"/>
            <w:vAlign w:val="center"/>
          </w:tcPr>
          <w:p w14:paraId="6A1FA87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0.00004L</w:t>
            </w:r>
          </w:p>
        </w:tc>
        <w:tc>
          <w:tcPr>
            <w:tcW w:w="613" w:type="pct"/>
            <w:vAlign w:val="center"/>
          </w:tcPr>
          <w:p w14:paraId="2D37E8F0">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0.00004L</w:t>
            </w:r>
          </w:p>
        </w:tc>
        <w:tc>
          <w:tcPr>
            <w:tcW w:w="637" w:type="pct"/>
            <w:vAlign w:val="center"/>
          </w:tcPr>
          <w:p w14:paraId="7261A19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6B7A84A6">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w:t>
            </w:r>
          </w:p>
        </w:tc>
        <w:tc>
          <w:tcPr>
            <w:tcW w:w="795" w:type="pct"/>
            <w:vAlign w:val="center"/>
          </w:tcPr>
          <w:p w14:paraId="59C2DFF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6D5B1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4F3458E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砷</w:t>
            </w:r>
          </w:p>
        </w:tc>
        <w:tc>
          <w:tcPr>
            <w:tcW w:w="730" w:type="pct"/>
            <w:vAlign w:val="bottom"/>
          </w:tcPr>
          <w:p w14:paraId="18C2181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0.0003L</w:t>
            </w:r>
          </w:p>
        </w:tc>
        <w:tc>
          <w:tcPr>
            <w:tcW w:w="667" w:type="pct"/>
            <w:vAlign w:val="center"/>
          </w:tcPr>
          <w:p w14:paraId="2C2F1FC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0.0003L</w:t>
            </w:r>
          </w:p>
        </w:tc>
        <w:tc>
          <w:tcPr>
            <w:tcW w:w="613" w:type="pct"/>
            <w:vAlign w:val="center"/>
          </w:tcPr>
          <w:p w14:paraId="639152E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0.0003L</w:t>
            </w:r>
          </w:p>
        </w:tc>
        <w:tc>
          <w:tcPr>
            <w:tcW w:w="637" w:type="pct"/>
            <w:vAlign w:val="center"/>
          </w:tcPr>
          <w:p w14:paraId="5FC7E6B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0027AB6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c>
          <w:tcPr>
            <w:tcW w:w="795" w:type="pct"/>
            <w:vAlign w:val="center"/>
          </w:tcPr>
          <w:p w14:paraId="70EC234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19A13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0" w:type="pct"/>
            <w:vAlign w:val="center"/>
          </w:tcPr>
          <w:p w14:paraId="6BB2004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镉</w:t>
            </w:r>
          </w:p>
        </w:tc>
        <w:tc>
          <w:tcPr>
            <w:tcW w:w="730" w:type="pct"/>
            <w:vAlign w:val="bottom"/>
          </w:tcPr>
          <w:p w14:paraId="05EC319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0.0005L</w:t>
            </w:r>
          </w:p>
        </w:tc>
        <w:tc>
          <w:tcPr>
            <w:tcW w:w="667" w:type="pct"/>
            <w:vAlign w:val="bottom"/>
          </w:tcPr>
          <w:p w14:paraId="5BE3993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0.0005L</w:t>
            </w:r>
          </w:p>
        </w:tc>
        <w:tc>
          <w:tcPr>
            <w:tcW w:w="613" w:type="pct"/>
            <w:vAlign w:val="bottom"/>
          </w:tcPr>
          <w:p w14:paraId="35BAEA7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0.0005L</w:t>
            </w:r>
          </w:p>
        </w:tc>
        <w:tc>
          <w:tcPr>
            <w:tcW w:w="637" w:type="pct"/>
            <w:vAlign w:val="center"/>
          </w:tcPr>
          <w:p w14:paraId="40F7C34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45CF7CA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w:t>
            </w:r>
          </w:p>
        </w:tc>
        <w:tc>
          <w:tcPr>
            <w:tcW w:w="795" w:type="pct"/>
            <w:vAlign w:val="center"/>
          </w:tcPr>
          <w:p w14:paraId="5EBB0A6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4D9B5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7C642E10">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六价铬</w:t>
            </w:r>
          </w:p>
        </w:tc>
        <w:tc>
          <w:tcPr>
            <w:tcW w:w="730" w:type="pct"/>
            <w:vAlign w:val="bottom"/>
          </w:tcPr>
          <w:p w14:paraId="42093E6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0.004L</w:t>
            </w:r>
          </w:p>
        </w:tc>
        <w:tc>
          <w:tcPr>
            <w:tcW w:w="667" w:type="pct"/>
            <w:vAlign w:val="bottom"/>
          </w:tcPr>
          <w:p w14:paraId="0BD2155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0.004L</w:t>
            </w:r>
          </w:p>
        </w:tc>
        <w:tc>
          <w:tcPr>
            <w:tcW w:w="613" w:type="pct"/>
            <w:vAlign w:val="bottom"/>
          </w:tcPr>
          <w:p w14:paraId="6AF9382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0.004L</w:t>
            </w:r>
          </w:p>
        </w:tc>
        <w:tc>
          <w:tcPr>
            <w:tcW w:w="637" w:type="pct"/>
            <w:vAlign w:val="center"/>
          </w:tcPr>
          <w:p w14:paraId="50CD6B4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2D5AAD40">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c>
          <w:tcPr>
            <w:tcW w:w="795" w:type="pct"/>
            <w:vAlign w:val="center"/>
          </w:tcPr>
          <w:p w14:paraId="6D81CEB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1C0E1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bottom"/>
          </w:tcPr>
          <w:p w14:paraId="740A0330">
            <w:pPr>
              <w:pStyle w:val="8"/>
              <w:suppressLineNumbers w:val="0"/>
              <w:bidi w:val="0"/>
              <w:spacing w:before="0" w:beforeAutospacing="0" w:after="0" w:afterAutospacing="0"/>
              <w:ind w:left="0" w:right="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锌</w:t>
            </w:r>
          </w:p>
        </w:tc>
        <w:tc>
          <w:tcPr>
            <w:tcW w:w="730" w:type="pct"/>
            <w:vAlign w:val="bottom"/>
          </w:tcPr>
          <w:p w14:paraId="45525E0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0.05L</w:t>
            </w:r>
          </w:p>
        </w:tc>
        <w:tc>
          <w:tcPr>
            <w:tcW w:w="667" w:type="pct"/>
            <w:vAlign w:val="bottom"/>
          </w:tcPr>
          <w:p w14:paraId="0CBD91DE">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en-US"/>
              </w:rPr>
            </w:pPr>
            <w:r>
              <w:rPr>
                <w:rFonts w:hint="default" w:ascii="Times New Roman" w:hAnsi="Times New Roman" w:eastAsia="宋体" w:cs="Times New Roman"/>
                <w:highlight w:val="none"/>
                <w:lang w:val="en-US" w:eastAsia="zh-CN"/>
              </w:rPr>
              <w:t>0.05L</w:t>
            </w:r>
          </w:p>
        </w:tc>
        <w:tc>
          <w:tcPr>
            <w:tcW w:w="613" w:type="pct"/>
            <w:vAlign w:val="bottom"/>
          </w:tcPr>
          <w:p w14:paraId="563DDFF7">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en-US"/>
              </w:rPr>
            </w:pPr>
            <w:r>
              <w:rPr>
                <w:rFonts w:hint="default" w:ascii="Times New Roman" w:hAnsi="Times New Roman" w:eastAsia="宋体" w:cs="Times New Roman"/>
                <w:highlight w:val="none"/>
                <w:lang w:val="en-US" w:eastAsia="zh-CN"/>
              </w:rPr>
              <w:t>0.05L</w:t>
            </w:r>
          </w:p>
        </w:tc>
        <w:tc>
          <w:tcPr>
            <w:tcW w:w="637" w:type="pct"/>
            <w:vAlign w:val="center"/>
          </w:tcPr>
          <w:p w14:paraId="20496E8D">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6D9D487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c>
          <w:tcPr>
            <w:tcW w:w="795" w:type="pct"/>
            <w:vAlign w:val="center"/>
          </w:tcPr>
          <w:p w14:paraId="7EF6986A">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293FE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bottom"/>
          </w:tcPr>
          <w:p w14:paraId="28CBA868">
            <w:pPr>
              <w:pStyle w:val="8"/>
              <w:suppressLineNumbers w:val="0"/>
              <w:bidi w:val="0"/>
              <w:spacing w:before="0" w:beforeAutospacing="0" w:after="0" w:afterAutospacing="0"/>
              <w:ind w:left="0" w:right="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阴离子表面活性剂</w:t>
            </w:r>
          </w:p>
        </w:tc>
        <w:tc>
          <w:tcPr>
            <w:tcW w:w="730" w:type="pct"/>
            <w:vAlign w:val="center"/>
          </w:tcPr>
          <w:p w14:paraId="509098F1">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0.050L</w:t>
            </w:r>
          </w:p>
        </w:tc>
        <w:tc>
          <w:tcPr>
            <w:tcW w:w="667" w:type="pct"/>
            <w:vAlign w:val="center"/>
          </w:tcPr>
          <w:p w14:paraId="1401DD5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en-US"/>
              </w:rPr>
            </w:pPr>
            <w:r>
              <w:rPr>
                <w:rFonts w:hint="default" w:ascii="Times New Roman" w:hAnsi="Times New Roman" w:eastAsia="宋体" w:cs="Times New Roman"/>
                <w:highlight w:val="none"/>
                <w:lang w:val="en-US" w:eastAsia="zh-CN"/>
              </w:rPr>
              <w:t>0.050L</w:t>
            </w:r>
          </w:p>
        </w:tc>
        <w:tc>
          <w:tcPr>
            <w:tcW w:w="613" w:type="pct"/>
            <w:vAlign w:val="center"/>
          </w:tcPr>
          <w:p w14:paraId="427CE85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en-US"/>
              </w:rPr>
            </w:pPr>
            <w:r>
              <w:rPr>
                <w:rFonts w:hint="default" w:ascii="Times New Roman" w:hAnsi="Times New Roman" w:eastAsia="宋体" w:cs="Times New Roman"/>
                <w:highlight w:val="none"/>
                <w:lang w:val="en-US" w:eastAsia="zh-CN"/>
              </w:rPr>
              <w:t>0.050L</w:t>
            </w:r>
          </w:p>
        </w:tc>
        <w:tc>
          <w:tcPr>
            <w:tcW w:w="637" w:type="pct"/>
            <w:vAlign w:val="center"/>
          </w:tcPr>
          <w:p w14:paraId="596C2D72">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6D8AC2EA">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c>
          <w:tcPr>
            <w:tcW w:w="795" w:type="pct"/>
            <w:vAlign w:val="center"/>
          </w:tcPr>
          <w:p w14:paraId="5172254B">
            <w:pPr>
              <w:pStyle w:val="8"/>
              <w:suppressLineNumbers w:val="0"/>
              <w:bidi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5092D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0F30E5C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石油类</w:t>
            </w:r>
          </w:p>
        </w:tc>
        <w:tc>
          <w:tcPr>
            <w:tcW w:w="730" w:type="pct"/>
            <w:vAlign w:val="bottom"/>
          </w:tcPr>
          <w:p w14:paraId="38C6111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0.04</w:t>
            </w:r>
          </w:p>
        </w:tc>
        <w:tc>
          <w:tcPr>
            <w:tcW w:w="667" w:type="pct"/>
            <w:vAlign w:val="bottom"/>
          </w:tcPr>
          <w:p w14:paraId="3CFBC4A8">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0.03</w:t>
            </w:r>
          </w:p>
        </w:tc>
        <w:tc>
          <w:tcPr>
            <w:tcW w:w="613" w:type="pct"/>
            <w:vAlign w:val="bottom"/>
          </w:tcPr>
          <w:p w14:paraId="70F06939">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0.04 </w:t>
            </w:r>
          </w:p>
        </w:tc>
        <w:tc>
          <w:tcPr>
            <w:tcW w:w="637" w:type="pct"/>
            <w:vAlign w:val="bottom"/>
          </w:tcPr>
          <w:p w14:paraId="66E7CEE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0.00</w:t>
            </w:r>
          </w:p>
        </w:tc>
        <w:tc>
          <w:tcPr>
            <w:tcW w:w="584" w:type="pct"/>
            <w:vAlign w:val="center"/>
          </w:tcPr>
          <w:p w14:paraId="2A7CCD9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c>
          <w:tcPr>
            <w:tcW w:w="795" w:type="pct"/>
            <w:vAlign w:val="center"/>
          </w:tcPr>
          <w:p w14:paraId="6EAAAF1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r w14:paraId="4FC05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970" w:type="pct"/>
            <w:vAlign w:val="center"/>
          </w:tcPr>
          <w:p w14:paraId="6B7B4333">
            <w:pPr>
              <w:pStyle w:val="8"/>
              <w:suppressLineNumbers w:val="0"/>
              <w:bidi w:val="0"/>
              <w:spacing w:before="0" w:beforeAutospacing="0" w:after="0" w:afterAutospacing="0"/>
              <w:ind w:left="0" w:right="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铅</w:t>
            </w:r>
          </w:p>
        </w:tc>
        <w:tc>
          <w:tcPr>
            <w:tcW w:w="730" w:type="pct"/>
            <w:vAlign w:val="bottom"/>
          </w:tcPr>
          <w:p w14:paraId="33774E9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0.0025L</w:t>
            </w:r>
          </w:p>
        </w:tc>
        <w:tc>
          <w:tcPr>
            <w:tcW w:w="667" w:type="pct"/>
            <w:vAlign w:val="center"/>
          </w:tcPr>
          <w:p w14:paraId="3B8B161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en-US"/>
              </w:rPr>
            </w:pPr>
            <w:r>
              <w:rPr>
                <w:rFonts w:hint="default" w:ascii="Times New Roman" w:hAnsi="Times New Roman" w:eastAsia="宋体" w:cs="Times New Roman"/>
                <w:highlight w:val="none"/>
                <w:lang w:val="en-US" w:eastAsia="zh-CN"/>
              </w:rPr>
              <w:t>0.0025L</w:t>
            </w:r>
          </w:p>
        </w:tc>
        <w:tc>
          <w:tcPr>
            <w:tcW w:w="613" w:type="pct"/>
            <w:vAlign w:val="center"/>
          </w:tcPr>
          <w:p w14:paraId="5845A00F">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en-US"/>
              </w:rPr>
            </w:pPr>
            <w:r>
              <w:rPr>
                <w:rFonts w:hint="default" w:ascii="Times New Roman" w:hAnsi="Times New Roman" w:eastAsia="宋体" w:cs="Times New Roman"/>
                <w:highlight w:val="none"/>
                <w:lang w:val="en-US" w:eastAsia="zh-CN"/>
              </w:rPr>
              <w:t>0.0025L</w:t>
            </w:r>
          </w:p>
        </w:tc>
        <w:tc>
          <w:tcPr>
            <w:tcW w:w="637" w:type="pct"/>
            <w:vAlign w:val="center"/>
          </w:tcPr>
          <w:p w14:paraId="2B9DAE53">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584" w:type="pct"/>
            <w:vAlign w:val="center"/>
          </w:tcPr>
          <w:p w14:paraId="6549827B">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c>
          <w:tcPr>
            <w:tcW w:w="795" w:type="pct"/>
            <w:vAlign w:val="center"/>
          </w:tcPr>
          <w:p w14:paraId="5AE0DD95">
            <w:pPr>
              <w:pStyle w:val="8"/>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0%</w:t>
            </w:r>
          </w:p>
        </w:tc>
      </w:tr>
    </w:tbl>
    <w:p w14:paraId="0B1FED5D">
      <w:pPr>
        <w:pStyle w:val="7"/>
        <w:bidi w:val="0"/>
        <w:rPr>
          <w:highlight w:val="none"/>
        </w:rPr>
      </w:pPr>
      <w:r>
        <w:rPr>
          <w:highlight w:val="none"/>
        </w:rPr>
        <w:t>表4-2-</w:t>
      </w:r>
      <w:r>
        <w:rPr>
          <w:rFonts w:hint="eastAsia"/>
          <w:highlight w:val="none"/>
          <w:lang w:val="en-US" w:eastAsia="zh-CN"/>
        </w:rPr>
        <w:t>7</w:t>
      </w:r>
      <w:r>
        <w:rPr>
          <w:highlight w:val="none"/>
        </w:rPr>
        <w:t>地下水监测评价成果表</w:t>
      </w:r>
    </w:p>
    <w:tbl>
      <w:tblPr>
        <w:tblStyle w:val="4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798"/>
        <w:gridCol w:w="813"/>
        <w:gridCol w:w="814"/>
        <w:gridCol w:w="814"/>
        <w:gridCol w:w="829"/>
        <w:gridCol w:w="837"/>
        <w:gridCol w:w="1136"/>
        <w:gridCol w:w="1134"/>
        <w:gridCol w:w="1128"/>
      </w:tblGrid>
      <w:tr w14:paraId="45C99D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23" w:hRule="atLeast"/>
          <w:jc w:val="center"/>
        </w:trPr>
        <w:tc>
          <w:tcPr>
            <w:tcW w:w="481" w:type="pct"/>
            <w:vMerge w:val="restart"/>
            <w:vAlign w:val="center"/>
          </w:tcPr>
          <w:p w14:paraId="4DF00894">
            <w:pPr>
              <w:pStyle w:val="8"/>
              <w:suppressLineNumbers w:val="0"/>
              <w:bidi w:val="0"/>
              <w:spacing w:before="0" w:beforeAutospacing="0" w:after="0" w:afterAutospacing="0"/>
              <w:ind w:left="0" w:right="0"/>
              <w:rPr>
                <w:rFonts w:hint="default"/>
                <w:highlight w:val="none"/>
              </w:rPr>
            </w:pPr>
            <w:r>
              <w:rPr>
                <w:rFonts w:hint="default"/>
                <w:highlight w:val="none"/>
              </w:rPr>
              <w:t>评价因子</w:t>
            </w:r>
          </w:p>
        </w:tc>
        <w:tc>
          <w:tcPr>
            <w:tcW w:w="3840" w:type="pct"/>
            <w:gridSpan w:val="7"/>
            <w:vAlign w:val="center"/>
          </w:tcPr>
          <w:p w14:paraId="61F99205">
            <w:pPr>
              <w:pStyle w:val="8"/>
              <w:suppressLineNumbers w:val="0"/>
              <w:bidi w:val="0"/>
              <w:spacing w:before="0" w:beforeAutospacing="0" w:after="0" w:afterAutospacing="0"/>
              <w:ind w:left="0" w:right="0"/>
              <w:rPr>
                <w:rFonts w:hint="default"/>
                <w:highlight w:val="none"/>
              </w:rPr>
            </w:pPr>
            <w:r>
              <w:rPr>
                <w:rFonts w:hint="default"/>
                <w:highlight w:val="none"/>
              </w:rPr>
              <w:t>监测点位</w:t>
            </w:r>
          </w:p>
        </w:tc>
        <w:tc>
          <w:tcPr>
            <w:tcW w:w="678" w:type="pct"/>
            <w:vMerge w:val="restart"/>
            <w:vAlign w:val="center"/>
          </w:tcPr>
          <w:p w14:paraId="13F1381E">
            <w:pPr>
              <w:pStyle w:val="8"/>
              <w:suppressLineNumbers w:val="0"/>
              <w:bidi w:val="0"/>
              <w:spacing w:before="0" w:beforeAutospacing="0" w:after="0" w:afterAutospacing="0"/>
              <w:ind w:left="0" w:right="0"/>
              <w:rPr>
                <w:rFonts w:hint="default"/>
                <w:highlight w:val="none"/>
              </w:rPr>
            </w:pPr>
            <w:r>
              <w:rPr>
                <w:rFonts w:hint="default"/>
                <w:highlight w:val="none"/>
              </w:rPr>
              <w:t>标准值（mg/L）</w:t>
            </w:r>
          </w:p>
        </w:tc>
      </w:tr>
      <w:tr w14:paraId="1C064B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43" w:hRule="atLeast"/>
          <w:jc w:val="center"/>
        </w:trPr>
        <w:tc>
          <w:tcPr>
            <w:tcW w:w="481" w:type="pct"/>
            <w:vMerge w:val="continue"/>
            <w:vAlign w:val="center"/>
          </w:tcPr>
          <w:p w14:paraId="5493AFD8">
            <w:pPr>
              <w:pStyle w:val="8"/>
              <w:suppressLineNumbers w:val="0"/>
              <w:bidi w:val="0"/>
              <w:spacing w:before="0" w:beforeAutospacing="0" w:after="0" w:afterAutospacing="0"/>
              <w:ind w:left="0" w:right="0"/>
              <w:rPr>
                <w:rFonts w:hint="default"/>
                <w:highlight w:val="none"/>
              </w:rPr>
            </w:pPr>
          </w:p>
        </w:tc>
        <w:tc>
          <w:tcPr>
            <w:tcW w:w="490" w:type="pct"/>
            <w:vAlign w:val="center"/>
          </w:tcPr>
          <w:p w14:paraId="5984AD8F">
            <w:pPr>
              <w:keepNext w:val="0"/>
              <w:keepLines w:val="0"/>
              <w:suppressLineNumbers w:val="0"/>
              <w:wordWrap/>
              <w:adjustRightInd w:val="0"/>
              <w:snapToGrid w:val="0"/>
              <w:spacing w:before="0" w:beforeAutospacing="0" w:after="0" w:afterAutospacing="0" w:line="240" w:lineRule="auto"/>
              <w:ind w:left="0" w:right="0" w:firstLine="0" w:firstLineChars="0"/>
              <w:jc w:val="center"/>
              <w:rPr>
                <w:rFonts w:hint="eastAsia" w:ascii="宋体" w:hAnsi="宋体" w:eastAsia="宋体" w:cs="Calibri"/>
                <w:b w:val="0"/>
                <w:bCs w:val="0"/>
                <w:sz w:val="21"/>
                <w:szCs w:val="21"/>
                <w:highlight w:val="none"/>
              </w:rPr>
            </w:pPr>
            <w:r>
              <w:rPr>
                <w:rFonts w:hint="eastAsia" w:ascii="Times New Roman" w:hAnsi="Perpetua" w:eastAsia="宋体" w:cs="Times New Roman"/>
                <w:b w:val="0"/>
                <w:bCs w:val="0"/>
                <w:sz w:val="21"/>
                <w:szCs w:val="21"/>
                <w:highlight w:val="none"/>
              </w:rPr>
              <w:t>厂址内</w:t>
            </w:r>
          </w:p>
          <w:p w14:paraId="1D9D763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highlight w:val="none"/>
              </w:rPr>
            </w:pPr>
            <w:r>
              <w:rPr>
                <w:rFonts w:hint="eastAsia" w:ascii="宋体" w:hAnsi="宋体" w:eastAsia="宋体" w:cs="Calibri"/>
                <w:b w:val="0"/>
                <w:bCs w:val="0"/>
                <w:sz w:val="21"/>
                <w:szCs w:val="21"/>
                <w:highlight w:val="none"/>
              </w:rPr>
              <w:t>☆</w:t>
            </w:r>
            <w:r>
              <w:rPr>
                <w:rFonts w:hint="eastAsia" w:ascii="Times New Roman" w:hAnsi="Times New Roman" w:eastAsia="宋体" w:cs="Times New Roman"/>
                <w:b w:val="0"/>
                <w:bCs w:val="0"/>
                <w:color w:val="000000"/>
                <w:sz w:val="21"/>
                <w:szCs w:val="21"/>
                <w:highlight w:val="none"/>
              </w:rPr>
              <w:t>1</w:t>
            </w:r>
          </w:p>
        </w:tc>
        <w:tc>
          <w:tcPr>
            <w:tcW w:w="490" w:type="pct"/>
            <w:vAlign w:val="center"/>
          </w:tcPr>
          <w:p w14:paraId="72EC866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highlight w:val="none"/>
              </w:rPr>
            </w:pPr>
            <w:r>
              <w:rPr>
                <w:rFonts w:hint="eastAsia" w:ascii="Times New Roman" w:hAnsi="Perpetua" w:eastAsia="宋体" w:cs="Times New Roman"/>
                <w:b w:val="0"/>
                <w:bCs w:val="0"/>
                <w:sz w:val="21"/>
                <w:szCs w:val="21"/>
                <w:highlight w:val="none"/>
              </w:rPr>
              <w:t>厂址下游</w:t>
            </w:r>
            <w:r>
              <w:rPr>
                <w:rFonts w:hint="default" w:ascii="Times New Roman" w:hAnsi="宋体" w:eastAsia="宋体" w:cs="Times New Roman"/>
                <w:b w:val="0"/>
                <w:bCs w:val="0"/>
                <w:sz w:val="21"/>
                <w:szCs w:val="21"/>
                <w:highlight w:val="none"/>
              </w:rPr>
              <w:t>☆</w:t>
            </w:r>
            <w:r>
              <w:rPr>
                <w:rFonts w:hint="default" w:ascii="Times New Roman" w:hAnsi="Times New Roman" w:eastAsia="宋体" w:cs="Times New Roman"/>
                <w:b w:val="0"/>
                <w:bCs w:val="0"/>
                <w:sz w:val="21"/>
                <w:szCs w:val="21"/>
                <w:highlight w:val="none"/>
              </w:rPr>
              <w:t>2</w:t>
            </w:r>
          </w:p>
        </w:tc>
        <w:tc>
          <w:tcPr>
            <w:tcW w:w="490" w:type="pct"/>
            <w:vAlign w:val="center"/>
          </w:tcPr>
          <w:p w14:paraId="679C2B2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highlight w:val="none"/>
              </w:rPr>
            </w:pPr>
            <w:r>
              <w:rPr>
                <w:rFonts w:hint="eastAsia" w:ascii="Times New Roman" w:hAnsi="Perpetua" w:eastAsia="宋体" w:cs="Times New Roman"/>
                <w:b w:val="0"/>
                <w:bCs w:val="0"/>
                <w:sz w:val="21"/>
                <w:szCs w:val="21"/>
                <w:highlight w:val="none"/>
              </w:rPr>
              <w:t>厂址侧向</w:t>
            </w:r>
            <w:r>
              <w:rPr>
                <w:rFonts w:hint="default" w:ascii="Times New Roman" w:hAnsi="宋体" w:eastAsia="宋体" w:cs="Times New Roman"/>
                <w:b w:val="0"/>
                <w:bCs w:val="0"/>
                <w:sz w:val="21"/>
                <w:szCs w:val="21"/>
                <w:highlight w:val="none"/>
              </w:rPr>
              <w:t>☆</w:t>
            </w:r>
            <w:r>
              <w:rPr>
                <w:rFonts w:hint="default" w:ascii="Times New Roman" w:hAnsi="Times New Roman" w:eastAsia="宋体" w:cs="Times New Roman"/>
                <w:b w:val="0"/>
                <w:bCs w:val="0"/>
                <w:sz w:val="21"/>
                <w:szCs w:val="21"/>
                <w:highlight w:val="none"/>
              </w:rPr>
              <w:t>3</w:t>
            </w:r>
          </w:p>
        </w:tc>
        <w:tc>
          <w:tcPr>
            <w:tcW w:w="499" w:type="pct"/>
            <w:vAlign w:val="center"/>
          </w:tcPr>
          <w:p w14:paraId="1F8F8F4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highlight w:val="none"/>
              </w:rPr>
            </w:pPr>
            <w:r>
              <w:rPr>
                <w:rFonts w:hint="eastAsia" w:ascii="Times New Roman" w:hAnsi="Perpetua" w:eastAsia="宋体" w:cs="Times New Roman"/>
                <w:b w:val="0"/>
                <w:bCs w:val="0"/>
                <w:sz w:val="21"/>
                <w:szCs w:val="21"/>
                <w:highlight w:val="none"/>
              </w:rPr>
              <w:t>厂址上游</w:t>
            </w:r>
            <w:r>
              <w:rPr>
                <w:rFonts w:hint="default" w:ascii="Times New Roman" w:hAnsi="宋体" w:eastAsia="宋体" w:cs="Times New Roman"/>
                <w:b w:val="0"/>
                <w:bCs w:val="0"/>
                <w:sz w:val="21"/>
                <w:szCs w:val="21"/>
                <w:highlight w:val="none"/>
              </w:rPr>
              <w:t>☆</w:t>
            </w:r>
            <w:r>
              <w:rPr>
                <w:rFonts w:hint="default" w:ascii="Times New Roman" w:hAnsi="Times New Roman" w:eastAsia="宋体" w:cs="Times New Roman"/>
                <w:b w:val="0"/>
                <w:bCs w:val="0"/>
                <w:sz w:val="21"/>
                <w:szCs w:val="21"/>
                <w:highlight w:val="none"/>
              </w:rPr>
              <w:t>4</w:t>
            </w:r>
          </w:p>
        </w:tc>
        <w:tc>
          <w:tcPr>
            <w:tcW w:w="504" w:type="pct"/>
            <w:vAlign w:val="center"/>
          </w:tcPr>
          <w:p w14:paraId="1E9A358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highlight w:val="none"/>
              </w:rPr>
            </w:pPr>
            <w:r>
              <w:rPr>
                <w:rFonts w:hint="eastAsia" w:ascii="Times New Roman" w:hAnsi="Perpetua" w:eastAsia="宋体" w:cs="Times New Roman"/>
                <w:b w:val="0"/>
                <w:bCs w:val="0"/>
                <w:sz w:val="21"/>
                <w:szCs w:val="21"/>
                <w:highlight w:val="none"/>
              </w:rPr>
              <w:t>厂址侧游</w:t>
            </w:r>
            <w:r>
              <w:rPr>
                <w:rFonts w:hint="default" w:ascii="Times New Roman" w:hAnsi="宋体" w:eastAsia="宋体" w:cs="Times New Roman"/>
                <w:b w:val="0"/>
                <w:bCs w:val="0"/>
                <w:sz w:val="21"/>
                <w:szCs w:val="21"/>
                <w:highlight w:val="none"/>
              </w:rPr>
              <w:t>☆</w:t>
            </w:r>
            <w:r>
              <w:rPr>
                <w:rFonts w:hint="default" w:ascii="Times New Roman" w:hAnsi="Times New Roman" w:eastAsia="宋体" w:cs="Times New Roman"/>
                <w:b w:val="0"/>
                <w:bCs w:val="0"/>
                <w:sz w:val="21"/>
                <w:szCs w:val="21"/>
                <w:highlight w:val="none"/>
              </w:rPr>
              <w:t>5</w:t>
            </w:r>
          </w:p>
        </w:tc>
        <w:tc>
          <w:tcPr>
            <w:tcW w:w="684" w:type="pct"/>
            <w:vAlign w:val="center"/>
          </w:tcPr>
          <w:p w14:paraId="476E31E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highlight w:val="none"/>
              </w:rPr>
            </w:pPr>
            <w:r>
              <w:rPr>
                <w:rFonts w:hint="eastAsia" w:ascii="Times New Roman" w:hAnsi="Perpetua" w:eastAsia="宋体" w:cs="Times New Roman"/>
                <w:b w:val="0"/>
                <w:bCs w:val="0"/>
                <w:sz w:val="21"/>
                <w:szCs w:val="21"/>
                <w:highlight w:val="none"/>
              </w:rPr>
              <w:t>厂址上游</w:t>
            </w:r>
            <w:r>
              <w:rPr>
                <w:rFonts w:hint="default" w:ascii="Times New Roman" w:hAnsi="宋体" w:eastAsia="宋体" w:cs="Times New Roman"/>
                <w:b w:val="0"/>
                <w:bCs w:val="0"/>
                <w:sz w:val="21"/>
                <w:szCs w:val="21"/>
                <w:highlight w:val="none"/>
              </w:rPr>
              <w:t>☆</w:t>
            </w:r>
            <w:r>
              <w:rPr>
                <w:rFonts w:hint="eastAsia" w:ascii="Times New Roman" w:hAnsi="Times New Roman" w:eastAsia="宋体" w:cs="Times New Roman"/>
                <w:b w:val="0"/>
                <w:bCs w:val="0"/>
                <w:sz w:val="21"/>
                <w:szCs w:val="21"/>
                <w:highlight w:val="none"/>
              </w:rPr>
              <w:t>6</w:t>
            </w:r>
          </w:p>
        </w:tc>
        <w:tc>
          <w:tcPr>
            <w:tcW w:w="681" w:type="pct"/>
            <w:vAlign w:val="center"/>
          </w:tcPr>
          <w:p w14:paraId="2018798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highlight w:val="none"/>
              </w:rPr>
            </w:pPr>
            <w:r>
              <w:rPr>
                <w:rFonts w:hint="eastAsia" w:ascii="Times New Roman" w:hAnsi="Perpetua" w:eastAsia="宋体" w:cs="Times New Roman"/>
                <w:b w:val="0"/>
                <w:bCs w:val="0"/>
                <w:sz w:val="21"/>
                <w:szCs w:val="21"/>
                <w:highlight w:val="none"/>
              </w:rPr>
              <w:t>厂址下游</w:t>
            </w:r>
            <w:r>
              <w:rPr>
                <w:rFonts w:hint="default" w:ascii="Times New Roman" w:hAnsi="宋体" w:eastAsia="宋体" w:cs="Times New Roman"/>
                <w:b w:val="0"/>
                <w:bCs w:val="0"/>
                <w:sz w:val="21"/>
                <w:szCs w:val="21"/>
                <w:highlight w:val="none"/>
              </w:rPr>
              <w:t>☆</w:t>
            </w:r>
            <w:r>
              <w:rPr>
                <w:rFonts w:hint="eastAsia" w:ascii="Times New Roman" w:hAnsi="Times New Roman" w:eastAsia="宋体" w:cs="Times New Roman"/>
                <w:b w:val="0"/>
                <w:bCs w:val="0"/>
                <w:sz w:val="21"/>
                <w:szCs w:val="21"/>
                <w:highlight w:val="none"/>
              </w:rPr>
              <w:t>7</w:t>
            </w:r>
          </w:p>
        </w:tc>
        <w:tc>
          <w:tcPr>
            <w:tcW w:w="678" w:type="pct"/>
            <w:vMerge w:val="continue"/>
            <w:vAlign w:val="center"/>
          </w:tcPr>
          <w:p w14:paraId="5737A3EF">
            <w:pPr>
              <w:pStyle w:val="8"/>
              <w:suppressLineNumbers w:val="0"/>
              <w:bidi w:val="0"/>
              <w:spacing w:before="0" w:beforeAutospacing="0" w:after="0" w:afterAutospacing="0"/>
              <w:ind w:left="0" w:right="0"/>
              <w:rPr>
                <w:rFonts w:hint="default"/>
                <w:highlight w:val="none"/>
              </w:rPr>
            </w:pPr>
          </w:p>
        </w:tc>
      </w:tr>
      <w:tr w14:paraId="2E5485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 w:hRule="atLeast"/>
          <w:jc w:val="center"/>
        </w:trPr>
        <w:tc>
          <w:tcPr>
            <w:tcW w:w="481" w:type="pct"/>
            <w:vAlign w:val="center"/>
          </w:tcPr>
          <w:p w14:paraId="3CA223F9">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en-US"/>
              </w:rPr>
              <w:t>钠</w:t>
            </w:r>
          </w:p>
        </w:tc>
        <w:tc>
          <w:tcPr>
            <w:tcW w:w="490" w:type="pct"/>
            <w:vAlign w:val="bottom"/>
          </w:tcPr>
          <w:p w14:paraId="2DA2E2C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0.06 </w:t>
            </w:r>
          </w:p>
        </w:tc>
        <w:tc>
          <w:tcPr>
            <w:tcW w:w="490" w:type="pct"/>
            <w:vAlign w:val="bottom"/>
          </w:tcPr>
          <w:p w14:paraId="351038F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0.05 </w:t>
            </w:r>
          </w:p>
        </w:tc>
        <w:tc>
          <w:tcPr>
            <w:tcW w:w="490" w:type="pct"/>
            <w:vAlign w:val="bottom"/>
          </w:tcPr>
          <w:p w14:paraId="783F95B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0.06 </w:t>
            </w:r>
          </w:p>
        </w:tc>
        <w:tc>
          <w:tcPr>
            <w:tcW w:w="499" w:type="pct"/>
            <w:vAlign w:val="bottom"/>
          </w:tcPr>
          <w:p w14:paraId="48883F0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0.05 </w:t>
            </w:r>
          </w:p>
        </w:tc>
        <w:tc>
          <w:tcPr>
            <w:tcW w:w="504" w:type="pct"/>
            <w:vAlign w:val="bottom"/>
          </w:tcPr>
          <w:p w14:paraId="3A217D2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0.05 </w:t>
            </w:r>
          </w:p>
        </w:tc>
        <w:tc>
          <w:tcPr>
            <w:tcW w:w="684" w:type="pct"/>
            <w:vAlign w:val="bottom"/>
          </w:tcPr>
          <w:p w14:paraId="2BC7740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0.05 </w:t>
            </w:r>
          </w:p>
        </w:tc>
        <w:tc>
          <w:tcPr>
            <w:tcW w:w="681" w:type="pct"/>
            <w:vAlign w:val="bottom"/>
          </w:tcPr>
          <w:p w14:paraId="2D75ED6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0.05 </w:t>
            </w:r>
          </w:p>
        </w:tc>
        <w:tc>
          <w:tcPr>
            <w:tcW w:w="678" w:type="pct"/>
            <w:vAlign w:val="center"/>
          </w:tcPr>
          <w:p w14:paraId="0D717997">
            <w:pPr>
              <w:pStyle w:val="8"/>
              <w:suppressLineNumbers w:val="0"/>
              <w:bidi w:val="0"/>
              <w:spacing w:before="0" w:beforeAutospacing="0" w:after="0" w:afterAutospacing="0"/>
              <w:ind w:left="0" w:right="0"/>
              <w:rPr>
                <w:rFonts w:hint="default"/>
                <w:highlight w:val="none"/>
              </w:rPr>
            </w:pPr>
            <w:r>
              <w:rPr>
                <w:rFonts w:hint="default"/>
                <w:highlight w:val="none"/>
                <w:lang w:val="en-US" w:eastAsia="en-US"/>
              </w:rPr>
              <w:t>200</w:t>
            </w:r>
          </w:p>
        </w:tc>
      </w:tr>
      <w:tr w14:paraId="3B9959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4383008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pH</w:t>
            </w:r>
          </w:p>
        </w:tc>
        <w:tc>
          <w:tcPr>
            <w:tcW w:w="490" w:type="pct"/>
            <w:vAlign w:val="bottom"/>
          </w:tcPr>
          <w:p w14:paraId="05C293E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1.00 </w:t>
            </w:r>
          </w:p>
        </w:tc>
        <w:tc>
          <w:tcPr>
            <w:tcW w:w="490" w:type="pct"/>
            <w:vAlign w:val="bottom"/>
          </w:tcPr>
          <w:p w14:paraId="551DEFE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0.91 </w:t>
            </w:r>
          </w:p>
        </w:tc>
        <w:tc>
          <w:tcPr>
            <w:tcW w:w="490" w:type="pct"/>
            <w:vAlign w:val="bottom"/>
          </w:tcPr>
          <w:p w14:paraId="6A07670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0.96 </w:t>
            </w:r>
          </w:p>
        </w:tc>
        <w:tc>
          <w:tcPr>
            <w:tcW w:w="499" w:type="pct"/>
            <w:vAlign w:val="bottom"/>
          </w:tcPr>
          <w:p w14:paraId="5B3F71A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0.95 </w:t>
            </w:r>
          </w:p>
        </w:tc>
        <w:tc>
          <w:tcPr>
            <w:tcW w:w="504" w:type="pct"/>
            <w:vAlign w:val="bottom"/>
          </w:tcPr>
          <w:p w14:paraId="5EAA4DC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0.99 </w:t>
            </w:r>
          </w:p>
        </w:tc>
        <w:tc>
          <w:tcPr>
            <w:tcW w:w="684" w:type="pct"/>
            <w:vAlign w:val="bottom"/>
          </w:tcPr>
          <w:p w14:paraId="53AFBF6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0.97 </w:t>
            </w:r>
          </w:p>
        </w:tc>
        <w:tc>
          <w:tcPr>
            <w:tcW w:w="681" w:type="pct"/>
            <w:vAlign w:val="bottom"/>
          </w:tcPr>
          <w:p w14:paraId="6302998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0.93 </w:t>
            </w:r>
          </w:p>
        </w:tc>
        <w:tc>
          <w:tcPr>
            <w:tcW w:w="678" w:type="pct"/>
            <w:vAlign w:val="center"/>
          </w:tcPr>
          <w:p w14:paraId="29A1A40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6.5-8.5</w:t>
            </w:r>
          </w:p>
        </w:tc>
      </w:tr>
      <w:tr w14:paraId="7901CF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9" w:hRule="atLeast"/>
          <w:jc w:val="center"/>
        </w:trPr>
        <w:tc>
          <w:tcPr>
            <w:tcW w:w="481" w:type="pct"/>
            <w:vAlign w:val="center"/>
          </w:tcPr>
          <w:p w14:paraId="5AE3429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总硬度</w:t>
            </w:r>
          </w:p>
        </w:tc>
        <w:tc>
          <w:tcPr>
            <w:tcW w:w="490" w:type="pct"/>
            <w:vAlign w:val="bottom"/>
          </w:tcPr>
          <w:p w14:paraId="21909D23">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0.45 </w:t>
            </w:r>
          </w:p>
        </w:tc>
        <w:tc>
          <w:tcPr>
            <w:tcW w:w="490" w:type="pct"/>
            <w:vAlign w:val="bottom"/>
          </w:tcPr>
          <w:p w14:paraId="101476C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0.64 </w:t>
            </w:r>
          </w:p>
        </w:tc>
        <w:tc>
          <w:tcPr>
            <w:tcW w:w="490" w:type="pct"/>
            <w:vAlign w:val="bottom"/>
          </w:tcPr>
          <w:p w14:paraId="2C07565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0.66 </w:t>
            </w:r>
          </w:p>
        </w:tc>
        <w:tc>
          <w:tcPr>
            <w:tcW w:w="499" w:type="pct"/>
            <w:vAlign w:val="bottom"/>
          </w:tcPr>
          <w:p w14:paraId="50B2782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0.62 </w:t>
            </w:r>
          </w:p>
        </w:tc>
        <w:tc>
          <w:tcPr>
            <w:tcW w:w="504" w:type="pct"/>
            <w:vAlign w:val="bottom"/>
          </w:tcPr>
          <w:p w14:paraId="5F3A40A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0.69 </w:t>
            </w:r>
          </w:p>
        </w:tc>
        <w:tc>
          <w:tcPr>
            <w:tcW w:w="684" w:type="pct"/>
            <w:vAlign w:val="bottom"/>
          </w:tcPr>
          <w:p w14:paraId="1B62A91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0.62 </w:t>
            </w:r>
          </w:p>
        </w:tc>
        <w:tc>
          <w:tcPr>
            <w:tcW w:w="681" w:type="pct"/>
            <w:vAlign w:val="bottom"/>
          </w:tcPr>
          <w:p w14:paraId="16C82BF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0.63 </w:t>
            </w:r>
          </w:p>
        </w:tc>
        <w:tc>
          <w:tcPr>
            <w:tcW w:w="678" w:type="pct"/>
            <w:vAlign w:val="center"/>
          </w:tcPr>
          <w:p w14:paraId="0C75295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450</w:t>
            </w:r>
          </w:p>
        </w:tc>
      </w:tr>
      <w:tr w14:paraId="170F32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4405781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溶解性总固体</w:t>
            </w:r>
          </w:p>
        </w:tc>
        <w:tc>
          <w:tcPr>
            <w:tcW w:w="490" w:type="pct"/>
            <w:vAlign w:val="bottom"/>
          </w:tcPr>
          <w:p w14:paraId="51BE82F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0.37 </w:t>
            </w:r>
          </w:p>
        </w:tc>
        <w:tc>
          <w:tcPr>
            <w:tcW w:w="490" w:type="pct"/>
            <w:vAlign w:val="bottom"/>
          </w:tcPr>
          <w:p w14:paraId="07117DE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0.34 </w:t>
            </w:r>
          </w:p>
        </w:tc>
        <w:tc>
          <w:tcPr>
            <w:tcW w:w="490" w:type="pct"/>
            <w:vAlign w:val="bottom"/>
          </w:tcPr>
          <w:p w14:paraId="0308E74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0.36 </w:t>
            </w:r>
          </w:p>
        </w:tc>
        <w:tc>
          <w:tcPr>
            <w:tcW w:w="499" w:type="pct"/>
            <w:vAlign w:val="bottom"/>
          </w:tcPr>
          <w:p w14:paraId="69794F9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0.37 </w:t>
            </w:r>
          </w:p>
        </w:tc>
        <w:tc>
          <w:tcPr>
            <w:tcW w:w="504" w:type="pct"/>
            <w:vAlign w:val="bottom"/>
          </w:tcPr>
          <w:p w14:paraId="43B2EA8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0.40 </w:t>
            </w:r>
          </w:p>
        </w:tc>
        <w:tc>
          <w:tcPr>
            <w:tcW w:w="684" w:type="pct"/>
            <w:vAlign w:val="bottom"/>
          </w:tcPr>
          <w:p w14:paraId="62A2DC8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0.34 </w:t>
            </w:r>
          </w:p>
        </w:tc>
        <w:tc>
          <w:tcPr>
            <w:tcW w:w="681" w:type="pct"/>
            <w:vAlign w:val="bottom"/>
          </w:tcPr>
          <w:p w14:paraId="7CDA481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0.37 </w:t>
            </w:r>
          </w:p>
        </w:tc>
        <w:tc>
          <w:tcPr>
            <w:tcW w:w="678" w:type="pct"/>
            <w:vAlign w:val="center"/>
          </w:tcPr>
          <w:p w14:paraId="60846D2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1000</w:t>
            </w:r>
          </w:p>
        </w:tc>
      </w:tr>
      <w:tr w14:paraId="253129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009D991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硫酸盐</w:t>
            </w:r>
          </w:p>
        </w:tc>
        <w:tc>
          <w:tcPr>
            <w:tcW w:w="490" w:type="pct"/>
            <w:vAlign w:val="bottom"/>
          </w:tcPr>
          <w:p w14:paraId="136EF13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0.20 </w:t>
            </w:r>
          </w:p>
        </w:tc>
        <w:tc>
          <w:tcPr>
            <w:tcW w:w="490" w:type="pct"/>
            <w:vAlign w:val="bottom"/>
          </w:tcPr>
          <w:p w14:paraId="4959B71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0.04 </w:t>
            </w:r>
          </w:p>
        </w:tc>
        <w:tc>
          <w:tcPr>
            <w:tcW w:w="490" w:type="pct"/>
            <w:vAlign w:val="bottom"/>
          </w:tcPr>
          <w:p w14:paraId="4C02F1A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499" w:type="pct"/>
            <w:vAlign w:val="bottom"/>
          </w:tcPr>
          <w:p w14:paraId="0078901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504" w:type="pct"/>
            <w:vAlign w:val="bottom"/>
          </w:tcPr>
          <w:p w14:paraId="632B021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684" w:type="pct"/>
            <w:vAlign w:val="bottom"/>
          </w:tcPr>
          <w:p w14:paraId="66C2563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681" w:type="pct"/>
            <w:vAlign w:val="bottom"/>
          </w:tcPr>
          <w:p w14:paraId="463547E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678" w:type="pct"/>
            <w:vAlign w:val="center"/>
          </w:tcPr>
          <w:p w14:paraId="582339A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250</w:t>
            </w:r>
          </w:p>
        </w:tc>
      </w:tr>
      <w:tr w14:paraId="48DEF5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4FAC059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氯化物</w:t>
            </w:r>
          </w:p>
        </w:tc>
        <w:tc>
          <w:tcPr>
            <w:tcW w:w="490" w:type="pct"/>
            <w:vAlign w:val="bottom"/>
          </w:tcPr>
          <w:p w14:paraId="632D886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0.12 </w:t>
            </w:r>
          </w:p>
        </w:tc>
        <w:tc>
          <w:tcPr>
            <w:tcW w:w="490" w:type="pct"/>
            <w:vAlign w:val="bottom"/>
          </w:tcPr>
          <w:p w14:paraId="2A134ED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490" w:type="pct"/>
            <w:vAlign w:val="bottom"/>
          </w:tcPr>
          <w:p w14:paraId="0F62635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499" w:type="pct"/>
            <w:vAlign w:val="bottom"/>
          </w:tcPr>
          <w:p w14:paraId="43D3213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504" w:type="pct"/>
            <w:vAlign w:val="bottom"/>
          </w:tcPr>
          <w:p w14:paraId="3E98CB0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684" w:type="pct"/>
            <w:vAlign w:val="bottom"/>
          </w:tcPr>
          <w:p w14:paraId="07ADD42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681" w:type="pct"/>
            <w:vAlign w:val="bottom"/>
          </w:tcPr>
          <w:p w14:paraId="0AAC1E1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678" w:type="pct"/>
            <w:vAlign w:val="center"/>
          </w:tcPr>
          <w:p w14:paraId="28F02E8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250</w:t>
            </w:r>
          </w:p>
        </w:tc>
      </w:tr>
      <w:tr w14:paraId="5440AE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4251111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铁</w:t>
            </w:r>
          </w:p>
        </w:tc>
        <w:tc>
          <w:tcPr>
            <w:tcW w:w="490" w:type="pct"/>
            <w:vAlign w:val="bottom"/>
          </w:tcPr>
          <w:p w14:paraId="7080A70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490" w:type="pct"/>
            <w:vAlign w:val="bottom"/>
          </w:tcPr>
          <w:p w14:paraId="2785A04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490" w:type="pct"/>
            <w:vAlign w:val="bottom"/>
          </w:tcPr>
          <w:p w14:paraId="08816DB3">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499" w:type="pct"/>
            <w:vAlign w:val="bottom"/>
          </w:tcPr>
          <w:p w14:paraId="70057BC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504" w:type="pct"/>
            <w:vAlign w:val="bottom"/>
          </w:tcPr>
          <w:p w14:paraId="2F60DE6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684" w:type="pct"/>
            <w:vAlign w:val="bottom"/>
          </w:tcPr>
          <w:p w14:paraId="0FB0711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681" w:type="pct"/>
            <w:vAlign w:val="bottom"/>
          </w:tcPr>
          <w:p w14:paraId="7DE0074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678" w:type="pct"/>
            <w:vAlign w:val="center"/>
          </w:tcPr>
          <w:p w14:paraId="1E410CE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0.3</w:t>
            </w:r>
          </w:p>
        </w:tc>
      </w:tr>
      <w:tr w14:paraId="04ACEE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47CD2E2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锰</w:t>
            </w:r>
          </w:p>
        </w:tc>
        <w:tc>
          <w:tcPr>
            <w:tcW w:w="490" w:type="pct"/>
            <w:vAlign w:val="center"/>
          </w:tcPr>
          <w:p w14:paraId="0380CFD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未检出</w:t>
            </w:r>
          </w:p>
        </w:tc>
        <w:tc>
          <w:tcPr>
            <w:tcW w:w="490" w:type="pct"/>
            <w:vAlign w:val="bottom"/>
          </w:tcPr>
          <w:p w14:paraId="0BD7FE1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0.80 </w:t>
            </w:r>
          </w:p>
        </w:tc>
        <w:tc>
          <w:tcPr>
            <w:tcW w:w="490" w:type="pct"/>
            <w:vAlign w:val="bottom"/>
          </w:tcPr>
          <w:p w14:paraId="15A9260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0.50 </w:t>
            </w:r>
          </w:p>
        </w:tc>
        <w:tc>
          <w:tcPr>
            <w:tcW w:w="499" w:type="pct"/>
            <w:vAlign w:val="bottom"/>
          </w:tcPr>
          <w:p w14:paraId="3AC0BD0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0.80 </w:t>
            </w:r>
          </w:p>
        </w:tc>
        <w:tc>
          <w:tcPr>
            <w:tcW w:w="504" w:type="pct"/>
            <w:vAlign w:val="bottom"/>
          </w:tcPr>
          <w:p w14:paraId="05EB503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0.30 </w:t>
            </w:r>
          </w:p>
        </w:tc>
        <w:tc>
          <w:tcPr>
            <w:tcW w:w="684" w:type="pct"/>
            <w:vAlign w:val="bottom"/>
          </w:tcPr>
          <w:p w14:paraId="6BC1712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0.80 </w:t>
            </w:r>
          </w:p>
        </w:tc>
        <w:tc>
          <w:tcPr>
            <w:tcW w:w="681" w:type="pct"/>
            <w:vAlign w:val="bottom"/>
          </w:tcPr>
          <w:p w14:paraId="5B07687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0.80 </w:t>
            </w:r>
          </w:p>
        </w:tc>
        <w:tc>
          <w:tcPr>
            <w:tcW w:w="678" w:type="pct"/>
            <w:vAlign w:val="center"/>
          </w:tcPr>
          <w:p w14:paraId="3D57077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0.10</w:t>
            </w:r>
          </w:p>
        </w:tc>
      </w:tr>
      <w:tr w14:paraId="50B586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3A69966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挥发酚</w:t>
            </w:r>
          </w:p>
        </w:tc>
        <w:tc>
          <w:tcPr>
            <w:tcW w:w="490" w:type="pct"/>
            <w:vAlign w:val="bottom"/>
          </w:tcPr>
          <w:p w14:paraId="1F63F25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490" w:type="pct"/>
            <w:vAlign w:val="bottom"/>
          </w:tcPr>
          <w:p w14:paraId="6C14FF5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490" w:type="pct"/>
            <w:vAlign w:val="bottom"/>
          </w:tcPr>
          <w:p w14:paraId="27FAF22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499" w:type="pct"/>
            <w:vAlign w:val="bottom"/>
          </w:tcPr>
          <w:p w14:paraId="188CBA6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504" w:type="pct"/>
            <w:vAlign w:val="bottom"/>
          </w:tcPr>
          <w:p w14:paraId="626EC6D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684" w:type="pct"/>
            <w:vAlign w:val="bottom"/>
          </w:tcPr>
          <w:p w14:paraId="069D1EC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681" w:type="pct"/>
            <w:vAlign w:val="bottom"/>
          </w:tcPr>
          <w:p w14:paraId="6772B40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lang w:val="en-US" w:eastAsia="zh-CN"/>
              </w:rPr>
              <w:t>未检出</w:t>
            </w:r>
          </w:p>
        </w:tc>
        <w:tc>
          <w:tcPr>
            <w:tcW w:w="678" w:type="pct"/>
            <w:vAlign w:val="center"/>
          </w:tcPr>
          <w:p w14:paraId="5263368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0.002</w:t>
            </w:r>
          </w:p>
        </w:tc>
      </w:tr>
      <w:tr w14:paraId="7DEF7D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50DFF9C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耗氧量</w:t>
            </w:r>
          </w:p>
        </w:tc>
        <w:tc>
          <w:tcPr>
            <w:tcW w:w="490" w:type="pct"/>
            <w:vAlign w:val="bottom"/>
          </w:tcPr>
          <w:p w14:paraId="2589911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0.20 </w:t>
            </w:r>
          </w:p>
        </w:tc>
        <w:tc>
          <w:tcPr>
            <w:tcW w:w="490" w:type="pct"/>
            <w:vAlign w:val="bottom"/>
          </w:tcPr>
          <w:p w14:paraId="059064F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0.20 </w:t>
            </w:r>
          </w:p>
        </w:tc>
        <w:tc>
          <w:tcPr>
            <w:tcW w:w="490" w:type="pct"/>
            <w:vAlign w:val="bottom"/>
          </w:tcPr>
          <w:p w14:paraId="736E66A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0.27 </w:t>
            </w:r>
          </w:p>
        </w:tc>
        <w:tc>
          <w:tcPr>
            <w:tcW w:w="499" w:type="pct"/>
            <w:vAlign w:val="bottom"/>
          </w:tcPr>
          <w:p w14:paraId="7607485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0.30 </w:t>
            </w:r>
          </w:p>
        </w:tc>
        <w:tc>
          <w:tcPr>
            <w:tcW w:w="504" w:type="pct"/>
            <w:vAlign w:val="bottom"/>
          </w:tcPr>
          <w:p w14:paraId="62E9220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0.30 </w:t>
            </w:r>
          </w:p>
        </w:tc>
        <w:tc>
          <w:tcPr>
            <w:tcW w:w="684" w:type="pct"/>
            <w:vAlign w:val="bottom"/>
          </w:tcPr>
          <w:p w14:paraId="4589D11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0.27 </w:t>
            </w:r>
          </w:p>
        </w:tc>
        <w:tc>
          <w:tcPr>
            <w:tcW w:w="681" w:type="pct"/>
            <w:vAlign w:val="bottom"/>
          </w:tcPr>
          <w:p w14:paraId="6ABC7EE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0.30 </w:t>
            </w:r>
          </w:p>
        </w:tc>
        <w:tc>
          <w:tcPr>
            <w:tcW w:w="678" w:type="pct"/>
            <w:vAlign w:val="center"/>
          </w:tcPr>
          <w:p w14:paraId="38FA170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3.0</w:t>
            </w:r>
          </w:p>
        </w:tc>
      </w:tr>
      <w:tr w14:paraId="4E10B1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40796B6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氨氮</w:t>
            </w:r>
          </w:p>
        </w:tc>
        <w:tc>
          <w:tcPr>
            <w:tcW w:w="490" w:type="pct"/>
            <w:vAlign w:val="bottom"/>
          </w:tcPr>
          <w:p w14:paraId="70152AB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0.07 </w:t>
            </w:r>
          </w:p>
        </w:tc>
        <w:tc>
          <w:tcPr>
            <w:tcW w:w="490" w:type="pct"/>
            <w:vAlign w:val="bottom"/>
          </w:tcPr>
          <w:p w14:paraId="51E525C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0.07 </w:t>
            </w:r>
          </w:p>
        </w:tc>
        <w:tc>
          <w:tcPr>
            <w:tcW w:w="490" w:type="pct"/>
            <w:vAlign w:val="bottom"/>
          </w:tcPr>
          <w:p w14:paraId="44DE750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0.09 </w:t>
            </w:r>
          </w:p>
        </w:tc>
        <w:tc>
          <w:tcPr>
            <w:tcW w:w="499" w:type="pct"/>
            <w:vAlign w:val="bottom"/>
          </w:tcPr>
          <w:p w14:paraId="16C978C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0.08 </w:t>
            </w:r>
          </w:p>
        </w:tc>
        <w:tc>
          <w:tcPr>
            <w:tcW w:w="504" w:type="pct"/>
            <w:vAlign w:val="bottom"/>
          </w:tcPr>
          <w:p w14:paraId="6D1D16F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en-US"/>
              </w:rPr>
            </w:pPr>
            <w:r>
              <w:rPr>
                <w:rFonts w:hint="eastAsia" w:ascii="Times New Roman" w:hAnsi="Times New Roman" w:eastAsia="宋体" w:cs="Times New Roman"/>
                <w:b w:val="0"/>
                <w:bCs w:val="0"/>
                <w:sz w:val="21"/>
                <w:szCs w:val="21"/>
                <w:highlight w:val="none"/>
                <w:lang w:val="en-US" w:eastAsia="zh-CN"/>
              </w:rPr>
              <w:t xml:space="preserve">0.10 </w:t>
            </w:r>
          </w:p>
        </w:tc>
        <w:tc>
          <w:tcPr>
            <w:tcW w:w="684" w:type="pct"/>
            <w:vAlign w:val="bottom"/>
          </w:tcPr>
          <w:p w14:paraId="01FA636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0.08 </w:t>
            </w:r>
          </w:p>
        </w:tc>
        <w:tc>
          <w:tcPr>
            <w:tcW w:w="681" w:type="pct"/>
            <w:vAlign w:val="bottom"/>
          </w:tcPr>
          <w:p w14:paraId="3C8DD41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0.08 </w:t>
            </w:r>
          </w:p>
        </w:tc>
        <w:tc>
          <w:tcPr>
            <w:tcW w:w="678" w:type="pct"/>
            <w:vAlign w:val="center"/>
          </w:tcPr>
          <w:p w14:paraId="3AC2CA2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0.50</w:t>
            </w:r>
          </w:p>
        </w:tc>
      </w:tr>
      <w:tr w14:paraId="28C106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78CD1E07">
            <w:pPr>
              <w:keepNext w:val="0"/>
              <w:keepLines w:val="0"/>
              <w:suppressLineNumbers w:val="0"/>
              <w:wordWrap/>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总大肠</w:t>
            </w:r>
          </w:p>
          <w:p w14:paraId="55ED2A6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菌群</w:t>
            </w:r>
          </w:p>
        </w:tc>
        <w:tc>
          <w:tcPr>
            <w:tcW w:w="490" w:type="pct"/>
            <w:vAlign w:val="center"/>
          </w:tcPr>
          <w:p w14:paraId="2447D1A3">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7DB6C323">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7541646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365FD9E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188E7CB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545DFE6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2407F9C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7E7B7F6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3.0</w:t>
            </w:r>
          </w:p>
        </w:tc>
      </w:tr>
      <w:tr w14:paraId="0A8D41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5596443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菌落总数</w:t>
            </w:r>
          </w:p>
        </w:tc>
        <w:tc>
          <w:tcPr>
            <w:tcW w:w="490" w:type="pct"/>
            <w:vAlign w:val="center"/>
          </w:tcPr>
          <w:p w14:paraId="206A2A7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41CF090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685BA02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0D83341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76305B1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32192D7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1296422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301378B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100</w:t>
            </w:r>
          </w:p>
        </w:tc>
      </w:tr>
      <w:tr w14:paraId="6C5232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09CEB96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亚硝酸盐</w:t>
            </w:r>
          </w:p>
        </w:tc>
        <w:tc>
          <w:tcPr>
            <w:tcW w:w="490" w:type="pct"/>
            <w:vAlign w:val="center"/>
          </w:tcPr>
          <w:p w14:paraId="563B5D0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3DCF5C9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66A39CE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1DE5347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75D8607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42352F7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27E9E6B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17D4E5F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1.00</w:t>
            </w:r>
          </w:p>
        </w:tc>
      </w:tr>
      <w:tr w14:paraId="2052DA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276A86E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硝酸盐</w:t>
            </w:r>
          </w:p>
        </w:tc>
        <w:tc>
          <w:tcPr>
            <w:tcW w:w="490" w:type="pct"/>
            <w:vAlign w:val="center"/>
          </w:tcPr>
          <w:p w14:paraId="2B15A00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6.07</w:t>
            </w:r>
          </w:p>
        </w:tc>
        <w:tc>
          <w:tcPr>
            <w:tcW w:w="490" w:type="pct"/>
            <w:vAlign w:val="center"/>
          </w:tcPr>
          <w:p w14:paraId="3D9D700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0.64</w:t>
            </w:r>
          </w:p>
        </w:tc>
        <w:tc>
          <w:tcPr>
            <w:tcW w:w="490" w:type="pct"/>
            <w:vAlign w:val="center"/>
          </w:tcPr>
          <w:p w14:paraId="3DA739B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0.66</w:t>
            </w:r>
          </w:p>
        </w:tc>
        <w:tc>
          <w:tcPr>
            <w:tcW w:w="499" w:type="pct"/>
            <w:vAlign w:val="center"/>
          </w:tcPr>
          <w:p w14:paraId="6E1D8B7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0.58</w:t>
            </w:r>
          </w:p>
        </w:tc>
        <w:tc>
          <w:tcPr>
            <w:tcW w:w="504" w:type="pct"/>
            <w:vAlign w:val="center"/>
          </w:tcPr>
          <w:p w14:paraId="7A7E1E5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0.60</w:t>
            </w:r>
          </w:p>
        </w:tc>
        <w:tc>
          <w:tcPr>
            <w:tcW w:w="684" w:type="pct"/>
            <w:vAlign w:val="center"/>
          </w:tcPr>
          <w:p w14:paraId="2966EF3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0.66</w:t>
            </w:r>
          </w:p>
        </w:tc>
        <w:tc>
          <w:tcPr>
            <w:tcW w:w="681" w:type="pct"/>
            <w:vAlign w:val="center"/>
          </w:tcPr>
          <w:p w14:paraId="335C40C3">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rPr>
              <w:t>0.68</w:t>
            </w:r>
          </w:p>
        </w:tc>
        <w:tc>
          <w:tcPr>
            <w:tcW w:w="678" w:type="pct"/>
            <w:vAlign w:val="center"/>
          </w:tcPr>
          <w:p w14:paraId="1185C28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20.0</w:t>
            </w:r>
          </w:p>
        </w:tc>
      </w:tr>
      <w:tr w14:paraId="394AA0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1C85470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氰化物</w:t>
            </w:r>
          </w:p>
        </w:tc>
        <w:tc>
          <w:tcPr>
            <w:tcW w:w="490" w:type="pct"/>
            <w:vAlign w:val="center"/>
          </w:tcPr>
          <w:p w14:paraId="252387E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36D3FC7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05D95BC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1E3F53D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3856610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0DE74AD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5380DD7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72205A1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0.05</w:t>
            </w:r>
          </w:p>
        </w:tc>
      </w:tr>
      <w:tr w14:paraId="5843E8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35FA1F0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氟化物</w:t>
            </w:r>
          </w:p>
        </w:tc>
        <w:tc>
          <w:tcPr>
            <w:tcW w:w="490" w:type="pct"/>
            <w:vAlign w:val="center"/>
          </w:tcPr>
          <w:p w14:paraId="55CE650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49D3AB9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6610E98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2CB147E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66BD18A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34D7915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3A15DF0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758AD9F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1.0</w:t>
            </w:r>
          </w:p>
        </w:tc>
      </w:tr>
      <w:tr w14:paraId="09BBF9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6E2856E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汞</w:t>
            </w:r>
          </w:p>
        </w:tc>
        <w:tc>
          <w:tcPr>
            <w:tcW w:w="490" w:type="pct"/>
            <w:vAlign w:val="center"/>
          </w:tcPr>
          <w:p w14:paraId="14C2071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295B3D5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1A6C560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0D9F3B0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6A60A9F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6B5782D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69A49CD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4A419C4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0.001</w:t>
            </w:r>
          </w:p>
        </w:tc>
      </w:tr>
      <w:tr w14:paraId="0CA76A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7646939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砷</w:t>
            </w:r>
          </w:p>
        </w:tc>
        <w:tc>
          <w:tcPr>
            <w:tcW w:w="490" w:type="pct"/>
            <w:vAlign w:val="center"/>
          </w:tcPr>
          <w:p w14:paraId="688DB8D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0102F2D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2A5D7617">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79C9AC7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15EC5C5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0AE6593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2FC8197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764E06F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0.01</w:t>
            </w:r>
          </w:p>
        </w:tc>
      </w:tr>
      <w:tr w14:paraId="0716B1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54CA286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镉</w:t>
            </w:r>
          </w:p>
        </w:tc>
        <w:tc>
          <w:tcPr>
            <w:tcW w:w="490" w:type="pct"/>
            <w:vAlign w:val="center"/>
          </w:tcPr>
          <w:p w14:paraId="1E4AFB8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08F521F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15B7C693">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2A2D4FE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561BB48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07A5109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3D77060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32FA622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0.005</w:t>
            </w:r>
          </w:p>
        </w:tc>
      </w:tr>
      <w:tr w14:paraId="54414A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39A702A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六价铬</w:t>
            </w:r>
          </w:p>
        </w:tc>
        <w:tc>
          <w:tcPr>
            <w:tcW w:w="490" w:type="pct"/>
            <w:vAlign w:val="center"/>
          </w:tcPr>
          <w:p w14:paraId="034640C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156BE2D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33D6E02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7185E80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7B7D437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09E7EF7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39BECEC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1A8FEFA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0.05</w:t>
            </w:r>
          </w:p>
        </w:tc>
      </w:tr>
      <w:tr w14:paraId="466D31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3166BE9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锌</w:t>
            </w:r>
          </w:p>
        </w:tc>
        <w:tc>
          <w:tcPr>
            <w:tcW w:w="490" w:type="pct"/>
            <w:vAlign w:val="center"/>
          </w:tcPr>
          <w:p w14:paraId="251ADF7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10B0F19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474D289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68A6651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1ADF34E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6DB6609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1862AA4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0C7F735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1.00</w:t>
            </w:r>
          </w:p>
        </w:tc>
      </w:tr>
      <w:tr w14:paraId="7BD591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7666BBF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en-US" w:bidi="ar-SA"/>
              </w:rPr>
            </w:pPr>
            <w:r>
              <w:rPr>
                <w:rFonts w:hint="eastAsia" w:ascii="Times New Roman" w:hAnsi="Times New Roman" w:eastAsia="宋体" w:cs="Times New Roman"/>
                <w:b w:val="0"/>
                <w:bCs w:val="0"/>
                <w:sz w:val="21"/>
                <w:szCs w:val="21"/>
                <w:highlight w:val="none"/>
              </w:rPr>
              <w:t>阴离子表面活性剂</w:t>
            </w:r>
          </w:p>
        </w:tc>
        <w:tc>
          <w:tcPr>
            <w:tcW w:w="490" w:type="pct"/>
            <w:vAlign w:val="center"/>
          </w:tcPr>
          <w:p w14:paraId="406AEF7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7EB100D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033468EA">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063270A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1E4A3E6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6846920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05A2F58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77EEC76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0.3</w:t>
            </w:r>
          </w:p>
        </w:tc>
      </w:tr>
      <w:tr w14:paraId="0F1019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67694B9C">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石油类</w:t>
            </w:r>
          </w:p>
        </w:tc>
        <w:tc>
          <w:tcPr>
            <w:tcW w:w="490" w:type="pct"/>
            <w:vAlign w:val="bottom"/>
          </w:tcPr>
          <w:p w14:paraId="2092BBA6">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0.80 </w:t>
            </w:r>
          </w:p>
        </w:tc>
        <w:tc>
          <w:tcPr>
            <w:tcW w:w="490" w:type="pct"/>
            <w:vAlign w:val="bottom"/>
          </w:tcPr>
          <w:p w14:paraId="1C77D249">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0.80 </w:t>
            </w:r>
          </w:p>
        </w:tc>
        <w:tc>
          <w:tcPr>
            <w:tcW w:w="490" w:type="pct"/>
            <w:vAlign w:val="bottom"/>
          </w:tcPr>
          <w:p w14:paraId="099F81D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0.80 </w:t>
            </w:r>
          </w:p>
        </w:tc>
        <w:tc>
          <w:tcPr>
            <w:tcW w:w="499" w:type="pct"/>
            <w:vAlign w:val="bottom"/>
          </w:tcPr>
          <w:p w14:paraId="2EC892A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0.60 </w:t>
            </w:r>
          </w:p>
        </w:tc>
        <w:tc>
          <w:tcPr>
            <w:tcW w:w="504" w:type="pct"/>
            <w:vAlign w:val="bottom"/>
          </w:tcPr>
          <w:p w14:paraId="11748A51">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0.60 </w:t>
            </w:r>
          </w:p>
        </w:tc>
        <w:tc>
          <w:tcPr>
            <w:tcW w:w="684" w:type="pct"/>
            <w:vAlign w:val="bottom"/>
          </w:tcPr>
          <w:p w14:paraId="1EB4DBDB">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0.60 </w:t>
            </w:r>
          </w:p>
        </w:tc>
        <w:tc>
          <w:tcPr>
            <w:tcW w:w="681" w:type="pct"/>
            <w:vAlign w:val="bottom"/>
          </w:tcPr>
          <w:p w14:paraId="5AB8ADE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 xml:space="preserve">0.80 </w:t>
            </w:r>
          </w:p>
        </w:tc>
        <w:tc>
          <w:tcPr>
            <w:tcW w:w="678" w:type="pct"/>
            <w:vAlign w:val="center"/>
          </w:tcPr>
          <w:p w14:paraId="5647488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rPr>
              <w:t>0.05</w:t>
            </w:r>
          </w:p>
        </w:tc>
      </w:tr>
      <w:tr w14:paraId="7F5A2C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481" w:type="pct"/>
            <w:vAlign w:val="center"/>
          </w:tcPr>
          <w:p w14:paraId="0171BC90">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铅</w:t>
            </w:r>
          </w:p>
        </w:tc>
        <w:tc>
          <w:tcPr>
            <w:tcW w:w="490" w:type="pct"/>
            <w:vAlign w:val="center"/>
          </w:tcPr>
          <w:p w14:paraId="4246566F">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15F0F2B5">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0" w:type="pct"/>
            <w:vAlign w:val="center"/>
          </w:tcPr>
          <w:p w14:paraId="7B19C95D">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499" w:type="pct"/>
            <w:vAlign w:val="center"/>
          </w:tcPr>
          <w:p w14:paraId="0AD0F984">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504" w:type="pct"/>
            <w:vAlign w:val="center"/>
          </w:tcPr>
          <w:p w14:paraId="5C57E01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4" w:type="pct"/>
            <w:vAlign w:val="center"/>
          </w:tcPr>
          <w:p w14:paraId="4A04D0F2">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81" w:type="pct"/>
            <w:vAlign w:val="center"/>
          </w:tcPr>
          <w:p w14:paraId="4EEDDDE8">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未检出</w:t>
            </w:r>
          </w:p>
        </w:tc>
        <w:tc>
          <w:tcPr>
            <w:tcW w:w="678" w:type="pct"/>
            <w:vAlign w:val="center"/>
          </w:tcPr>
          <w:p w14:paraId="03E20D3E">
            <w:pPr>
              <w:keepNext w:val="0"/>
              <w:keepLines w:val="0"/>
              <w:suppressLineNumbers w:val="0"/>
              <w:wordWrap/>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sz w:val="21"/>
                <w:szCs w:val="21"/>
                <w:highlight w:val="none"/>
              </w:rPr>
              <w:t>0.01</w:t>
            </w:r>
          </w:p>
        </w:tc>
      </w:tr>
      <w:tr w14:paraId="4B0B4A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 w:hRule="atLeast"/>
          <w:jc w:val="center"/>
        </w:trPr>
        <w:tc>
          <w:tcPr>
            <w:tcW w:w="5000" w:type="pct"/>
            <w:gridSpan w:val="9"/>
            <w:vAlign w:val="center"/>
          </w:tcPr>
          <w:p w14:paraId="7E726EE9">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注：</w:t>
            </w:r>
            <w:r>
              <w:rPr>
                <w:rFonts w:hint="default"/>
                <w:highlight w:val="none"/>
                <w:lang w:val="en-US" w:eastAsia="zh-CN"/>
              </w:rPr>
              <w:t>L</w:t>
            </w:r>
            <w:r>
              <w:rPr>
                <w:rFonts w:hint="eastAsia"/>
                <w:highlight w:val="none"/>
                <w:lang w:val="en-US" w:eastAsia="zh-CN"/>
              </w:rPr>
              <w:t>为低于检出限</w:t>
            </w:r>
            <w:r>
              <w:rPr>
                <w:rFonts w:hint="default"/>
                <w:highlight w:val="none"/>
              </w:rPr>
              <w:t>。</w:t>
            </w:r>
          </w:p>
        </w:tc>
      </w:tr>
    </w:tbl>
    <w:p w14:paraId="5CFECB83">
      <w:pPr>
        <w:bidi w:val="0"/>
        <w:rPr>
          <w:rFonts w:ascii="Times New Roman" w:hAnsi="Times New Roman" w:cs="Times New Roman"/>
          <w:highlight w:val="none"/>
        </w:rPr>
      </w:pPr>
      <w:bookmarkStart w:id="315" w:name="_Toc19447"/>
      <w:r>
        <w:rPr>
          <w:rFonts w:hint="eastAsia" w:cs="Times New Roman"/>
          <w:highlight w:val="none"/>
          <w:lang w:eastAsia="zh-CN"/>
        </w:rPr>
        <w:t>（</w:t>
      </w:r>
      <w:r>
        <w:rPr>
          <w:rFonts w:hint="eastAsia" w:cs="Times New Roman"/>
          <w:highlight w:val="none"/>
          <w:lang w:val="en-US" w:eastAsia="zh-CN"/>
        </w:rPr>
        <w:t>2</w:t>
      </w:r>
      <w:r>
        <w:rPr>
          <w:rFonts w:hint="eastAsia" w:cs="Times New Roman"/>
          <w:highlight w:val="none"/>
          <w:lang w:eastAsia="zh-CN"/>
        </w:rPr>
        <w:t>）</w:t>
      </w:r>
      <w:r>
        <w:rPr>
          <w:rFonts w:ascii="Times New Roman" w:cs="Times New Roman" w:hAnsiTheme="minorEastAsia"/>
          <w:highlight w:val="none"/>
        </w:rPr>
        <w:t>地下水化学类型</w:t>
      </w:r>
      <w:bookmarkEnd w:id="315"/>
    </w:p>
    <w:p w14:paraId="242821CD">
      <w:pPr>
        <w:bidi w:val="0"/>
        <w:rPr>
          <w:rFonts w:eastAsiaTheme="minorEastAsia"/>
          <w:sz w:val="24"/>
          <w:highlight w:val="none"/>
        </w:rPr>
      </w:pPr>
      <w:r>
        <w:rPr>
          <w:rFonts w:hAnsiTheme="minorEastAsia" w:eastAsiaTheme="minorEastAsia"/>
          <w:sz w:val="24"/>
          <w:highlight w:val="none"/>
        </w:rPr>
        <w:t>用舒卡列夫分类法对地下水化学类型进行评价。地下水化学类型的舒卡列夫分类是根据地下水中</w:t>
      </w:r>
      <w:r>
        <w:rPr>
          <w:rFonts w:eastAsiaTheme="minorEastAsia"/>
          <w:sz w:val="24"/>
          <w:highlight w:val="none"/>
        </w:rPr>
        <w:t>6</w:t>
      </w:r>
      <w:r>
        <w:rPr>
          <w:rFonts w:hAnsiTheme="minorEastAsia" w:eastAsiaTheme="minorEastAsia"/>
          <w:sz w:val="24"/>
          <w:highlight w:val="none"/>
        </w:rPr>
        <w:t>种主要离子（</w:t>
      </w:r>
      <w:r>
        <w:rPr>
          <w:rFonts w:eastAsiaTheme="minorEastAsia"/>
          <w:sz w:val="24"/>
          <w:highlight w:val="none"/>
        </w:rPr>
        <w:t>Na</w:t>
      </w:r>
      <w:r>
        <w:rPr>
          <w:rFonts w:eastAsiaTheme="minorEastAsia"/>
          <w:sz w:val="24"/>
          <w:highlight w:val="none"/>
          <w:vertAlign w:val="superscript"/>
        </w:rPr>
        <w:t>+</w:t>
      </w:r>
      <w:r>
        <w:rPr>
          <w:rFonts w:hAnsiTheme="minorEastAsia" w:eastAsiaTheme="minorEastAsia"/>
          <w:sz w:val="24"/>
          <w:highlight w:val="none"/>
        </w:rPr>
        <w:t>、</w:t>
      </w:r>
      <w:r>
        <w:rPr>
          <w:rFonts w:eastAsiaTheme="minorEastAsia"/>
          <w:sz w:val="24"/>
          <w:highlight w:val="none"/>
        </w:rPr>
        <w:t>Ca</w:t>
      </w:r>
      <w:r>
        <w:rPr>
          <w:rFonts w:eastAsiaTheme="minorEastAsia"/>
          <w:sz w:val="24"/>
          <w:highlight w:val="none"/>
          <w:vertAlign w:val="superscript"/>
        </w:rPr>
        <w:t>2+</w:t>
      </w:r>
      <w:r>
        <w:rPr>
          <w:rFonts w:hAnsiTheme="minorEastAsia" w:eastAsiaTheme="minorEastAsia"/>
          <w:sz w:val="24"/>
          <w:highlight w:val="none"/>
        </w:rPr>
        <w:t>、</w:t>
      </w:r>
      <w:r>
        <w:rPr>
          <w:rFonts w:eastAsiaTheme="minorEastAsia"/>
          <w:sz w:val="24"/>
          <w:highlight w:val="none"/>
        </w:rPr>
        <w:t>Mg</w:t>
      </w:r>
      <w:r>
        <w:rPr>
          <w:rFonts w:eastAsiaTheme="minorEastAsia"/>
          <w:sz w:val="24"/>
          <w:highlight w:val="none"/>
          <w:vertAlign w:val="superscript"/>
        </w:rPr>
        <w:t>2+</w:t>
      </w:r>
      <w:r>
        <w:rPr>
          <w:rFonts w:hAnsiTheme="minorEastAsia" w:eastAsiaTheme="minorEastAsia"/>
          <w:sz w:val="24"/>
          <w:highlight w:val="none"/>
        </w:rPr>
        <w:t>、</w:t>
      </w:r>
      <w:r>
        <w:rPr>
          <w:rFonts w:eastAsiaTheme="minorEastAsia"/>
          <w:sz w:val="24"/>
          <w:highlight w:val="none"/>
        </w:rPr>
        <w:t>HCO</w:t>
      </w:r>
      <w:r>
        <w:rPr>
          <w:rFonts w:eastAsiaTheme="minorEastAsia"/>
          <w:sz w:val="24"/>
          <w:highlight w:val="none"/>
          <w:vertAlign w:val="subscript"/>
        </w:rPr>
        <w:t>3</w:t>
      </w:r>
      <w:r>
        <w:rPr>
          <w:rFonts w:eastAsiaTheme="minorEastAsia"/>
          <w:sz w:val="24"/>
          <w:highlight w:val="none"/>
          <w:vertAlign w:val="superscript"/>
        </w:rPr>
        <w:t>-</w:t>
      </w:r>
      <w:r>
        <w:rPr>
          <w:rFonts w:hAnsiTheme="minorEastAsia" w:eastAsiaTheme="minorEastAsia"/>
          <w:sz w:val="24"/>
          <w:highlight w:val="none"/>
        </w:rPr>
        <w:t>、</w:t>
      </w:r>
      <w:r>
        <w:rPr>
          <w:rFonts w:eastAsiaTheme="minorEastAsia"/>
          <w:sz w:val="24"/>
          <w:highlight w:val="none"/>
        </w:rPr>
        <w:t>SO</w:t>
      </w:r>
      <w:r>
        <w:rPr>
          <w:rFonts w:eastAsiaTheme="minorEastAsia"/>
          <w:sz w:val="24"/>
          <w:highlight w:val="none"/>
          <w:vertAlign w:val="subscript"/>
        </w:rPr>
        <w:t>4</w:t>
      </w:r>
      <w:r>
        <w:rPr>
          <w:rFonts w:eastAsiaTheme="minorEastAsia"/>
          <w:sz w:val="24"/>
          <w:highlight w:val="none"/>
          <w:vertAlign w:val="superscript"/>
        </w:rPr>
        <w:t>2-</w:t>
      </w:r>
      <w:r>
        <w:rPr>
          <w:rFonts w:hAnsiTheme="minorEastAsia" w:eastAsiaTheme="minorEastAsia"/>
          <w:sz w:val="24"/>
          <w:highlight w:val="none"/>
        </w:rPr>
        <w:t>、</w:t>
      </w:r>
      <w:r>
        <w:rPr>
          <w:rFonts w:eastAsiaTheme="minorEastAsia"/>
          <w:sz w:val="24"/>
          <w:highlight w:val="none"/>
        </w:rPr>
        <w:t>Cl</w:t>
      </w:r>
      <w:r>
        <w:rPr>
          <w:rFonts w:eastAsiaTheme="minorEastAsia"/>
          <w:sz w:val="24"/>
          <w:highlight w:val="none"/>
          <w:vertAlign w:val="superscript"/>
        </w:rPr>
        <w:t>-</w:t>
      </w:r>
      <w:r>
        <w:rPr>
          <w:rFonts w:hAnsiTheme="minorEastAsia" w:eastAsiaTheme="minorEastAsia"/>
          <w:sz w:val="24"/>
          <w:highlight w:val="none"/>
        </w:rPr>
        <w:t>，</w:t>
      </w:r>
      <w:r>
        <w:rPr>
          <w:rFonts w:eastAsiaTheme="minorEastAsia"/>
          <w:sz w:val="24"/>
          <w:highlight w:val="none"/>
        </w:rPr>
        <w:t>K</w:t>
      </w:r>
      <w:r>
        <w:rPr>
          <w:rFonts w:eastAsiaTheme="minorEastAsia"/>
          <w:sz w:val="24"/>
          <w:highlight w:val="none"/>
          <w:vertAlign w:val="superscript"/>
        </w:rPr>
        <w:t>+</w:t>
      </w:r>
      <w:r>
        <w:rPr>
          <w:rFonts w:hAnsiTheme="minorEastAsia" w:eastAsiaTheme="minorEastAsia"/>
          <w:sz w:val="24"/>
          <w:highlight w:val="none"/>
        </w:rPr>
        <w:t>合并于</w:t>
      </w:r>
      <w:r>
        <w:rPr>
          <w:rFonts w:eastAsiaTheme="minorEastAsia"/>
          <w:sz w:val="24"/>
          <w:highlight w:val="none"/>
        </w:rPr>
        <w:t>Na</w:t>
      </w:r>
      <w:r>
        <w:rPr>
          <w:rFonts w:eastAsiaTheme="minorEastAsia"/>
          <w:sz w:val="24"/>
          <w:highlight w:val="none"/>
          <w:vertAlign w:val="superscript"/>
        </w:rPr>
        <w:t>+</w:t>
      </w:r>
      <w:r>
        <w:rPr>
          <w:rFonts w:hAnsiTheme="minorEastAsia" w:eastAsiaTheme="minorEastAsia"/>
          <w:sz w:val="24"/>
          <w:highlight w:val="none"/>
        </w:rPr>
        <w:t>）。具体步骤如下：</w:t>
      </w:r>
    </w:p>
    <w:p w14:paraId="28FC1CE7">
      <w:pPr>
        <w:bidi w:val="0"/>
        <w:rPr>
          <w:rFonts w:eastAsiaTheme="minorEastAsia"/>
          <w:sz w:val="24"/>
          <w:highlight w:val="none"/>
        </w:rPr>
      </w:pPr>
      <w:r>
        <w:rPr>
          <w:rFonts w:hAnsiTheme="minorEastAsia" w:eastAsiaTheme="minorEastAsia"/>
          <w:sz w:val="24"/>
          <w:highlight w:val="none"/>
        </w:rPr>
        <w:t>第一步，根据水质分析结果，将</w:t>
      </w:r>
      <w:r>
        <w:rPr>
          <w:rFonts w:eastAsiaTheme="minorEastAsia"/>
          <w:sz w:val="24"/>
          <w:highlight w:val="none"/>
        </w:rPr>
        <w:t>6</w:t>
      </w:r>
      <w:r>
        <w:rPr>
          <w:rFonts w:hAnsiTheme="minorEastAsia" w:eastAsiaTheme="minorEastAsia"/>
          <w:sz w:val="24"/>
          <w:highlight w:val="none"/>
        </w:rPr>
        <w:t>种主要离子中含量大于</w:t>
      </w:r>
      <w:r>
        <w:rPr>
          <w:rFonts w:eastAsiaTheme="minorEastAsia"/>
          <w:sz w:val="24"/>
          <w:highlight w:val="none"/>
        </w:rPr>
        <w:t>25</w:t>
      </w:r>
      <w:r>
        <w:rPr>
          <w:rFonts w:hAnsiTheme="minorEastAsia" w:eastAsiaTheme="minorEastAsia"/>
          <w:sz w:val="24"/>
          <w:highlight w:val="none"/>
        </w:rPr>
        <w:t>％毫克当量的阴离子和阳离子进行组合，可组合出</w:t>
      </w:r>
      <w:r>
        <w:rPr>
          <w:rFonts w:eastAsiaTheme="minorEastAsia"/>
          <w:sz w:val="24"/>
          <w:highlight w:val="none"/>
        </w:rPr>
        <w:t>49</w:t>
      </w:r>
      <w:r>
        <w:rPr>
          <w:rFonts w:hAnsiTheme="minorEastAsia" w:eastAsiaTheme="minorEastAsia"/>
          <w:sz w:val="24"/>
          <w:highlight w:val="none"/>
        </w:rPr>
        <w:t>型水，并将每型用一个阿拉伯数字作为代号。</w:t>
      </w:r>
    </w:p>
    <w:p w14:paraId="6024E423">
      <w:pPr>
        <w:pStyle w:val="7"/>
        <w:bidi w:val="0"/>
        <w:rPr>
          <w:highlight w:val="none"/>
        </w:rPr>
      </w:pPr>
      <w:r>
        <w:rPr>
          <w:highlight w:val="none"/>
        </w:rPr>
        <w:t>表4-2-</w:t>
      </w:r>
      <w:r>
        <w:rPr>
          <w:rFonts w:hint="eastAsia"/>
          <w:highlight w:val="none"/>
          <w:lang w:val="en-US" w:eastAsia="zh-CN"/>
        </w:rPr>
        <w:t>8</w:t>
      </w:r>
      <w:r>
        <w:rPr>
          <w:highlight w:val="none"/>
        </w:rPr>
        <w:t>舒卡列夫分类土表</w:t>
      </w:r>
    </w:p>
    <w:tbl>
      <w:tblPr>
        <w:tblStyle w:val="44"/>
        <w:tblW w:w="494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776"/>
        <w:gridCol w:w="1123"/>
        <w:gridCol w:w="1097"/>
        <w:gridCol w:w="992"/>
        <w:gridCol w:w="921"/>
        <w:gridCol w:w="1004"/>
        <w:gridCol w:w="1002"/>
      </w:tblGrid>
      <w:tr w14:paraId="7D057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86" w:type="pct"/>
            <w:vAlign w:val="center"/>
          </w:tcPr>
          <w:p w14:paraId="4742E7C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hAnsiTheme="minorEastAsia" w:eastAsiaTheme="minorEastAsia"/>
                <w:sz w:val="21"/>
                <w:szCs w:val="21"/>
                <w:highlight w:val="none"/>
                <w:lang w:val="zh-CN"/>
              </w:rPr>
              <w:t>超过</w:t>
            </w:r>
            <w:r>
              <w:rPr>
                <w:rFonts w:hint="default" w:eastAsiaTheme="minorEastAsia"/>
                <w:sz w:val="21"/>
                <w:szCs w:val="21"/>
                <w:highlight w:val="none"/>
                <w:lang w:val="zh-CN"/>
              </w:rPr>
              <w:t>25%</w:t>
            </w:r>
            <w:r>
              <w:rPr>
                <w:rFonts w:hint="default" w:hAnsiTheme="minorEastAsia" w:eastAsiaTheme="minorEastAsia"/>
                <w:sz w:val="21"/>
                <w:szCs w:val="21"/>
                <w:highlight w:val="none"/>
                <w:lang w:val="zh-CN"/>
              </w:rPr>
              <w:t>毫克当量的离子</w:t>
            </w:r>
          </w:p>
        </w:tc>
        <w:tc>
          <w:tcPr>
            <w:tcW w:w="457" w:type="pct"/>
            <w:vAlign w:val="center"/>
          </w:tcPr>
          <w:p w14:paraId="5E364BA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HCO</w:t>
            </w:r>
            <w:r>
              <w:rPr>
                <w:rFonts w:hint="default" w:eastAsiaTheme="minorEastAsia"/>
                <w:sz w:val="21"/>
                <w:szCs w:val="21"/>
                <w:highlight w:val="none"/>
                <w:vertAlign w:val="subscript"/>
                <w:lang w:val="zh-CN"/>
              </w:rPr>
              <w:t>3</w:t>
            </w:r>
            <w:r>
              <w:rPr>
                <w:rFonts w:hint="default" w:eastAsiaTheme="minorEastAsia"/>
                <w:sz w:val="21"/>
                <w:szCs w:val="21"/>
                <w:highlight w:val="none"/>
                <w:vertAlign w:val="superscript"/>
                <w:lang w:val="zh-CN"/>
              </w:rPr>
              <w:t>-</w:t>
            </w:r>
          </w:p>
        </w:tc>
        <w:tc>
          <w:tcPr>
            <w:tcW w:w="661" w:type="pct"/>
            <w:vAlign w:val="center"/>
          </w:tcPr>
          <w:p w14:paraId="21A12C4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HCO</w:t>
            </w:r>
            <w:r>
              <w:rPr>
                <w:rFonts w:hint="default" w:eastAsiaTheme="minorEastAsia"/>
                <w:sz w:val="21"/>
                <w:szCs w:val="21"/>
                <w:highlight w:val="none"/>
                <w:vertAlign w:val="subscript"/>
                <w:lang w:val="zh-CN"/>
              </w:rPr>
              <w:t>3</w:t>
            </w:r>
            <w:r>
              <w:rPr>
                <w:rFonts w:hint="default" w:eastAsiaTheme="minorEastAsia"/>
                <w:sz w:val="21"/>
                <w:szCs w:val="21"/>
                <w:highlight w:val="none"/>
                <w:vertAlign w:val="superscript"/>
                <w:lang w:val="zh-CN"/>
              </w:rPr>
              <w:t>-</w:t>
            </w:r>
            <w:r>
              <w:rPr>
                <w:rFonts w:hint="default" w:eastAsiaTheme="minorEastAsia"/>
                <w:sz w:val="21"/>
                <w:szCs w:val="21"/>
                <w:highlight w:val="none"/>
                <w:lang w:val="zh-CN"/>
              </w:rPr>
              <w:t>-SO</w:t>
            </w:r>
            <w:r>
              <w:rPr>
                <w:rFonts w:hint="default" w:eastAsiaTheme="minorEastAsia"/>
                <w:sz w:val="21"/>
                <w:szCs w:val="21"/>
                <w:highlight w:val="none"/>
                <w:vertAlign w:val="subscript"/>
                <w:lang w:val="zh-CN"/>
              </w:rPr>
              <w:t>4</w:t>
            </w:r>
            <w:r>
              <w:rPr>
                <w:rFonts w:hint="default" w:eastAsiaTheme="minorEastAsia"/>
                <w:sz w:val="21"/>
                <w:szCs w:val="21"/>
                <w:highlight w:val="none"/>
                <w:vertAlign w:val="superscript"/>
                <w:lang w:val="zh-CN"/>
              </w:rPr>
              <w:t>2-</w:t>
            </w:r>
          </w:p>
        </w:tc>
        <w:tc>
          <w:tcPr>
            <w:tcW w:w="646" w:type="pct"/>
            <w:vAlign w:val="center"/>
          </w:tcPr>
          <w:p w14:paraId="7E7D963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HCO</w:t>
            </w:r>
            <w:r>
              <w:rPr>
                <w:rFonts w:hint="default" w:eastAsiaTheme="minorEastAsia"/>
                <w:sz w:val="21"/>
                <w:szCs w:val="21"/>
                <w:highlight w:val="none"/>
                <w:vertAlign w:val="subscript"/>
                <w:lang w:val="zh-CN"/>
              </w:rPr>
              <w:t>3</w:t>
            </w:r>
            <w:r>
              <w:rPr>
                <w:rFonts w:hint="default" w:eastAsiaTheme="minorEastAsia"/>
                <w:sz w:val="21"/>
                <w:szCs w:val="21"/>
                <w:highlight w:val="none"/>
                <w:vertAlign w:val="superscript"/>
                <w:lang w:val="zh-CN"/>
              </w:rPr>
              <w:t>-</w:t>
            </w:r>
            <w:r>
              <w:rPr>
                <w:rFonts w:hint="default" w:eastAsiaTheme="minorEastAsia"/>
                <w:sz w:val="21"/>
                <w:szCs w:val="21"/>
                <w:highlight w:val="none"/>
                <w:lang w:val="zh-CN"/>
              </w:rPr>
              <w:t>-SO</w:t>
            </w:r>
            <w:r>
              <w:rPr>
                <w:rFonts w:hint="default" w:eastAsiaTheme="minorEastAsia"/>
                <w:sz w:val="21"/>
                <w:szCs w:val="21"/>
                <w:highlight w:val="none"/>
                <w:vertAlign w:val="subscript"/>
                <w:lang w:val="zh-CN"/>
              </w:rPr>
              <w:t>4</w:t>
            </w:r>
            <w:r>
              <w:rPr>
                <w:rFonts w:hint="default" w:eastAsiaTheme="minorEastAsia"/>
                <w:sz w:val="21"/>
                <w:szCs w:val="21"/>
                <w:highlight w:val="none"/>
                <w:vertAlign w:val="superscript"/>
                <w:lang w:val="zh-CN"/>
              </w:rPr>
              <w:t>2-</w:t>
            </w:r>
            <w:r>
              <w:rPr>
                <w:rFonts w:hint="default" w:eastAsiaTheme="minorEastAsia"/>
                <w:sz w:val="21"/>
                <w:szCs w:val="21"/>
                <w:highlight w:val="none"/>
                <w:lang w:val="zh-CN"/>
              </w:rPr>
              <w:t>-Cl</w:t>
            </w:r>
            <w:r>
              <w:rPr>
                <w:rFonts w:hint="default" w:eastAsiaTheme="minorEastAsia"/>
                <w:sz w:val="21"/>
                <w:szCs w:val="21"/>
                <w:highlight w:val="none"/>
                <w:vertAlign w:val="superscript"/>
                <w:lang w:val="zh-CN"/>
              </w:rPr>
              <w:t>-</w:t>
            </w:r>
          </w:p>
        </w:tc>
        <w:tc>
          <w:tcPr>
            <w:tcW w:w="584" w:type="pct"/>
            <w:vAlign w:val="center"/>
          </w:tcPr>
          <w:p w14:paraId="466FA65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HCO</w:t>
            </w:r>
            <w:r>
              <w:rPr>
                <w:rFonts w:hint="default" w:eastAsiaTheme="minorEastAsia"/>
                <w:sz w:val="21"/>
                <w:szCs w:val="21"/>
                <w:highlight w:val="none"/>
                <w:vertAlign w:val="subscript"/>
                <w:lang w:val="zh-CN"/>
              </w:rPr>
              <w:t>3</w:t>
            </w:r>
            <w:r>
              <w:rPr>
                <w:rFonts w:hint="default" w:eastAsiaTheme="minorEastAsia"/>
                <w:sz w:val="21"/>
                <w:szCs w:val="21"/>
                <w:highlight w:val="none"/>
                <w:vertAlign w:val="superscript"/>
                <w:lang w:val="zh-CN"/>
              </w:rPr>
              <w:t>-</w:t>
            </w:r>
            <w:r>
              <w:rPr>
                <w:rFonts w:hint="default" w:eastAsiaTheme="minorEastAsia"/>
                <w:sz w:val="21"/>
                <w:szCs w:val="21"/>
                <w:highlight w:val="none"/>
                <w:lang w:val="zh-CN"/>
              </w:rPr>
              <w:t>-Cl</w:t>
            </w:r>
            <w:r>
              <w:rPr>
                <w:rFonts w:hint="default" w:eastAsiaTheme="minorEastAsia"/>
                <w:sz w:val="21"/>
                <w:szCs w:val="21"/>
                <w:highlight w:val="none"/>
                <w:vertAlign w:val="superscript"/>
                <w:lang w:val="zh-CN"/>
              </w:rPr>
              <w:t>-</w:t>
            </w:r>
          </w:p>
        </w:tc>
        <w:tc>
          <w:tcPr>
            <w:tcW w:w="542" w:type="pct"/>
            <w:vAlign w:val="center"/>
          </w:tcPr>
          <w:p w14:paraId="342B1BE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SO</w:t>
            </w:r>
            <w:r>
              <w:rPr>
                <w:rFonts w:hint="default" w:eastAsiaTheme="minorEastAsia"/>
                <w:sz w:val="21"/>
                <w:szCs w:val="21"/>
                <w:highlight w:val="none"/>
                <w:vertAlign w:val="subscript"/>
                <w:lang w:val="zh-CN"/>
              </w:rPr>
              <w:t>4</w:t>
            </w:r>
            <w:r>
              <w:rPr>
                <w:rFonts w:hint="default" w:eastAsiaTheme="minorEastAsia"/>
                <w:sz w:val="21"/>
                <w:szCs w:val="21"/>
                <w:highlight w:val="none"/>
                <w:vertAlign w:val="superscript"/>
                <w:lang w:val="zh-CN"/>
              </w:rPr>
              <w:t>2-</w:t>
            </w:r>
          </w:p>
        </w:tc>
        <w:tc>
          <w:tcPr>
            <w:tcW w:w="591" w:type="pct"/>
            <w:vAlign w:val="center"/>
          </w:tcPr>
          <w:p w14:paraId="0797667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SO</w:t>
            </w:r>
            <w:r>
              <w:rPr>
                <w:rFonts w:hint="default" w:eastAsiaTheme="minorEastAsia"/>
                <w:sz w:val="21"/>
                <w:szCs w:val="21"/>
                <w:highlight w:val="none"/>
                <w:vertAlign w:val="subscript"/>
                <w:lang w:val="zh-CN"/>
              </w:rPr>
              <w:t>4</w:t>
            </w:r>
            <w:r>
              <w:rPr>
                <w:rFonts w:hint="default" w:eastAsiaTheme="minorEastAsia"/>
                <w:sz w:val="21"/>
                <w:szCs w:val="21"/>
                <w:highlight w:val="none"/>
                <w:vertAlign w:val="superscript"/>
                <w:lang w:val="zh-CN"/>
              </w:rPr>
              <w:t>2-</w:t>
            </w:r>
            <w:r>
              <w:rPr>
                <w:rFonts w:hint="default" w:eastAsiaTheme="minorEastAsia"/>
                <w:sz w:val="21"/>
                <w:szCs w:val="21"/>
                <w:highlight w:val="none"/>
                <w:lang w:val="zh-CN"/>
              </w:rPr>
              <w:t>-Cl</w:t>
            </w:r>
            <w:r>
              <w:rPr>
                <w:rFonts w:hint="default" w:eastAsiaTheme="minorEastAsia"/>
                <w:sz w:val="21"/>
                <w:szCs w:val="21"/>
                <w:highlight w:val="none"/>
                <w:vertAlign w:val="superscript"/>
                <w:lang w:val="zh-CN"/>
              </w:rPr>
              <w:t>-</w:t>
            </w:r>
          </w:p>
        </w:tc>
        <w:tc>
          <w:tcPr>
            <w:tcW w:w="590" w:type="pct"/>
            <w:vAlign w:val="center"/>
          </w:tcPr>
          <w:p w14:paraId="51D4DBA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Cl</w:t>
            </w:r>
            <w:r>
              <w:rPr>
                <w:rFonts w:hint="default" w:eastAsiaTheme="minorEastAsia"/>
                <w:sz w:val="21"/>
                <w:szCs w:val="21"/>
                <w:highlight w:val="none"/>
                <w:vertAlign w:val="superscript"/>
                <w:lang w:val="zh-CN"/>
              </w:rPr>
              <w:t>-</w:t>
            </w:r>
          </w:p>
        </w:tc>
      </w:tr>
      <w:tr w14:paraId="19009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886" w:type="pct"/>
            <w:vAlign w:val="center"/>
          </w:tcPr>
          <w:p w14:paraId="0A2AE0E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Ca</w:t>
            </w:r>
            <w:r>
              <w:rPr>
                <w:rFonts w:hint="default" w:eastAsiaTheme="minorEastAsia"/>
                <w:sz w:val="21"/>
                <w:szCs w:val="21"/>
                <w:highlight w:val="none"/>
                <w:vertAlign w:val="superscript"/>
                <w:lang w:val="zh-CN"/>
              </w:rPr>
              <w:t>2+</w:t>
            </w:r>
          </w:p>
        </w:tc>
        <w:tc>
          <w:tcPr>
            <w:tcW w:w="457" w:type="pct"/>
            <w:vAlign w:val="center"/>
          </w:tcPr>
          <w:p w14:paraId="4A40E74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w:t>
            </w:r>
          </w:p>
        </w:tc>
        <w:tc>
          <w:tcPr>
            <w:tcW w:w="661" w:type="pct"/>
            <w:vAlign w:val="center"/>
          </w:tcPr>
          <w:p w14:paraId="5F80B57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8</w:t>
            </w:r>
          </w:p>
        </w:tc>
        <w:tc>
          <w:tcPr>
            <w:tcW w:w="646" w:type="pct"/>
            <w:vAlign w:val="center"/>
          </w:tcPr>
          <w:p w14:paraId="0F838F4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15</w:t>
            </w:r>
          </w:p>
        </w:tc>
        <w:tc>
          <w:tcPr>
            <w:tcW w:w="584" w:type="pct"/>
            <w:vAlign w:val="center"/>
          </w:tcPr>
          <w:p w14:paraId="40C7B8A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22</w:t>
            </w:r>
          </w:p>
        </w:tc>
        <w:tc>
          <w:tcPr>
            <w:tcW w:w="542" w:type="pct"/>
            <w:vAlign w:val="center"/>
          </w:tcPr>
          <w:p w14:paraId="5DA98F3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29</w:t>
            </w:r>
          </w:p>
        </w:tc>
        <w:tc>
          <w:tcPr>
            <w:tcW w:w="591" w:type="pct"/>
            <w:vAlign w:val="center"/>
          </w:tcPr>
          <w:p w14:paraId="7CAA2B1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36</w:t>
            </w:r>
          </w:p>
        </w:tc>
        <w:tc>
          <w:tcPr>
            <w:tcW w:w="590" w:type="pct"/>
            <w:vAlign w:val="center"/>
          </w:tcPr>
          <w:p w14:paraId="34BA393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43</w:t>
            </w:r>
          </w:p>
        </w:tc>
      </w:tr>
      <w:tr w14:paraId="14655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886" w:type="pct"/>
            <w:vAlign w:val="center"/>
          </w:tcPr>
          <w:p w14:paraId="590B32C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Ca</w:t>
            </w:r>
            <w:r>
              <w:rPr>
                <w:rFonts w:hint="default" w:eastAsiaTheme="minorEastAsia"/>
                <w:sz w:val="21"/>
                <w:szCs w:val="21"/>
                <w:highlight w:val="none"/>
                <w:vertAlign w:val="superscript"/>
                <w:lang w:val="zh-CN"/>
              </w:rPr>
              <w:t>2+</w:t>
            </w:r>
            <w:r>
              <w:rPr>
                <w:rFonts w:hint="default" w:eastAsiaTheme="minorEastAsia"/>
                <w:sz w:val="21"/>
                <w:szCs w:val="21"/>
                <w:highlight w:val="none"/>
                <w:lang w:val="zh-CN"/>
              </w:rPr>
              <w:t>-Mg</w:t>
            </w:r>
            <w:r>
              <w:rPr>
                <w:rFonts w:hint="default" w:eastAsiaTheme="minorEastAsia"/>
                <w:sz w:val="21"/>
                <w:szCs w:val="21"/>
                <w:highlight w:val="none"/>
                <w:vertAlign w:val="superscript"/>
                <w:lang w:val="zh-CN"/>
              </w:rPr>
              <w:t>2+</w:t>
            </w:r>
          </w:p>
        </w:tc>
        <w:tc>
          <w:tcPr>
            <w:tcW w:w="457" w:type="pct"/>
            <w:vAlign w:val="center"/>
          </w:tcPr>
          <w:p w14:paraId="36DBFCC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w:t>
            </w:r>
          </w:p>
        </w:tc>
        <w:tc>
          <w:tcPr>
            <w:tcW w:w="661" w:type="pct"/>
            <w:vAlign w:val="center"/>
          </w:tcPr>
          <w:p w14:paraId="3216B48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9</w:t>
            </w:r>
          </w:p>
        </w:tc>
        <w:tc>
          <w:tcPr>
            <w:tcW w:w="646" w:type="pct"/>
            <w:vAlign w:val="center"/>
          </w:tcPr>
          <w:p w14:paraId="56587A1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16</w:t>
            </w:r>
          </w:p>
        </w:tc>
        <w:tc>
          <w:tcPr>
            <w:tcW w:w="584" w:type="pct"/>
            <w:vAlign w:val="center"/>
          </w:tcPr>
          <w:p w14:paraId="634B0B6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23</w:t>
            </w:r>
          </w:p>
        </w:tc>
        <w:tc>
          <w:tcPr>
            <w:tcW w:w="542" w:type="pct"/>
            <w:vAlign w:val="center"/>
          </w:tcPr>
          <w:p w14:paraId="546F8BA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30</w:t>
            </w:r>
          </w:p>
        </w:tc>
        <w:tc>
          <w:tcPr>
            <w:tcW w:w="591" w:type="pct"/>
            <w:vAlign w:val="center"/>
          </w:tcPr>
          <w:p w14:paraId="36383C7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37</w:t>
            </w:r>
          </w:p>
        </w:tc>
        <w:tc>
          <w:tcPr>
            <w:tcW w:w="590" w:type="pct"/>
            <w:vAlign w:val="center"/>
          </w:tcPr>
          <w:p w14:paraId="4324EF1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44</w:t>
            </w:r>
          </w:p>
        </w:tc>
      </w:tr>
      <w:tr w14:paraId="28AA3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886" w:type="pct"/>
            <w:vAlign w:val="center"/>
          </w:tcPr>
          <w:p w14:paraId="5E3CE07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Mg</w:t>
            </w:r>
            <w:r>
              <w:rPr>
                <w:rFonts w:hint="default" w:eastAsiaTheme="minorEastAsia"/>
                <w:sz w:val="21"/>
                <w:szCs w:val="21"/>
                <w:highlight w:val="none"/>
                <w:vertAlign w:val="superscript"/>
                <w:lang w:val="zh-CN"/>
              </w:rPr>
              <w:t>2+</w:t>
            </w:r>
          </w:p>
        </w:tc>
        <w:tc>
          <w:tcPr>
            <w:tcW w:w="457" w:type="pct"/>
            <w:vAlign w:val="center"/>
          </w:tcPr>
          <w:p w14:paraId="740BBBA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w:t>
            </w:r>
          </w:p>
        </w:tc>
        <w:tc>
          <w:tcPr>
            <w:tcW w:w="661" w:type="pct"/>
            <w:vAlign w:val="center"/>
          </w:tcPr>
          <w:p w14:paraId="2F41BD3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10</w:t>
            </w:r>
          </w:p>
        </w:tc>
        <w:tc>
          <w:tcPr>
            <w:tcW w:w="646" w:type="pct"/>
            <w:vAlign w:val="center"/>
          </w:tcPr>
          <w:p w14:paraId="5863DB5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17</w:t>
            </w:r>
          </w:p>
        </w:tc>
        <w:tc>
          <w:tcPr>
            <w:tcW w:w="584" w:type="pct"/>
            <w:vAlign w:val="center"/>
          </w:tcPr>
          <w:p w14:paraId="2C72FA5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24</w:t>
            </w:r>
          </w:p>
        </w:tc>
        <w:tc>
          <w:tcPr>
            <w:tcW w:w="542" w:type="pct"/>
            <w:vAlign w:val="center"/>
          </w:tcPr>
          <w:p w14:paraId="0768DCE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31</w:t>
            </w:r>
          </w:p>
        </w:tc>
        <w:tc>
          <w:tcPr>
            <w:tcW w:w="591" w:type="pct"/>
            <w:vAlign w:val="center"/>
          </w:tcPr>
          <w:p w14:paraId="5459C18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38</w:t>
            </w:r>
          </w:p>
        </w:tc>
        <w:tc>
          <w:tcPr>
            <w:tcW w:w="590" w:type="pct"/>
            <w:vAlign w:val="center"/>
          </w:tcPr>
          <w:p w14:paraId="7172EDB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45</w:t>
            </w:r>
          </w:p>
        </w:tc>
      </w:tr>
      <w:tr w14:paraId="44CDD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886" w:type="pct"/>
            <w:vAlign w:val="center"/>
          </w:tcPr>
          <w:p w14:paraId="0C0BDEF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Na</w:t>
            </w:r>
            <w:r>
              <w:rPr>
                <w:rFonts w:hint="default" w:eastAsiaTheme="minorEastAsia"/>
                <w:sz w:val="21"/>
                <w:szCs w:val="21"/>
                <w:highlight w:val="none"/>
                <w:vertAlign w:val="superscript"/>
                <w:lang w:val="zh-CN"/>
              </w:rPr>
              <w:t>+</w:t>
            </w:r>
            <w:r>
              <w:rPr>
                <w:rFonts w:hint="default" w:eastAsiaTheme="minorEastAsia"/>
                <w:sz w:val="21"/>
                <w:szCs w:val="21"/>
                <w:highlight w:val="none"/>
                <w:lang w:val="zh-CN"/>
              </w:rPr>
              <w:t>-Ca</w:t>
            </w:r>
            <w:r>
              <w:rPr>
                <w:rFonts w:hint="default" w:eastAsiaTheme="minorEastAsia"/>
                <w:sz w:val="21"/>
                <w:szCs w:val="21"/>
                <w:highlight w:val="none"/>
                <w:vertAlign w:val="superscript"/>
                <w:lang w:val="zh-CN"/>
              </w:rPr>
              <w:t>2+</w:t>
            </w:r>
          </w:p>
        </w:tc>
        <w:tc>
          <w:tcPr>
            <w:tcW w:w="457" w:type="pct"/>
            <w:vAlign w:val="center"/>
          </w:tcPr>
          <w:p w14:paraId="728A886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w:t>
            </w:r>
          </w:p>
        </w:tc>
        <w:tc>
          <w:tcPr>
            <w:tcW w:w="661" w:type="pct"/>
            <w:vAlign w:val="center"/>
          </w:tcPr>
          <w:p w14:paraId="5A9A502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11</w:t>
            </w:r>
          </w:p>
        </w:tc>
        <w:tc>
          <w:tcPr>
            <w:tcW w:w="646" w:type="pct"/>
            <w:vAlign w:val="center"/>
          </w:tcPr>
          <w:p w14:paraId="0A5A437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18</w:t>
            </w:r>
          </w:p>
        </w:tc>
        <w:tc>
          <w:tcPr>
            <w:tcW w:w="584" w:type="pct"/>
            <w:vAlign w:val="center"/>
          </w:tcPr>
          <w:p w14:paraId="51BC175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25</w:t>
            </w:r>
          </w:p>
        </w:tc>
        <w:tc>
          <w:tcPr>
            <w:tcW w:w="542" w:type="pct"/>
            <w:vAlign w:val="center"/>
          </w:tcPr>
          <w:p w14:paraId="0B96C8E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32</w:t>
            </w:r>
          </w:p>
        </w:tc>
        <w:tc>
          <w:tcPr>
            <w:tcW w:w="591" w:type="pct"/>
            <w:vAlign w:val="center"/>
          </w:tcPr>
          <w:p w14:paraId="0D05735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39</w:t>
            </w:r>
          </w:p>
        </w:tc>
        <w:tc>
          <w:tcPr>
            <w:tcW w:w="590" w:type="pct"/>
            <w:vAlign w:val="center"/>
          </w:tcPr>
          <w:p w14:paraId="3C62B54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46</w:t>
            </w:r>
          </w:p>
        </w:tc>
      </w:tr>
      <w:tr w14:paraId="3BA69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886" w:type="pct"/>
            <w:vAlign w:val="center"/>
          </w:tcPr>
          <w:p w14:paraId="6D3CBA0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Na</w:t>
            </w:r>
            <w:r>
              <w:rPr>
                <w:rFonts w:hint="default" w:eastAsiaTheme="minorEastAsia"/>
                <w:sz w:val="21"/>
                <w:szCs w:val="21"/>
                <w:highlight w:val="none"/>
                <w:vertAlign w:val="superscript"/>
                <w:lang w:val="zh-CN"/>
              </w:rPr>
              <w:t>+</w:t>
            </w:r>
            <w:r>
              <w:rPr>
                <w:rFonts w:hint="default" w:eastAsiaTheme="minorEastAsia"/>
                <w:sz w:val="21"/>
                <w:szCs w:val="21"/>
                <w:highlight w:val="none"/>
                <w:lang w:val="zh-CN"/>
              </w:rPr>
              <w:t>-Ca</w:t>
            </w:r>
            <w:r>
              <w:rPr>
                <w:rFonts w:hint="default" w:eastAsiaTheme="minorEastAsia"/>
                <w:sz w:val="21"/>
                <w:szCs w:val="21"/>
                <w:highlight w:val="none"/>
                <w:vertAlign w:val="superscript"/>
                <w:lang w:val="zh-CN"/>
              </w:rPr>
              <w:t>2+</w:t>
            </w:r>
            <w:r>
              <w:rPr>
                <w:rFonts w:hint="default" w:eastAsiaTheme="minorEastAsia"/>
                <w:sz w:val="21"/>
                <w:szCs w:val="21"/>
                <w:highlight w:val="none"/>
                <w:lang w:val="zh-CN"/>
              </w:rPr>
              <w:t>-Mg</w:t>
            </w:r>
            <w:r>
              <w:rPr>
                <w:rFonts w:hint="default" w:eastAsiaTheme="minorEastAsia"/>
                <w:sz w:val="21"/>
                <w:szCs w:val="21"/>
                <w:highlight w:val="none"/>
                <w:vertAlign w:val="superscript"/>
                <w:lang w:val="zh-CN"/>
              </w:rPr>
              <w:t>2+</w:t>
            </w:r>
          </w:p>
        </w:tc>
        <w:tc>
          <w:tcPr>
            <w:tcW w:w="457" w:type="pct"/>
            <w:vAlign w:val="center"/>
          </w:tcPr>
          <w:p w14:paraId="0FF6999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5</w:t>
            </w:r>
          </w:p>
        </w:tc>
        <w:tc>
          <w:tcPr>
            <w:tcW w:w="661" w:type="pct"/>
            <w:vAlign w:val="center"/>
          </w:tcPr>
          <w:p w14:paraId="361C9FD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12</w:t>
            </w:r>
          </w:p>
        </w:tc>
        <w:tc>
          <w:tcPr>
            <w:tcW w:w="646" w:type="pct"/>
            <w:vAlign w:val="center"/>
          </w:tcPr>
          <w:p w14:paraId="2B45ECD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19</w:t>
            </w:r>
          </w:p>
        </w:tc>
        <w:tc>
          <w:tcPr>
            <w:tcW w:w="584" w:type="pct"/>
            <w:vAlign w:val="center"/>
          </w:tcPr>
          <w:p w14:paraId="77CED33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26</w:t>
            </w:r>
          </w:p>
        </w:tc>
        <w:tc>
          <w:tcPr>
            <w:tcW w:w="542" w:type="pct"/>
            <w:vAlign w:val="center"/>
          </w:tcPr>
          <w:p w14:paraId="399425B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33</w:t>
            </w:r>
          </w:p>
        </w:tc>
        <w:tc>
          <w:tcPr>
            <w:tcW w:w="591" w:type="pct"/>
            <w:vAlign w:val="center"/>
          </w:tcPr>
          <w:p w14:paraId="1F9E131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40</w:t>
            </w:r>
          </w:p>
        </w:tc>
        <w:tc>
          <w:tcPr>
            <w:tcW w:w="590" w:type="pct"/>
            <w:vAlign w:val="center"/>
          </w:tcPr>
          <w:p w14:paraId="3CDBEA4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47</w:t>
            </w:r>
          </w:p>
        </w:tc>
      </w:tr>
      <w:tr w14:paraId="690A7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886" w:type="pct"/>
            <w:vAlign w:val="center"/>
          </w:tcPr>
          <w:p w14:paraId="5E6CCEB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Na</w:t>
            </w:r>
            <w:r>
              <w:rPr>
                <w:rFonts w:hint="default" w:eastAsiaTheme="minorEastAsia"/>
                <w:sz w:val="21"/>
                <w:szCs w:val="21"/>
                <w:highlight w:val="none"/>
                <w:vertAlign w:val="superscript"/>
                <w:lang w:val="zh-CN"/>
              </w:rPr>
              <w:t>+</w:t>
            </w:r>
            <w:r>
              <w:rPr>
                <w:rFonts w:hint="default" w:eastAsiaTheme="minorEastAsia"/>
                <w:sz w:val="21"/>
                <w:szCs w:val="21"/>
                <w:highlight w:val="none"/>
                <w:lang w:val="zh-CN"/>
              </w:rPr>
              <w:t>-Mg</w:t>
            </w:r>
            <w:r>
              <w:rPr>
                <w:rFonts w:hint="default" w:eastAsiaTheme="minorEastAsia"/>
                <w:sz w:val="21"/>
                <w:szCs w:val="21"/>
                <w:highlight w:val="none"/>
                <w:vertAlign w:val="superscript"/>
                <w:lang w:val="zh-CN"/>
              </w:rPr>
              <w:t>2+</w:t>
            </w:r>
          </w:p>
        </w:tc>
        <w:tc>
          <w:tcPr>
            <w:tcW w:w="457" w:type="pct"/>
            <w:vAlign w:val="center"/>
          </w:tcPr>
          <w:p w14:paraId="0EE1773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6</w:t>
            </w:r>
          </w:p>
        </w:tc>
        <w:tc>
          <w:tcPr>
            <w:tcW w:w="661" w:type="pct"/>
            <w:vAlign w:val="center"/>
          </w:tcPr>
          <w:p w14:paraId="16B71EF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13</w:t>
            </w:r>
          </w:p>
        </w:tc>
        <w:tc>
          <w:tcPr>
            <w:tcW w:w="646" w:type="pct"/>
            <w:vAlign w:val="center"/>
          </w:tcPr>
          <w:p w14:paraId="619D04B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20</w:t>
            </w:r>
          </w:p>
        </w:tc>
        <w:tc>
          <w:tcPr>
            <w:tcW w:w="584" w:type="pct"/>
            <w:vAlign w:val="center"/>
          </w:tcPr>
          <w:p w14:paraId="5F3B296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27</w:t>
            </w:r>
          </w:p>
        </w:tc>
        <w:tc>
          <w:tcPr>
            <w:tcW w:w="542" w:type="pct"/>
            <w:vAlign w:val="center"/>
          </w:tcPr>
          <w:p w14:paraId="4CC99DC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34</w:t>
            </w:r>
          </w:p>
        </w:tc>
        <w:tc>
          <w:tcPr>
            <w:tcW w:w="591" w:type="pct"/>
            <w:vAlign w:val="center"/>
          </w:tcPr>
          <w:p w14:paraId="007E3F0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41</w:t>
            </w:r>
          </w:p>
        </w:tc>
        <w:tc>
          <w:tcPr>
            <w:tcW w:w="590" w:type="pct"/>
            <w:vAlign w:val="center"/>
          </w:tcPr>
          <w:p w14:paraId="616634E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48</w:t>
            </w:r>
          </w:p>
        </w:tc>
      </w:tr>
      <w:tr w14:paraId="7CB90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886" w:type="pct"/>
            <w:vAlign w:val="center"/>
          </w:tcPr>
          <w:p w14:paraId="6F5FC81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Na</w:t>
            </w:r>
            <w:r>
              <w:rPr>
                <w:rFonts w:hint="default" w:eastAsiaTheme="minorEastAsia"/>
                <w:sz w:val="21"/>
                <w:szCs w:val="21"/>
                <w:highlight w:val="none"/>
                <w:vertAlign w:val="superscript"/>
                <w:lang w:val="zh-CN"/>
              </w:rPr>
              <w:t>+</w:t>
            </w:r>
          </w:p>
        </w:tc>
        <w:tc>
          <w:tcPr>
            <w:tcW w:w="457" w:type="pct"/>
            <w:vAlign w:val="center"/>
          </w:tcPr>
          <w:p w14:paraId="4E21B84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7</w:t>
            </w:r>
          </w:p>
        </w:tc>
        <w:tc>
          <w:tcPr>
            <w:tcW w:w="661" w:type="pct"/>
            <w:vAlign w:val="center"/>
          </w:tcPr>
          <w:p w14:paraId="4EF6310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14</w:t>
            </w:r>
          </w:p>
        </w:tc>
        <w:tc>
          <w:tcPr>
            <w:tcW w:w="646" w:type="pct"/>
            <w:vAlign w:val="center"/>
          </w:tcPr>
          <w:p w14:paraId="41B7850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21</w:t>
            </w:r>
          </w:p>
        </w:tc>
        <w:tc>
          <w:tcPr>
            <w:tcW w:w="584" w:type="pct"/>
            <w:vAlign w:val="center"/>
          </w:tcPr>
          <w:p w14:paraId="3E2B102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28</w:t>
            </w:r>
          </w:p>
        </w:tc>
        <w:tc>
          <w:tcPr>
            <w:tcW w:w="542" w:type="pct"/>
            <w:vAlign w:val="center"/>
          </w:tcPr>
          <w:p w14:paraId="0682736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35</w:t>
            </w:r>
          </w:p>
        </w:tc>
        <w:tc>
          <w:tcPr>
            <w:tcW w:w="591" w:type="pct"/>
            <w:vAlign w:val="center"/>
          </w:tcPr>
          <w:p w14:paraId="38B6842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42</w:t>
            </w:r>
          </w:p>
        </w:tc>
        <w:tc>
          <w:tcPr>
            <w:tcW w:w="590" w:type="pct"/>
            <w:vAlign w:val="center"/>
          </w:tcPr>
          <w:p w14:paraId="3C69C0B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z w:val="21"/>
                <w:szCs w:val="21"/>
                <w:highlight w:val="none"/>
                <w:lang w:val="zh-CN"/>
              </w:rPr>
            </w:pPr>
            <w:r>
              <w:rPr>
                <w:rFonts w:hint="default" w:eastAsiaTheme="minorEastAsia"/>
                <w:sz w:val="21"/>
                <w:szCs w:val="21"/>
                <w:highlight w:val="none"/>
                <w:lang w:val="zh-CN"/>
              </w:rPr>
              <w:t>49</w:t>
            </w:r>
          </w:p>
        </w:tc>
      </w:tr>
    </w:tbl>
    <w:p w14:paraId="1A257FC5">
      <w:pPr>
        <w:bidi w:val="0"/>
        <w:rPr>
          <w:highlight w:val="none"/>
        </w:rPr>
      </w:pPr>
      <w:r>
        <w:rPr>
          <w:rFonts w:hAnsiTheme="minorEastAsia" w:eastAsiaTheme="minorEastAsia"/>
          <w:highlight w:val="none"/>
        </w:rPr>
        <w:t>第二步，对水文资</w:t>
      </w:r>
      <w:r>
        <w:rPr>
          <w:highlight w:val="none"/>
        </w:rPr>
        <w:t>料进行整理：</w:t>
      </w:r>
    </w:p>
    <w:p w14:paraId="2BF89E2D">
      <w:pPr>
        <w:bidi w:val="0"/>
        <w:rPr>
          <w:highlight w:val="none"/>
        </w:rPr>
      </w:pPr>
      <w:r>
        <w:rPr>
          <w:highlight w:val="none"/>
        </w:rPr>
        <w:t>换算毫克/升为毫克当量/升及毫克当量百分数</w:t>
      </w:r>
    </w:p>
    <w:p w14:paraId="061968AD">
      <w:pPr>
        <w:bidi w:val="0"/>
        <w:rPr>
          <w:highlight w:val="none"/>
        </w:rPr>
      </w:pPr>
      <w:r>
        <w:rPr>
          <w:highlight w:val="none"/>
        </w:rPr>
        <w:t>按照化学原理，毫克数与毫克当量数的关系如下式：</w:t>
      </w:r>
    </w:p>
    <w:p w14:paraId="3776B371">
      <w:pPr>
        <w:bidi w:val="0"/>
        <w:rPr>
          <w:highlight w:val="none"/>
        </w:rPr>
      </w:pPr>
      <w:r>
        <w:rPr>
          <w:highlight w:val="none"/>
        </w:rPr>
        <w:t>离子的毫克当量数=</w:t>
      </w:r>
      <m:oMath>
        <m:f>
          <m:fPr>
            <m:ctrlPr>
              <w:rPr>
                <w:rFonts w:ascii="Cambria Math" w:hAnsi="Cambria Math"/>
                <w:highlight w:val="none"/>
              </w:rPr>
            </m:ctrlPr>
          </m:fPr>
          <m:num>
            <m:r>
              <m:rPr>
                <m:sty m:val="p"/>
              </m:rPr>
              <w:rPr>
                <w:rFonts w:ascii="Cambria Math" w:hAnsi="Cambria Math"/>
                <w:highlight w:val="none"/>
              </w:rPr>
              <m:t>离子的毫克数</m:t>
            </m:r>
            <m:ctrlPr>
              <w:rPr>
                <w:rFonts w:ascii="Cambria Math" w:hAnsi="Cambria Math"/>
                <w:highlight w:val="none"/>
              </w:rPr>
            </m:ctrlPr>
          </m:num>
          <m:den>
            <m:r>
              <m:rPr>
                <m:sty m:val="p"/>
              </m:rPr>
              <w:rPr>
                <w:rFonts w:ascii="Cambria Math" w:hAnsi="Cambria Math"/>
                <w:highlight w:val="none"/>
              </w:rPr>
              <m:t>离子的当量</m:t>
            </m:r>
            <m:ctrlPr>
              <w:rPr>
                <w:rFonts w:ascii="Cambria Math" w:hAnsi="Cambria Math"/>
                <w:highlight w:val="none"/>
              </w:rPr>
            </m:ctrlPr>
          </m:den>
        </m:f>
      </m:oMath>
    </w:p>
    <w:p w14:paraId="79591C0B">
      <w:pPr>
        <w:bidi w:val="0"/>
        <w:rPr>
          <w:highlight w:val="none"/>
        </w:rPr>
      </w:pPr>
      <w:r>
        <w:rPr>
          <w:highlight w:val="none"/>
        </w:rPr>
        <w:t>某阴离子的毫克当量百分数=</w:t>
      </w:r>
      <m:oMath>
        <m:f>
          <m:fPr>
            <m:ctrlPr>
              <w:rPr>
                <w:rFonts w:ascii="Cambria Math" w:hAnsi="Cambria Math"/>
                <w:highlight w:val="none"/>
              </w:rPr>
            </m:ctrlPr>
          </m:fPr>
          <m:num>
            <m:r>
              <m:rPr>
                <m:sty m:val="p"/>
              </m:rPr>
              <w:rPr>
                <w:rFonts w:ascii="Cambria Math" w:hAnsi="Cambria Math"/>
                <w:highlight w:val="none"/>
              </w:rPr>
              <m:t>该离子毫克当量/升</m:t>
            </m:r>
            <m:ctrlPr>
              <w:rPr>
                <w:rFonts w:ascii="Cambria Math" w:hAnsi="Cambria Math"/>
                <w:highlight w:val="none"/>
              </w:rPr>
            </m:ctrlPr>
          </m:num>
          <m:den>
            <m:r>
              <m:rPr>
                <m:sty m:val="p"/>
              </m:rPr>
              <w:rPr>
                <w:rFonts w:ascii="Cambria Math" w:hAnsi="Cambria Math"/>
                <w:highlight w:val="none"/>
              </w:rPr>
              <m:t>阴离子毫克当量总数/升</m:t>
            </m:r>
            <m:ctrlPr>
              <w:rPr>
                <w:rFonts w:ascii="Cambria Math" w:hAnsi="Cambria Math"/>
                <w:highlight w:val="none"/>
              </w:rPr>
            </m:ctrlPr>
          </m:den>
        </m:f>
      </m:oMath>
      <w:r>
        <w:rPr>
          <w:highlight w:val="none"/>
        </w:rPr>
        <w:t>×100%</w:t>
      </w:r>
    </w:p>
    <w:p w14:paraId="19801575">
      <w:pPr>
        <w:bidi w:val="0"/>
        <w:rPr>
          <w:highlight w:val="none"/>
        </w:rPr>
      </w:pPr>
      <w:r>
        <w:rPr>
          <w:highlight w:val="none"/>
        </w:rPr>
        <w:t>第三步，按矿化度（M）的大小划分为4组。</w:t>
      </w:r>
    </w:p>
    <w:p w14:paraId="40319A30">
      <w:pPr>
        <w:bidi w:val="0"/>
        <w:rPr>
          <w:highlight w:val="none"/>
        </w:rPr>
      </w:pPr>
      <w:r>
        <w:rPr>
          <w:highlight w:val="none"/>
        </w:rPr>
        <w:t>A组——M≤1.5g/L；B组——1.5＜M≤10g/L；</w:t>
      </w:r>
    </w:p>
    <w:p w14:paraId="6F5FAD48">
      <w:pPr>
        <w:bidi w:val="0"/>
        <w:rPr>
          <w:highlight w:val="none"/>
        </w:rPr>
      </w:pPr>
      <w:r>
        <w:rPr>
          <w:highlight w:val="none"/>
        </w:rPr>
        <w:t>C组——10＜M≤40g/L；D组——M＞40g/L。</w:t>
      </w:r>
    </w:p>
    <w:p w14:paraId="4376DF54">
      <w:pPr>
        <w:bidi w:val="0"/>
        <w:rPr>
          <w:highlight w:val="none"/>
        </w:rPr>
      </w:pPr>
      <w:r>
        <w:rPr>
          <w:highlight w:val="none"/>
        </w:rPr>
        <w:t>矿化度的计算采用《用主要阴离子含量计算水的矿化度》（高仁先.山东省水利科学研究院），计算方法如下：</w:t>
      </w:r>
    </w:p>
    <w:p w14:paraId="14DA1925">
      <w:pPr>
        <w:bidi w:val="0"/>
        <w:rPr>
          <w:highlight w:val="none"/>
        </w:rPr>
      </w:pPr>
      <w:r>
        <w:rPr>
          <w:highlight w:val="none"/>
        </w:rPr>
        <w:t>矿化度（g/L）=C（∑A）×MS</w:t>
      </w:r>
    </w:p>
    <w:p w14:paraId="6587097A">
      <w:pPr>
        <w:bidi w:val="0"/>
        <w:rPr>
          <w:highlight w:val="none"/>
        </w:rPr>
      </w:pPr>
      <w:r>
        <w:rPr>
          <w:highlight w:val="none"/>
        </w:rPr>
        <w:t>SB=</w:t>
      </w:r>
      <m:oMath>
        <m:f>
          <m:fPr>
            <m:ctrlPr>
              <w:rPr>
                <w:rFonts w:ascii="Cambria Math" w:hAnsi="Cambria Math"/>
                <w:highlight w:val="none"/>
              </w:rPr>
            </m:ctrlPr>
          </m:fPr>
          <m:num>
            <m:r>
              <m:rPr>
                <m:sty m:val="p"/>
              </m:rPr>
              <w:rPr>
                <w:rFonts w:ascii="Cambria Math" w:hAnsi="Cambria Math"/>
                <w:highlight w:val="none"/>
              </w:rPr>
              <m:t>C（</m:t>
            </m:r>
            <m:f>
              <m:fPr>
                <m:type m:val="skw"/>
                <m:ctrlPr>
                  <w:rPr>
                    <w:rFonts w:ascii="Cambria Math" w:hAnsi="Cambria Math"/>
                    <w:highlight w:val="none"/>
                  </w:rPr>
                </m:ctrlPr>
              </m:fPr>
              <m:num>
                <m:r>
                  <m:rPr>
                    <m:sty m:val="p"/>
                  </m:rPr>
                  <w:rPr>
                    <w:rFonts w:ascii="Cambria Math" w:hAnsi="Cambria Math"/>
                    <w:highlight w:val="none"/>
                  </w:rPr>
                  <m:t>1</m:t>
                </m:r>
                <m:ctrlPr>
                  <w:rPr>
                    <w:rFonts w:ascii="Cambria Math" w:hAnsi="Cambria Math"/>
                    <w:highlight w:val="none"/>
                  </w:rPr>
                </m:ctrlPr>
              </m:num>
              <m:den>
                <m:r>
                  <m:rPr>
                    <m:sty m:val="p"/>
                  </m:rPr>
                  <w:rPr>
                    <w:rFonts w:ascii="Cambria Math" w:hAnsi="Cambria Math"/>
                    <w:highlight w:val="none"/>
                  </w:rPr>
                  <m:t>2</m:t>
                </m:r>
                <m:ctrlPr>
                  <w:rPr>
                    <w:rFonts w:ascii="Cambria Math" w:hAnsi="Cambria Math"/>
                    <w:highlight w:val="none"/>
                  </w:rPr>
                </m:ctrlPr>
              </m:den>
            </m:f>
            <m:sSubSup>
              <m:sSubSupPr>
                <m:ctrlPr>
                  <w:rPr>
                    <w:rFonts w:ascii="Cambria Math" w:hAnsi="Cambria Math"/>
                    <w:highlight w:val="none"/>
                  </w:rPr>
                </m:ctrlPr>
              </m:sSubSupPr>
              <m:e>
                <m:r>
                  <m:rPr>
                    <m:sty m:val="p"/>
                  </m:rPr>
                  <w:rPr>
                    <w:rFonts w:ascii="Cambria Math" w:hAnsi="Cambria Math"/>
                    <w:highlight w:val="none"/>
                  </w:rPr>
                  <m:t>SO</m:t>
                </m:r>
                <m:ctrlPr>
                  <w:rPr>
                    <w:rFonts w:ascii="Cambria Math" w:hAnsi="Cambria Math"/>
                    <w:highlight w:val="none"/>
                  </w:rPr>
                </m:ctrlPr>
              </m:e>
              <m:sub>
                <m:r>
                  <m:rPr>
                    <m:sty m:val="p"/>
                  </m:rPr>
                  <w:rPr>
                    <w:rFonts w:ascii="Cambria Math" w:hAnsi="Cambria Math"/>
                    <w:highlight w:val="none"/>
                  </w:rPr>
                  <m:t>4</m:t>
                </m:r>
                <m:ctrlPr>
                  <w:rPr>
                    <w:rFonts w:ascii="Cambria Math" w:hAnsi="Cambria Math"/>
                    <w:highlight w:val="none"/>
                  </w:rPr>
                </m:ctrlPr>
              </m:sub>
              <m:sup>
                <m:r>
                  <m:rPr>
                    <m:sty m:val="p"/>
                  </m:rPr>
                  <w:rPr>
                    <w:rFonts w:ascii="Cambria Math" w:hAnsi="Cambria Math"/>
                    <w:highlight w:val="none"/>
                  </w:rPr>
                  <m:t>2−</m:t>
                </m:r>
                <m:ctrlPr>
                  <w:rPr>
                    <w:rFonts w:ascii="Cambria Math" w:hAnsi="Cambria Math"/>
                    <w:highlight w:val="none"/>
                  </w:rPr>
                </m:ctrlPr>
              </m:sup>
            </m:sSubSup>
            <m:r>
              <m:rPr>
                <m:sty m:val="p"/>
              </m:rPr>
              <w:rPr>
                <w:rFonts w:ascii="Cambria Math" w:hAnsi="Cambria Math"/>
                <w:highlight w:val="none"/>
              </w:rPr>
              <m:t>）</m:t>
            </m:r>
            <m:ctrlPr>
              <w:rPr>
                <w:rFonts w:ascii="Cambria Math" w:hAnsi="Cambria Math"/>
                <w:highlight w:val="none"/>
              </w:rPr>
            </m:ctrlPr>
          </m:num>
          <m:den>
            <m:r>
              <m:rPr>
                <m:sty m:val="p"/>
              </m:rPr>
              <w:rPr>
                <w:rFonts w:ascii="Cambria Math" w:hAnsi="Cambria Math"/>
                <w:highlight w:val="none"/>
              </w:rPr>
              <m:t>C(∑A)</m:t>
            </m:r>
            <m:ctrlPr>
              <w:rPr>
                <w:rFonts w:ascii="Cambria Math" w:hAnsi="Cambria Math"/>
                <w:highlight w:val="none"/>
              </w:rPr>
            </m:ctrlPr>
          </m:den>
        </m:f>
      </m:oMath>
      <w:r>
        <w:rPr>
          <w:highlight w:val="none"/>
        </w:rPr>
        <w:t>或</w:t>
      </w:r>
      <m:oMath>
        <m:f>
          <m:fPr>
            <m:ctrlPr>
              <w:rPr>
                <w:rFonts w:ascii="Cambria Math" w:hAnsi="Cambria Math"/>
                <w:highlight w:val="none"/>
              </w:rPr>
            </m:ctrlPr>
          </m:fPr>
          <m:num>
            <m:r>
              <m:rPr>
                <m:sty m:val="p"/>
              </m:rPr>
              <w:rPr>
                <w:rFonts w:ascii="Cambria Math" w:hAnsi="Cambria Math"/>
                <w:highlight w:val="none"/>
              </w:rPr>
              <m:t>C</m:t>
            </m:r>
            <m:d>
              <m:dPr>
                <m:ctrlPr>
                  <w:rPr>
                    <w:rFonts w:ascii="Cambria Math" w:hAnsi="Cambria Math"/>
                    <w:highlight w:val="none"/>
                  </w:rPr>
                </m:ctrlPr>
              </m:dPr>
              <m:e>
                <m:r>
                  <m:rPr>
                    <m:sty m:val="p"/>
                  </m:rPr>
                  <w:rPr>
                    <w:rFonts w:ascii="Cambria Math" w:hAnsi="Cambria Math"/>
                    <w:highlight w:val="none"/>
                  </w:rPr>
                  <m:t>∑H</m:t>
                </m:r>
                <m:ctrlPr>
                  <w:rPr>
                    <w:rFonts w:ascii="Cambria Math" w:hAnsi="Cambria Math"/>
                    <w:highlight w:val="none"/>
                  </w:rPr>
                </m:ctrlPr>
              </m:e>
            </m:d>
            <m:r>
              <m:rPr>
                <m:sty m:val="p"/>
              </m:rPr>
              <w:rPr>
                <w:rFonts w:ascii="Cambria Math" w:hAnsi="Cambria Math"/>
                <w:highlight w:val="none"/>
              </w:rPr>
              <m:t>−C(</m:t>
            </m:r>
            <m:sSup>
              <m:sSupPr>
                <m:ctrlPr>
                  <w:rPr>
                    <w:rFonts w:ascii="Cambria Math" w:hAnsi="Cambria Math"/>
                    <w:highlight w:val="none"/>
                  </w:rPr>
                </m:ctrlPr>
              </m:sSupPr>
              <m:e>
                <m:r>
                  <m:rPr>
                    <m:sty m:val="p"/>
                  </m:rPr>
                  <w:rPr>
                    <w:rFonts w:ascii="Cambria Math" w:hAnsi="Cambria Math"/>
                    <w:highlight w:val="none"/>
                  </w:rPr>
                  <m:t>Cl</m:t>
                </m:r>
                <m:ctrlPr>
                  <w:rPr>
                    <w:rFonts w:ascii="Cambria Math" w:hAnsi="Cambria Math"/>
                    <w:highlight w:val="none"/>
                  </w:rPr>
                </m:ctrlPr>
              </m:e>
              <m:sup>
                <m:r>
                  <m:rPr>
                    <m:sty m:val="p"/>
                  </m:rPr>
                  <w:rPr>
                    <w:rFonts w:ascii="Cambria Math" w:hAnsi="Cambria Math"/>
                    <w:highlight w:val="none"/>
                  </w:rPr>
                  <m:t>−</m:t>
                </m:r>
                <m:ctrlPr>
                  <w:rPr>
                    <w:rFonts w:ascii="Cambria Math" w:hAnsi="Cambria Math"/>
                    <w:highlight w:val="none"/>
                  </w:rPr>
                </m:ctrlPr>
              </m:sup>
            </m:sSup>
            <m:r>
              <m:rPr>
                <m:sty m:val="p"/>
              </m:rPr>
              <w:rPr>
                <w:rFonts w:ascii="Cambria Math" w:hAnsi="Cambria Math"/>
                <w:highlight w:val="none"/>
              </w:rPr>
              <m:t>)</m:t>
            </m:r>
            <m:ctrlPr>
              <w:rPr>
                <w:rFonts w:ascii="Cambria Math" w:hAnsi="Cambria Math"/>
                <w:highlight w:val="none"/>
              </w:rPr>
            </m:ctrlPr>
          </m:num>
          <m:den>
            <m:r>
              <m:rPr>
                <m:sty m:val="p"/>
              </m:rPr>
              <w:rPr>
                <w:rFonts w:ascii="Cambria Math" w:hAnsi="Cambria Math"/>
                <w:highlight w:val="none"/>
              </w:rPr>
              <m:t>C(∑A)</m:t>
            </m:r>
            <m:ctrlPr>
              <w:rPr>
                <w:rFonts w:ascii="Cambria Math" w:hAnsi="Cambria Math"/>
                <w:highlight w:val="none"/>
              </w:rPr>
            </m:ctrlPr>
          </m:den>
        </m:f>
      </m:oMath>
    </w:p>
    <w:p w14:paraId="71A4F8AA">
      <w:pPr>
        <w:bidi w:val="0"/>
        <w:rPr>
          <w:highlight w:val="none"/>
        </w:rPr>
      </w:pPr>
      <w:r>
        <w:rPr>
          <w:highlight w:val="none"/>
        </w:rPr>
        <w:t>HCB=</w:t>
      </w:r>
      <m:oMath>
        <m:f>
          <m:fPr>
            <m:ctrlPr>
              <w:rPr>
                <w:rFonts w:ascii="Cambria Math" w:hAnsi="Cambria Math"/>
                <w:highlight w:val="none"/>
              </w:rPr>
            </m:ctrlPr>
          </m:fPr>
          <m:num>
            <m:r>
              <m:rPr>
                <m:sty m:val="p"/>
              </m:rPr>
              <w:rPr>
                <w:rFonts w:ascii="Cambria Math" w:hAnsi="Cambria Math"/>
                <w:highlight w:val="none"/>
              </w:rPr>
              <m:t>C(</m:t>
            </m:r>
            <m:sSubSup>
              <m:sSubSupPr>
                <m:ctrlPr>
                  <w:rPr>
                    <w:rFonts w:ascii="Cambria Math" w:hAnsi="Cambria Math"/>
                    <w:highlight w:val="none"/>
                  </w:rPr>
                </m:ctrlPr>
              </m:sSubSupPr>
              <m:e>
                <m:r>
                  <m:rPr>
                    <m:sty m:val="p"/>
                  </m:rPr>
                  <w:rPr>
                    <w:rFonts w:ascii="Cambria Math" w:hAnsi="Cambria Math"/>
                    <w:highlight w:val="none"/>
                  </w:rPr>
                  <m:t>HCO</m:t>
                </m:r>
                <m:ctrlPr>
                  <w:rPr>
                    <w:rFonts w:ascii="Cambria Math" w:hAnsi="Cambria Math"/>
                    <w:highlight w:val="none"/>
                  </w:rPr>
                </m:ctrlPr>
              </m:e>
              <m:sub>
                <m:r>
                  <m:rPr>
                    <m:sty m:val="p"/>
                  </m:rPr>
                  <w:rPr>
                    <w:rFonts w:ascii="Cambria Math" w:hAnsi="Cambria Math"/>
                    <w:highlight w:val="none"/>
                  </w:rPr>
                  <m:t>3</m:t>
                </m:r>
                <m:ctrlPr>
                  <w:rPr>
                    <w:rFonts w:ascii="Cambria Math" w:hAnsi="Cambria Math"/>
                    <w:highlight w:val="none"/>
                  </w:rPr>
                </m:ctrlPr>
              </m:sub>
              <m:sup>
                <m:r>
                  <m:rPr>
                    <m:sty m:val="p"/>
                  </m:rPr>
                  <w:rPr>
                    <w:rFonts w:ascii="Cambria Math" w:hAnsi="Cambria Math"/>
                    <w:highlight w:val="none"/>
                  </w:rPr>
                  <m:t>−</m:t>
                </m:r>
                <m:ctrlPr>
                  <w:rPr>
                    <w:rFonts w:ascii="Cambria Math" w:hAnsi="Cambria Math"/>
                    <w:highlight w:val="none"/>
                  </w:rPr>
                </m:ctrlPr>
              </m:sup>
            </m:sSubSup>
            <m:r>
              <m:rPr>
                <m:sty m:val="p"/>
              </m:rPr>
              <w:rPr>
                <w:rFonts w:ascii="Cambria Math" w:hAnsi="Cambria Math"/>
                <w:highlight w:val="none"/>
              </w:rPr>
              <m:t>)</m:t>
            </m:r>
            <m:ctrlPr>
              <w:rPr>
                <w:rFonts w:ascii="Cambria Math" w:hAnsi="Cambria Math"/>
                <w:highlight w:val="none"/>
              </w:rPr>
            </m:ctrlPr>
          </m:num>
          <m:den>
            <m:r>
              <m:rPr>
                <m:sty m:val="p"/>
              </m:rPr>
              <w:rPr>
                <w:rFonts w:ascii="Cambria Math" w:hAnsi="Cambria Math"/>
                <w:highlight w:val="none"/>
              </w:rPr>
              <m:t>C</m:t>
            </m:r>
            <m:d>
              <m:dPr>
                <m:ctrlPr>
                  <w:rPr>
                    <w:rFonts w:ascii="Cambria Math" w:hAnsi="Cambria Math"/>
                    <w:highlight w:val="none"/>
                  </w:rPr>
                </m:ctrlPr>
              </m:dPr>
              <m:e>
                <m:f>
                  <m:fPr>
                    <m:type m:val="skw"/>
                    <m:ctrlPr>
                      <w:rPr>
                        <w:rFonts w:ascii="Cambria Math" w:hAnsi="Cambria Math"/>
                        <w:highlight w:val="none"/>
                      </w:rPr>
                    </m:ctrlPr>
                  </m:fPr>
                  <m:num>
                    <m:r>
                      <m:rPr>
                        <m:sty m:val="p"/>
                      </m:rPr>
                      <w:rPr>
                        <w:rFonts w:ascii="Cambria Math" w:hAnsi="Cambria Math"/>
                        <w:highlight w:val="none"/>
                      </w:rPr>
                      <m:t>1</m:t>
                    </m:r>
                    <m:ctrlPr>
                      <w:rPr>
                        <w:rFonts w:ascii="Cambria Math" w:hAnsi="Cambria Math"/>
                        <w:highlight w:val="none"/>
                      </w:rPr>
                    </m:ctrlPr>
                  </m:num>
                  <m:den>
                    <m:r>
                      <m:rPr>
                        <m:sty m:val="p"/>
                      </m:rPr>
                      <w:rPr>
                        <w:rFonts w:ascii="Cambria Math" w:hAnsi="Cambria Math"/>
                        <w:highlight w:val="none"/>
                      </w:rPr>
                      <m:t>2</m:t>
                    </m:r>
                    <m:ctrlPr>
                      <w:rPr>
                        <w:rFonts w:ascii="Cambria Math" w:hAnsi="Cambria Math"/>
                        <w:highlight w:val="none"/>
                      </w:rPr>
                    </m:ctrlPr>
                  </m:den>
                </m:f>
                <m:sSubSup>
                  <m:sSubSupPr>
                    <m:ctrlPr>
                      <w:rPr>
                        <w:rFonts w:ascii="Cambria Math" w:hAnsi="Cambria Math"/>
                        <w:highlight w:val="none"/>
                      </w:rPr>
                    </m:ctrlPr>
                  </m:sSubSupPr>
                  <m:e>
                    <m:r>
                      <m:rPr>
                        <m:sty m:val="p"/>
                      </m:rPr>
                      <w:rPr>
                        <w:rFonts w:ascii="Cambria Math" w:hAnsi="Cambria Math"/>
                        <w:highlight w:val="none"/>
                      </w:rPr>
                      <m:t>CO</m:t>
                    </m:r>
                    <m:ctrlPr>
                      <w:rPr>
                        <w:rFonts w:ascii="Cambria Math" w:hAnsi="Cambria Math"/>
                        <w:highlight w:val="none"/>
                      </w:rPr>
                    </m:ctrlPr>
                  </m:e>
                  <m:sub>
                    <m:r>
                      <m:rPr>
                        <m:sty m:val="p"/>
                      </m:rPr>
                      <w:rPr>
                        <w:rFonts w:ascii="Cambria Math" w:hAnsi="Cambria Math"/>
                        <w:highlight w:val="none"/>
                      </w:rPr>
                      <m:t>3</m:t>
                    </m:r>
                    <m:ctrlPr>
                      <w:rPr>
                        <w:rFonts w:ascii="Cambria Math" w:hAnsi="Cambria Math"/>
                        <w:highlight w:val="none"/>
                      </w:rPr>
                    </m:ctrlPr>
                  </m:sub>
                  <m:sup>
                    <m:r>
                      <m:rPr>
                        <m:sty m:val="p"/>
                      </m:rPr>
                      <w:rPr>
                        <w:rFonts w:ascii="Cambria Math" w:hAnsi="Cambria Math"/>
                        <w:highlight w:val="none"/>
                      </w:rPr>
                      <m:t>2−</m:t>
                    </m:r>
                    <m:ctrlPr>
                      <w:rPr>
                        <w:rFonts w:ascii="Cambria Math" w:hAnsi="Cambria Math"/>
                        <w:highlight w:val="none"/>
                      </w:rPr>
                    </m:ctrlPr>
                  </m:sup>
                </m:sSubSup>
                <m:ctrlPr>
                  <w:rPr>
                    <w:rFonts w:ascii="Cambria Math" w:hAnsi="Cambria Math"/>
                    <w:highlight w:val="none"/>
                  </w:rPr>
                </m:ctrlPr>
              </m:e>
            </m:d>
            <m:r>
              <m:rPr>
                <m:sty m:val="p"/>
              </m:rPr>
              <w:rPr>
                <w:rFonts w:ascii="Cambria Math" w:hAnsi="Cambria Math"/>
                <w:highlight w:val="none"/>
              </w:rPr>
              <m:t>+C(</m:t>
            </m:r>
            <m:sSup>
              <m:sSupPr>
                <m:ctrlPr>
                  <w:rPr>
                    <w:rFonts w:ascii="Cambria Math" w:hAnsi="Cambria Math"/>
                    <w:highlight w:val="none"/>
                  </w:rPr>
                </m:ctrlPr>
              </m:sSupPr>
              <m:e>
                <m:r>
                  <m:rPr>
                    <m:sty m:val="p"/>
                  </m:rPr>
                  <w:rPr>
                    <w:rFonts w:ascii="Cambria Math" w:hAnsi="Cambria Math"/>
                    <w:highlight w:val="none"/>
                  </w:rPr>
                  <m:t>Cl</m:t>
                </m:r>
                <m:ctrlPr>
                  <w:rPr>
                    <w:rFonts w:ascii="Cambria Math" w:hAnsi="Cambria Math"/>
                    <w:highlight w:val="none"/>
                  </w:rPr>
                </m:ctrlPr>
              </m:e>
              <m:sup>
                <m:r>
                  <m:rPr>
                    <m:sty m:val="p"/>
                  </m:rPr>
                  <w:rPr>
                    <w:rFonts w:ascii="Cambria Math" w:hAnsi="Cambria Math"/>
                    <w:highlight w:val="none"/>
                  </w:rPr>
                  <m:t>−</m:t>
                </m:r>
                <m:ctrlPr>
                  <w:rPr>
                    <w:rFonts w:ascii="Cambria Math" w:hAnsi="Cambria Math"/>
                    <w:highlight w:val="none"/>
                  </w:rPr>
                </m:ctrlPr>
              </m:sup>
            </m:sSup>
            <m:r>
              <m:rPr>
                <m:sty m:val="p"/>
              </m:rPr>
              <w:rPr>
                <w:rFonts w:ascii="Cambria Math" w:hAnsi="Cambria Math"/>
                <w:highlight w:val="none"/>
              </w:rPr>
              <m:t>)</m:t>
            </m:r>
            <m:ctrlPr>
              <w:rPr>
                <w:rFonts w:ascii="Cambria Math" w:hAnsi="Cambria Math"/>
                <w:highlight w:val="none"/>
              </w:rPr>
            </m:ctrlPr>
          </m:den>
        </m:f>
      </m:oMath>
    </w:p>
    <w:p w14:paraId="185429B7">
      <w:pPr>
        <w:bidi w:val="0"/>
        <w:rPr>
          <w:rFonts w:eastAsiaTheme="minorEastAsia"/>
          <w:highlight w:val="none"/>
        </w:rPr>
      </w:pPr>
      <w:r>
        <w:rPr>
          <w:highlight w:val="none"/>
        </w:rPr>
        <w:t>注：Ms是在计算出SB值和H</w:t>
      </w:r>
      <w:r>
        <w:rPr>
          <w:rFonts w:eastAsiaTheme="minorEastAsia"/>
          <w:highlight w:val="none"/>
        </w:rPr>
        <w:t>CB</w:t>
      </w:r>
      <w:r>
        <w:rPr>
          <w:rFonts w:hAnsiTheme="minorEastAsia" w:eastAsiaTheme="minorEastAsia"/>
          <w:highlight w:val="none"/>
        </w:rPr>
        <w:t>值后查</w:t>
      </w:r>
      <w:r>
        <w:rPr>
          <w:rFonts w:hint="eastAsia" w:hAnsiTheme="minorEastAsia" w:eastAsiaTheme="minorEastAsia"/>
          <w:highlight w:val="none"/>
          <w:lang w:val="en-US" w:eastAsia="zh-CN"/>
        </w:rPr>
        <w:t>下</w:t>
      </w:r>
      <w:r>
        <w:rPr>
          <w:rFonts w:hAnsiTheme="minorEastAsia" w:eastAsiaTheme="minorEastAsia"/>
          <w:highlight w:val="none"/>
        </w:rPr>
        <w:t>表中查得。</w:t>
      </w:r>
    </w:p>
    <w:p w14:paraId="69C5D67E">
      <w:pPr>
        <w:spacing w:line="360" w:lineRule="auto"/>
        <w:jc w:val="center"/>
        <w:rPr>
          <w:rFonts w:hAnsiTheme="minorEastAsia" w:eastAsiaTheme="minorEastAsia"/>
          <w:b/>
          <w:sz w:val="24"/>
          <w:highlight w:val="none"/>
        </w:rPr>
      </w:pPr>
    </w:p>
    <w:p w14:paraId="4C2E25EC">
      <w:pPr>
        <w:spacing w:line="360" w:lineRule="auto"/>
        <w:jc w:val="center"/>
        <w:rPr>
          <w:rFonts w:hAnsiTheme="minorEastAsia" w:eastAsiaTheme="minorEastAsia"/>
          <w:b/>
          <w:sz w:val="24"/>
          <w:highlight w:val="none"/>
        </w:rPr>
      </w:pPr>
    </w:p>
    <w:p w14:paraId="0C2E94EB">
      <w:pPr>
        <w:spacing w:line="360" w:lineRule="auto"/>
        <w:jc w:val="center"/>
        <w:rPr>
          <w:rFonts w:hAnsiTheme="minorEastAsia" w:eastAsiaTheme="minorEastAsia"/>
          <w:b/>
          <w:sz w:val="24"/>
          <w:highlight w:val="none"/>
        </w:rPr>
      </w:pPr>
    </w:p>
    <w:p w14:paraId="20201745">
      <w:pPr>
        <w:spacing w:line="360" w:lineRule="auto"/>
        <w:jc w:val="center"/>
        <w:rPr>
          <w:rFonts w:hAnsiTheme="minorEastAsia" w:eastAsiaTheme="minorEastAsia"/>
          <w:b/>
          <w:sz w:val="24"/>
          <w:highlight w:val="none"/>
        </w:rPr>
      </w:pPr>
    </w:p>
    <w:p w14:paraId="5C4A1F7D">
      <w:pPr>
        <w:spacing w:line="360" w:lineRule="auto"/>
        <w:jc w:val="center"/>
        <w:rPr>
          <w:rFonts w:hAnsiTheme="minorEastAsia" w:eastAsiaTheme="minorEastAsia"/>
          <w:b/>
          <w:sz w:val="24"/>
          <w:highlight w:val="none"/>
        </w:rPr>
      </w:pPr>
    </w:p>
    <w:p w14:paraId="48293A13">
      <w:pPr>
        <w:pStyle w:val="7"/>
        <w:bidi w:val="0"/>
        <w:rPr>
          <w:highlight w:val="none"/>
        </w:rPr>
      </w:pPr>
      <w:r>
        <w:rPr>
          <w:highlight w:val="none"/>
        </w:rPr>
        <w:t>表4-2-</w:t>
      </w:r>
      <w:r>
        <w:rPr>
          <w:rFonts w:hint="eastAsia"/>
          <w:highlight w:val="none"/>
          <w:lang w:val="en-US" w:eastAsia="zh-CN"/>
        </w:rPr>
        <w:t xml:space="preserve">9 </w:t>
      </w:r>
      <w:r>
        <w:rPr>
          <w:highlight w:val="none"/>
        </w:rPr>
        <w:t>SB、HCB、Ms关系表</w:t>
      </w:r>
    </w:p>
    <w:p w14:paraId="73E45A6F">
      <w:pPr>
        <w:spacing w:line="360" w:lineRule="auto"/>
        <w:jc w:val="center"/>
        <w:rPr>
          <w:rFonts w:eastAsiaTheme="minorEastAsia"/>
          <w:highlight w:val="none"/>
        </w:rPr>
      </w:pPr>
      <w:r>
        <w:rPr>
          <w:rFonts w:eastAsiaTheme="minorEastAsia"/>
          <w:highlight w:val="none"/>
        </w:rPr>
        <w:drawing>
          <wp:inline distT="0" distB="0" distL="0" distR="0">
            <wp:extent cx="4728210" cy="321373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54" cstate="print"/>
                    <a:srcRect/>
                    <a:stretch>
                      <a:fillRect/>
                    </a:stretch>
                  </pic:blipFill>
                  <pic:spPr>
                    <a:xfrm>
                      <a:off x="0" y="0"/>
                      <a:ext cx="4745269" cy="3225509"/>
                    </a:xfrm>
                    <a:prstGeom prst="rect">
                      <a:avLst/>
                    </a:prstGeom>
                    <a:noFill/>
                    <a:ln w="9525">
                      <a:noFill/>
                      <a:miter lim="800000"/>
                      <a:headEnd/>
                      <a:tailEnd/>
                    </a:ln>
                  </pic:spPr>
                </pic:pic>
              </a:graphicData>
            </a:graphic>
          </wp:inline>
        </w:drawing>
      </w:r>
    </w:p>
    <w:p w14:paraId="0F217061">
      <w:pPr>
        <w:spacing w:line="360" w:lineRule="auto"/>
        <w:ind w:firstLine="480" w:firstLineChars="200"/>
        <w:rPr>
          <w:rFonts w:hint="eastAsia" w:eastAsiaTheme="minorEastAsia"/>
          <w:sz w:val="24"/>
          <w:highlight w:val="none"/>
          <w:lang w:eastAsia="zh-CN"/>
        </w:rPr>
      </w:pPr>
      <w:r>
        <w:rPr>
          <w:rFonts w:hAnsiTheme="minorEastAsia" w:eastAsiaTheme="minorEastAsia"/>
          <w:sz w:val="24"/>
          <w:highlight w:val="none"/>
        </w:rPr>
        <w:t>第四步，将地下水化学类型用阿拉伯数字（</w:t>
      </w:r>
      <w:r>
        <w:rPr>
          <w:rFonts w:eastAsiaTheme="minorEastAsia"/>
          <w:sz w:val="24"/>
          <w:highlight w:val="none"/>
        </w:rPr>
        <w:t>1</w:t>
      </w:r>
      <w:r>
        <w:rPr>
          <w:rFonts w:hAnsiTheme="minorEastAsia" w:eastAsiaTheme="minorEastAsia"/>
          <w:sz w:val="24"/>
          <w:highlight w:val="none"/>
        </w:rPr>
        <w:t>～</w:t>
      </w:r>
      <w:r>
        <w:rPr>
          <w:rFonts w:eastAsiaTheme="minorEastAsia"/>
          <w:sz w:val="24"/>
          <w:highlight w:val="none"/>
        </w:rPr>
        <w:t>49</w:t>
      </w:r>
      <w:r>
        <w:rPr>
          <w:rFonts w:hAnsiTheme="minorEastAsia" w:eastAsiaTheme="minorEastAsia"/>
          <w:sz w:val="24"/>
          <w:highlight w:val="none"/>
        </w:rPr>
        <w:t>）与字母（</w:t>
      </w:r>
      <w:r>
        <w:rPr>
          <w:rFonts w:eastAsiaTheme="minorEastAsia"/>
          <w:sz w:val="24"/>
          <w:highlight w:val="none"/>
        </w:rPr>
        <w:t>A</w:t>
      </w:r>
      <w:r>
        <w:rPr>
          <w:rFonts w:hAnsiTheme="minorEastAsia" w:eastAsiaTheme="minorEastAsia"/>
          <w:sz w:val="24"/>
          <w:highlight w:val="none"/>
        </w:rPr>
        <w:t>、</w:t>
      </w:r>
      <w:r>
        <w:rPr>
          <w:rFonts w:eastAsiaTheme="minorEastAsia"/>
          <w:sz w:val="24"/>
          <w:highlight w:val="none"/>
        </w:rPr>
        <w:t>B</w:t>
      </w:r>
      <w:r>
        <w:rPr>
          <w:rFonts w:hAnsiTheme="minorEastAsia" w:eastAsiaTheme="minorEastAsia"/>
          <w:sz w:val="24"/>
          <w:highlight w:val="none"/>
        </w:rPr>
        <w:t>、</w:t>
      </w:r>
      <w:r>
        <w:rPr>
          <w:rFonts w:eastAsiaTheme="minorEastAsia"/>
          <w:sz w:val="24"/>
          <w:highlight w:val="none"/>
        </w:rPr>
        <w:t>C</w:t>
      </w:r>
      <w:r>
        <w:rPr>
          <w:rFonts w:hAnsiTheme="minorEastAsia" w:eastAsiaTheme="minorEastAsia"/>
          <w:sz w:val="24"/>
          <w:highlight w:val="none"/>
        </w:rPr>
        <w:t>或</w:t>
      </w:r>
      <w:r>
        <w:rPr>
          <w:rFonts w:eastAsiaTheme="minorEastAsia"/>
          <w:sz w:val="24"/>
          <w:highlight w:val="none"/>
        </w:rPr>
        <w:t>D</w:t>
      </w:r>
      <w:r>
        <w:rPr>
          <w:rFonts w:hAnsiTheme="minorEastAsia" w:eastAsiaTheme="minorEastAsia"/>
          <w:sz w:val="24"/>
          <w:highlight w:val="none"/>
        </w:rPr>
        <w:t>）组合在一起的表达式表示</w:t>
      </w:r>
      <w:r>
        <w:rPr>
          <w:rFonts w:hint="eastAsia" w:hAnsiTheme="minorEastAsia" w:eastAsiaTheme="minorEastAsia"/>
          <w:sz w:val="24"/>
          <w:highlight w:val="none"/>
          <w:lang w:eastAsia="zh-CN"/>
        </w:rPr>
        <w:t>。</w:t>
      </w:r>
    </w:p>
    <w:p w14:paraId="74C50899">
      <w:pPr>
        <w:spacing w:line="360" w:lineRule="auto"/>
        <w:ind w:firstLine="480" w:firstLineChars="200"/>
        <w:rPr>
          <w:rFonts w:eastAsiaTheme="minorEastAsia"/>
          <w:sz w:val="24"/>
          <w:highlight w:val="none"/>
        </w:rPr>
      </w:pPr>
      <w:r>
        <w:rPr>
          <w:rFonts w:hAnsiTheme="minorEastAsia" w:eastAsiaTheme="minorEastAsia"/>
          <w:sz w:val="24"/>
          <w:highlight w:val="none"/>
        </w:rPr>
        <w:t>本次监测换算结果见</w:t>
      </w:r>
      <w:r>
        <w:rPr>
          <w:rFonts w:hint="eastAsia" w:hAnsiTheme="minorEastAsia" w:eastAsiaTheme="minorEastAsia"/>
          <w:sz w:val="24"/>
          <w:highlight w:val="none"/>
          <w:lang w:val="en-US" w:eastAsia="zh-CN"/>
        </w:rPr>
        <w:t>下表</w:t>
      </w:r>
      <w:r>
        <w:rPr>
          <w:rFonts w:hAnsiTheme="minorEastAsia" w:eastAsiaTheme="minorEastAsia"/>
          <w:sz w:val="24"/>
          <w:highlight w:val="none"/>
        </w:rPr>
        <w:t>。</w:t>
      </w:r>
    </w:p>
    <w:p w14:paraId="74F1A445">
      <w:pPr>
        <w:pStyle w:val="7"/>
        <w:bidi w:val="0"/>
        <w:rPr>
          <w:highlight w:val="none"/>
        </w:rPr>
      </w:pPr>
      <w:r>
        <w:rPr>
          <w:highlight w:val="none"/>
        </w:rPr>
        <w:t>表4-2-</w:t>
      </w:r>
      <w:r>
        <w:rPr>
          <w:rFonts w:hint="eastAsia"/>
          <w:highlight w:val="none"/>
          <w:lang w:val="en-US" w:eastAsia="zh-CN"/>
        </w:rPr>
        <w:t>10</w:t>
      </w:r>
      <w:r>
        <w:rPr>
          <w:highlight w:val="none"/>
        </w:rPr>
        <w:t>八大离子的检测结果统计表</w:t>
      </w:r>
    </w:p>
    <w:tbl>
      <w:tblPr>
        <w:tblStyle w:val="4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726"/>
        <w:gridCol w:w="1701"/>
        <w:gridCol w:w="1715"/>
        <w:gridCol w:w="1717"/>
      </w:tblGrid>
      <w:tr w14:paraId="25D08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389" w:type="dxa"/>
            <w:gridSpan w:val="2"/>
            <w:vAlign w:val="center"/>
          </w:tcPr>
          <w:p w14:paraId="7A96D018">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1#井</w:t>
            </w:r>
          </w:p>
        </w:tc>
        <w:tc>
          <w:tcPr>
            <w:tcW w:w="1701" w:type="dxa"/>
            <w:vAlign w:val="center"/>
          </w:tcPr>
          <w:p w14:paraId="5EFDE939">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715" w:type="dxa"/>
            <w:vAlign w:val="center"/>
          </w:tcPr>
          <w:p w14:paraId="3EEF4071">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meq/L</w:t>
            </w:r>
          </w:p>
        </w:tc>
        <w:tc>
          <w:tcPr>
            <w:tcW w:w="1717" w:type="dxa"/>
            <w:vAlign w:val="center"/>
          </w:tcPr>
          <w:p w14:paraId="32A91CBE">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w:t>
            </w:r>
          </w:p>
        </w:tc>
      </w:tr>
      <w:tr w14:paraId="57E18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63" w:type="dxa"/>
            <w:vMerge w:val="restart"/>
            <w:vAlign w:val="center"/>
          </w:tcPr>
          <w:p w14:paraId="2FC1B2D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阳</w:t>
            </w:r>
          </w:p>
          <w:p w14:paraId="208EAFE6">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7019A8F9">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子</w:t>
            </w:r>
          </w:p>
        </w:tc>
        <w:tc>
          <w:tcPr>
            <w:tcW w:w="1726" w:type="dxa"/>
            <w:vAlign w:val="center"/>
          </w:tcPr>
          <w:p w14:paraId="11CCD86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K</w:t>
            </w:r>
            <w:r>
              <w:rPr>
                <w:rFonts w:hint="default" w:ascii="Times New Roman" w:hAnsi="Times New Roman" w:cs="Times New Roman" w:eastAsiaTheme="minorEastAsia"/>
                <w:spacing w:val="0"/>
                <w:kern w:val="0"/>
                <w:position w:val="0"/>
                <w:sz w:val="21"/>
                <w:szCs w:val="21"/>
                <w:highlight w:val="none"/>
                <w:vertAlign w:val="superscript"/>
              </w:rPr>
              <w:t>+</w:t>
            </w:r>
            <w:r>
              <w:rPr>
                <w:rFonts w:hint="default" w:ascii="Times New Roman" w:hAnsi="Times New Roman" w:cs="Times New Roman" w:eastAsiaTheme="minorEastAsia"/>
                <w:spacing w:val="0"/>
                <w:kern w:val="0"/>
                <w:position w:val="0"/>
                <w:sz w:val="21"/>
                <w:szCs w:val="21"/>
                <w:highlight w:val="none"/>
              </w:rPr>
              <w:t>+Na</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2EB4521D">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13.06 </w:t>
            </w:r>
          </w:p>
        </w:tc>
        <w:tc>
          <w:tcPr>
            <w:tcW w:w="1715" w:type="dxa"/>
            <w:vAlign w:val="bottom"/>
          </w:tcPr>
          <w:p w14:paraId="0C5B8A3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0.55 </w:t>
            </w:r>
          </w:p>
        </w:tc>
        <w:tc>
          <w:tcPr>
            <w:tcW w:w="1717" w:type="dxa"/>
            <w:vAlign w:val="bottom"/>
          </w:tcPr>
          <w:p w14:paraId="08F1C1C9">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6.31 </w:t>
            </w:r>
          </w:p>
        </w:tc>
      </w:tr>
      <w:tr w14:paraId="73825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663" w:type="dxa"/>
            <w:vMerge w:val="continue"/>
            <w:vAlign w:val="center"/>
          </w:tcPr>
          <w:p w14:paraId="1EBBF0E8">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4F44DCE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Ca</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569D1BE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130.4</w:t>
            </w:r>
          </w:p>
        </w:tc>
        <w:tc>
          <w:tcPr>
            <w:tcW w:w="1715" w:type="dxa"/>
            <w:vAlign w:val="bottom"/>
          </w:tcPr>
          <w:p w14:paraId="5C0F91A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6.52 </w:t>
            </w:r>
          </w:p>
        </w:tc>
        <w:tc>
          <w:tcPr>
            <w:tcW w:w="1717" w:type="dxa"/>
            <w:vAlign w:val="bottom"/>
          </w:tcPr>
          <w:p w14:paraId="05F5E46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75.39 </w:t>
            </w:r>
          </w:p>
        </w:tc>
      </w:tr>
      <w:tr w14:paraId="56246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663" w:type="dxa"/>
            <w:vMerge w:val="continue"/>
            <w:vAlign w:val="center"/>
          </w:tcPr>
          <w:p w14:paraId="1BB02E23">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5B7901E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Mg</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42CE173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19</w:t>
            </w:r>
          </w:p>
        </w:tc>
        <w:tc>
          <w:tcPr>
            <w:tcW w:w="1715" w:type="dxa"/>
            <w:vAlign w:val="bottom"/>
          </w:tcPr>
          <w:p w14:paraId="1AA3975B">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1.58 </w:t>
            </w:r>
          </w:p>
        </w:tc>
        <w:tc>
          <w:tcPr>
            <w:tcW w:w="1717" w:type="dxa"/>
            <w:vAlign w:val="bottom"/>
          </w:tcPr>
          <w:p w14:paraId="0838BE5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18.31 </w:t>
            </w:r>
          </w:p>
        </w:tc>
      </w:tr>
      <w:tr w14:paraId="009B9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7C57CABA">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2A6ECBE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3AED487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162.46 </w:t>
            </w:r>
          </w:p>
        </w:tc>
        <w:tc>
          <w:tcPr>
            <w:tcW w:w="1715" w:type="dxa"/>
            <w:vAlign w:val="bottom"/>
          </w:tcPr>
          <w:p w14:paraId="7BA26B8D">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8.65 </w:t>
            </w:r>
          </w:p>
        </w:tc>
        <w:tc>
          <w:tcPr>
            <w:tcW w:w="1717" w:type="dxa"/>
            <w:vAlign w:val="bottom"/>
          </w:tcPr>
          <w:p w14:paraId="596D2262">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73B93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63" w:type="dxa"/>
            <w:vMerge w:val="restart"/>
            <w:vAlign w:val="center"/>
          </w:tcPr>
          <w:p w14:paraId="46DF2C29">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阴</w:t>
            </w:r>
          </w:p>
          <w:p w14:paraId="3451F49A">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21711E9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子</w:t>
            </w:r>
          </w:p>
        </w:tc>
        <w:tc>
          <w:tcPr>
            <w:tcW w:w="1726" w:type="dxa"/>
            <w:vAlign w:val="center"/>
          </w:tcPr>
          <w:p w14:paraId="1D4D694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HCO</w:t>
            </w:r>
            <w:r>
              <w:rPr>
                <w:rFonts w:hint="default" w:ascii="Times New Roman" w:hAnsi="Times New Roman" w:cs="Times New Roman" w:eastAsiaTheme="minorEastAsia"/>
                <w:spacing w:val="0"/>
                <w:kern w:val="0"/>
                <w:position w:val="0"/>
                <w:sz w:val="21"/>
                <w:szCs w:val="21"/>
                <w:highlight w:val="none"/>
                <w:vertAlign w:val="subscript"/>
              </w:rPr>
              <w:t>3</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28CFE26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416</w:t>
            </w:r>
          </w:p>
        </w:tc>
        <w:tc>
          <w:tcPr>
            <w:tcW w:w="1715" w:type="dxa"/>
            <w:vAlign w:val="bottom"/>
          </w:tcPr>
          <w:p w14:paraId="411E0BD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6.82 </w:t>
            </w:r>
          </w:p>
        </w:tc>
        <w:tc>
          <w:tcPr>
            <w:tcW w:w="1717" w:type="dxa"/>
            <w:vAlign w:val="bottom"/>
          </w:tcPr>
          <w:p w14:paraId="396A2B3D">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78.32 </w:t>
            </w:r>
          </w:p>
        </w:tc>
      </w:tr>
      <w:tr w14:paraId="39F87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63" w:type="dxa"/>
            <w:vMerge w:val="continue"/>
            <w:vAlign w:val="center"/>
          </w:tcPr>
          <w:p w14:paraId="2E703093">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0A01B27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Cl</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3AFA8CE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29.5</w:t>
            </w:r>
          </w:p>
        </w:tc>
        <w:tc>
          <w:tcPr>
            <w:tcW w:w="1715" w:type="dxa"/>
            <w:vAlign w:val="bottom"/>
          </w:tcPr>
          <w:p w14:paraId="2F01E1C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0.83 </w:t>
            </w:r>
          </w:p>
        </w:tc>
        <w:tc>
          <w:tcPr>
            <w:tcW w:w="1717" w:type="dxa"/>
            <w:vAlign w:val="bottom"/>
          </w:tcPr>
          <w:p w14:paraId="171855F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9.54 </w:t>
            </w:r>
          </w:p>
        </w:tc>
      </w:tr>
      <w:tr w14:paraId="5D224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663" w:type="dxa"/>
            <w:vMerge w:val="continue"/>
            <w:vAlign w:val="center"/>
          </w:tcPr>
          <w:p w14:paraId="3FF28D79">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3B81E41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SO</w:t>
            </w:r>
            <w:r>
              <w:rPr>
                <w:rFonts w:hint="default" w:ascii="Times New Roman" w:hAnsi="Times New Roman" w:cs="Times New Roman" w:eastAsiaTheme="minorEastAsia"/>
                <w:spacing w:val="0"/>
                <w:kern w:val="0"/>
                <w:position w:val="0"/>
                <w:sz w:val="21"/>
                <w:szCs w:val="21"/>
                <w:highlight w:val="none"/>
                <w:vertAlign w:val="subscript"/>
              </w:rPr>
              <w:t>4</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2136AED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50.7</w:t>
            </w:r>
          </w:p>
        </w:tc>
        <w:tc>
          <w:tcPr>
            <w:tcW w:w="1715" w:type="dxa"/>
            <w:vAlign w:val="bottom"/>
          </w:tcPr>
          <w:p w14:paraId="3B827C8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1.06 </w:t>
            </w:r>
          </w:p>
        </w:tc>
        <w:tc>
          <w:tcPr>
            <w:tcW w:w="1717" w:type="dxa"/>
            <w:vAlign w:val="bottom"/>
          </w:tcPr>
          <w:p w14:paraId="1CB0C09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12.13 </w:t>
            </w:r>
          </w:p>
        </w:tc>
      </w:tr>
      <w:tr w14:paraId="5E1C1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6C205CC7">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59021A9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068BA73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496.2</w:t>
            </w:r>
          </w:p>
        </w:tc>
        <w:tc>
          <w:tcPr>
            <w:tcW w:w="1715" w:type="dxa"/>
            <w:vAlign w:val="bottom"/>
          </w:tcPr>
          <w:p w14:paraId="52EADD46">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8.71 </w:t>
            </w:r>
          </w:p>
        </w:tc>
        <w:tc>
          <w:tcPr>
            <w:tcW w:w="1717" w:type="dxa"/>
            <w:vAlign w:val="bottom"/>
          </w:tcPr>
          <w:p w14:paraId="18EEAAE2">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4003E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gridSpan w:val="2"/>
            <w:vAlign w:val="center"/>
          </w:tcPr>
          <w:p w14:paraId="40E7588A">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2#井</w:t>
            </w:r>
          </w:p>
        </w:tc>
        <w:tc>
          <w:tcPr>
            <w:tcW w:w="1701" w:type="dxa"/>
            <w:vAlign w:val="center"/>
          </w:tcPr>
          <w:p w14:paraId="20183B3C">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715" w:type="dxa"/>
            <w:vAlign w:val="center"/>
          </w:tcPr>
          <w:p w14:paraId="52B0978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meq/L</w:t>
            </w:r>
          </w:p>
        </w:tc>
        <w:tc>
          <w:tcPr>
            <w:tcW w:w="1717" w:type="dxa"/>
            <w:vAlign w:val="center"/>
          </w:tcPr>
          <w:p w14:paraId="557B97C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w:t>
            </w:r>
          </w:p>
        </w:tc>
      </w:tr>
      <w:tr w14:paraId="21B3A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663" w:type="dxa"/>
            <w:vMerge w:val="restart"/>
            <w:vAlign w:val="center"/>
          </w:tcPr>
          <w:p w14:paraId="10F8E75A">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阳</w:t>
            </w:r>
          </w:p>
          <w:p w14:paraId="590249B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3B4FDC1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子</w:t>
            </w:r>
          </w:p>
        </w:tc>
        <w:tc>
          <w:tcPr>
            <w:tcW w:w="1726" w:type="dxa"/>
            <w:tcBorders>
              <w:bottom w:val="single" w:color="auto" w:sz="2" w:space="0"/>
            </w:tcBorders>
            <w:vAlign w:val="center"/>
          </w:tcPr>
          <w:p w14:paraId="2E086EF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K</w:t>
            </w:r>
            <w:r>
              <w:rPr>
                <w:rFonts w:hint="default" w:ascii="Times New Roman" w:hAnsi="Times New Roman" w:cs="Times New Roman" w:eastAsiaTheme="minorEastAsia"/>
                <w:spacing w:val="0"/>
                <w:kern w:val="0"/>
                <w:position w:val="0"/>
                <w:sz w:val="21"/>
                <w:szCs w:val="21"/>
                <w:highlight w:val="none"/>
                <w:vertAlign w:val="superscript"/>
              </w:rPr>
              <w:t>+</w:t>
            </w:r>
            <w:r>
              <w:rPr>
                <w:rFonts w:hint="default" w:ascii="Times New Roman" w:hAnsi="Times New Roman" w:cs="Times New Roman" w:eastAsiaTheme="minorEastAsia"/>
                <w:spacing w:val="0"/>
                <w:kern w:val="0"/>
                <w:position w:val="0"/>
                <w:sz w:val="21"/>
                <w:szCs w:val="21"/>
                <w:highlight w:val="none"/>
              </w:rPr>
              <w:t>+Na</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tcBorders>
              <w:bottom w:val="single" w:color="auto" w:sz="2" w:space="0"/>
            </w:tcBorders>
            <w:vAlign w:val="bottom"/>
          </w:tcPr>
          <w:p w14:paraId="60B0340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11.58 </w:t>
            </w:r>
          </w:p>
        </w:tc>
        <w:tc>
          <w:tcPr>
            <w:tcW w:w="1715" w:type="dxa"/>
            <w:tcBorders>
              <w:bottom w:val="single" w:color="auto" w:sz="2" w:space="0"/>
            </w:tcBorders>
            <w:vAlign w:val="bottom"/>
          </w:tcPr>
          <w:p w14:paraId="0B31C6B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0.48 </w:t>
            </w:r>
          </w:p>
        </w:tc>
        <w:tc>
          <w:tcPr>
            <w:tcW w:w="1717" w:type="dxa"/>
            <w:tcBorders>
              <w:bottom w:val="single" w:color="auto" w:sz="2" w:space="0"/>
            </w:tcBorders>
            <w:vAlign w:val="bottom"/>
          </w:tcPr>
          <w:p w14:paraId="6B8875D2">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5.04 </w:t>
            </w:r>
          </w:p>
        </w:tc>
      </w:tr>
      <w:tr w14:paraId="1B118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63" w:type="dxa"/>
            <w:vMerge w:val="continue"/>
            <w:vAlign w:val="center"/>
          </w:tcPr>
          <w:p w14:paraId="02CC250E">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tcBorders>
              <w:top w:val="single" w:color="auto" w:sz="2" w:space="0"/>
              <w:bottom w:val="single" w:color="auto" w:sz="2" w:space="0"/>
            </w:tcBorders>
            <w:vAlign w:val="center"/>
          </w:tcPr>
          <w:p w14:paraId="29F45D1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Ca</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tcBorders>
              <w:top w:val="single" w:color="auto" w:sz="2" w:space="0"/>
              <w:bottom w:val="single" w:color="auto" w:sz="2" w:space="0"/>
            </w:tcBorders>
            <w:vAlign w:val="bottom"/>
          </w:tcPr>
          <w:p w14:paraId="4ECFCD8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145.6</w:t>
            </w:r>
          </w:p>
        </w:tc>
        <w:tc>
          <w:tcPr>
            <w:tcW w:w="1715" w:type="dxa"/>
            <w:tcBorders>
              <w:top w:val="single" w:color="auto" w:sz="2" w:space="0"/>
              <w:bottom w:val="single" w:color="auto" w:sz="2" w:space="0"/>
            </w:tcBorders>
            <w:vAlign w:val="bottom"/>
          </w:tcPr>
          <w:p w14:paraId="253D8D3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7.28 </w:t>
            </w:r>
          </w:p>
        </w:tc>
        <w:tc>
          <w:tcPr>
            <w:tcW w:w="1717" w:type="dxa"/>
            <w:tcBorders>
              <w:top w:val="single" w:color="auto" w:sz="2" w:space="0"/>
              <w:bottom w:val="single" w:color="auto" w:sz="2" w:space="0"/>
            </w:tcBorders>
            <w:vAlign w:val="bottom"/>
          </w:tcPr>
          <w:p w14:paraId="58BF3B4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76.63 </w:t>
            </w:r>
          </w:p>
        </w:tc>
      </w:tr>
      <w:tr w14:paraId="1F2C8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663" w:type="dxa"/>
            <w:vMerge w:val="continue"/>
            <w:vAlign w:val="center"/>
          </w:tcPr>
          <w:p w14:paraId="3723497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tcBorders>
              <w:top w:val="single" w:color="auto" w:sz="2" w:space="0"/>
              <w:bottom w:val="single" w:color="auto" w:sz="2" w:space="0"/>
            </w:tcBorders>
            <w:vAlign w:val="center"/>
          </w:tcPr>
          <w:p w14:paraId="3D6ADBC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Mg</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tcBorders>
              <w:top w:val="single" w:color="auto" w:sz="2" w:space="0"/>
              <w:bottom w:val="single" w:color="auto" w:sz="2" w:space="0"/>
            </w:tcBorders>
            <w:vAlign w:val="bottom"/>
          </w:tcPr>
          <w:p w14:paraId="00DD73E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20.9</w:t>
            </w:r>
          </w:p>
        </w:tc>
        <w:tc>
          <w:tcPr>
            <w:tcW w:w="1715" w:type="dxa"/>
            <w:tcBorders>
              <w:top w:val="single" w:color="auto" w:sz="2" w:space="0"/>
              <w:bottom w:val="single" w:color="auto" w:sz="2" w:space="0"/>
            </w:tcBorders>
            <w:vAlign w:val="bottom"/>
          </w:tcPr>
          <w:p w14:paraId="108954E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1.74 </w:t>
            </w:r>
          </w:p>
        </w:tc>
        <w:tc>
          <w:tcPr>
            <w:tcW w:w="1717" w:type="dxa"/>
            <w:tcBorders>
              <w:top w:val="single" w:color="auto" w:sz="2" w:space="0"/>
              <w:bottom w:val="single" w:color="auto" w:sz="2" w:space="0"/>
            </w:tcBorders>
            <w:vAlign w:val="bottom"/>
          </w:tcPr>
          <w:p w14:paraId="5CC68772">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18.33 </w:t>
            </w:r>
          </w:p>
        </w:tc>
      </w:tr>
      <w:tr w14:paraId="7661B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663" w:type="dxa"/>
            <w:vMerge w:val="continue"/>
            <w:vAlign w:val="center"/>
          </w:tcPr>
          <w:p w14:paraId="4BC48F8A">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tcBorders>
              <w:top w:val="single" w:color="auto" w:sz="2" w:space="0"/>
            </w:tcBorders>
            <w:vAlign w:val="center"/>
          </w:tcPr>
          <w:p w14:paraId="5AE4739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总计</w:t>
            </w:r>
          </w:p>
        </w:tc>
        <w:tc>
          <w:tcPr>
            <w:tcW w:w="1701" w:type="dxa"/>
            <w:tcBorders>
              <w:top w:val="single" w:color="auto" w:sz="2" w:space="0"/>
            </w:tcBorders>
            <w:vAlign w:val="bottom"/>
          </w:tcPr>
          <w:p w14:paraId="6CB2E0ED">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178.08 </w:t>
            </w:r>
          </w:p>
        </w:tc>
        <w:tc>
          <w:tcPr>
            <w:tcW w:w="1715" w:type="dxa"/>
            <w:tcBorders>
              <w:top w:val="single" w:color="auto" w:sz="2" w:space="0"/>
            </w:tcBorders>
            <w:vAlign w:val="bottom"/>
          </w:tcPr>
          <w:p w14:paraId="1C908A36">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9.50 </w:t>
            </w:r>
          </w:p>
        </w:tc>
        <w:tc>
          <w:tcPr>
            <w:tcW w:w="1717" w:type="dxa"/>
            <w:tcBorders>
              <w:top w:val="single" w:color="auto" w:sz="2" w:space="0"/>
            </w:tcBorders>
            <w:vAlign w:val="bottom"/>
          </w:tcPr>
          <w:p w14:paraId="2838BF1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3DAA7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63" w:type="dxa"/>
            <w:vMerge w:val="restart"/>
            <w:vAlign w:val="center"/>
          </w:tcPr>
          <w:p w14:paraId="612F2B88">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阴</w:t>
            </w:r>
          </w:p>
          <w:p w14:paraId="2FA3EE93">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75565AB2">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子</w:t>
            </w:r>
          </w:p>
        </w:tc>
        <w:tc>
          <w:tcPr>
            <w:tcW w:w="1726" w:type="dxa"/>
            <w:vAlign w:val="center"/>
          </w:tcPr>
          <w:p w14:paraId="2E62EE9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HCO</w:t>
            </w:r>
            <w:r>
              <w:rPr>
                <w:rFonts w:hint="default" w:ascii="Times New Roman" w:hAnsi="Times New Roman" w:cs="Times New Roman" w:eastAsiaTheme="minorEastAsia"/>
                <w:spacing w:val="0"/>
                <w:kern w:val="0"/>
                <w:position w:val="0"/>
                <w:sz w:val="21"/>
                <w:szCs w:val="21"/>
                <w:highlight w:val="none"/>
                <w:vertAlign w:val="subscript"/>
              </w:rPr>
              <w:t>3</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71725AB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548</w:t>
            </w:r>
          </w:p>
        </w:tc>
        <w:tc>
          <w:tcPr>
            <w:tcW w:w="1715" w:type="dxa"/>
            <w:vAlign w:val="bottom"/>
          </w:tcPr>
          <w:p w14:paraId="443F813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8.98 </w:t>
            </w:r>
          </w:p>
        </w:tc>
        <w:tc>
          <w:tcPr>
            <w:tcW w:w="1717" w:type="dxa"/>
            <w:vAlign w:val="bottom"/>
          </w:tcPr>
          <w:p w14:paraId="7CFFAECB">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95.08 </w:t>
            </w:r>
          </w:p>
        </w:tc>
      </w:tr>
      <w:tr w14:paraId="148F3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663" w:type="dxa"/>
            <w:vMerge w:val="continue"/>
            <w:vAlign w:val="center"/>
          </w:tcPr>
          <w:p w14:paraId="3FD59235">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7EADCA5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Cl</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6125350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10.2</w:t>
            </w:r>
          </w:p>
        </w:tc>
        <w:tc>
          <w:tcPr>
            <w:tcW w:w="1715" w:type="dxa"/>
            <w:vAlign w:val="bottom"/>
          </w:tcPr>
          <w:p w14:paraId="216400B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0.29 </w:t>
            </w:r>
          </w:p>
        </w:tc>
        <w:tc>
          <w:tcPr>
            <w:tcW w:w="1717" w:type="dxa"/>
            <w:vAlign w:val="bottom"/>
          </w:tcPr>
          <w:p w14:paraId="2643B5FD">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3.04 </w:t>
            </w:r>
          </w:p>
        </w:tc>
      </w:tr>
      <w:tr w14:paraId="06354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663" w:type="dxa"/>
            <w:vMerge w:val="continue"/>
            <w:vAlign w:val="center"/>
          </w:tcPr>
          <w:p w14:paraId="1FDEC819">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0944C64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SO</w:t>
            </w:r>
            <w:r>
              <w:rPr>
                <w:rFonts w:hint="default" w:ascii="Times New Roman" w:hAnsi="Times New Roman" w:cs="Times New Roman" w:eastAsiaTheme="minorEastAsia"/>
                <w:spacing w:val="0"/>
                <w:kern w:val="0"/>
                <w:position w:val="0"/>
                <w:sz w:val="21"/>
                <w:szCs w:val="21"/>
                <w:highlight w:val="none"/>
                <w:vertAlign w:val="subscript"/>
              </w:rPr>
              <w:t>4</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6BA8C9B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8.5</w:t>
            </w:r>
          </w:p>
        </w:tc>
        <w:tc>
          <w:tcPr>
            <w:tcW w:w="1715" w:type="dxa"/>
            <w:vAlign w:val="bottom"/>
          </w:tcPr>
          <w:p w14:paraId="1E2AD6F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0.18 </w:t>
            </w:r>
          </w:p>
        </w:tc>
        <w:tc>
          <w:tcPr>
            <w:tcW w:w="1717" w:type="dxa"/>
            <w:vAlign w:val="bottom"/>
          </w:tcPr>
          <w:p w14:paraId="22A1755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1.87 </w:t>
            </w:r>
          </w:p>
        </w:tc>
      </w:tr>
      <w:tr w14:paraId="28217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25C8B0E8">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2EE91A8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2FE7ECA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566.7</w:t>
            </w:r>
          </w:p>
        </w:tc>
        <w:tc>
          <w:tcPr>
            <w:tcW w:w="1715" w:type="dxa"/>
            <w:vAlign w:val="bottom"/>
          </w:tcPr>
          <w:p w14:paraId="310F332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9.45 </w:t>
            </w:r>
          </w:p>
        </w:tc>
        <w:tc>
          <w:tcPr>
            <w:tcW w:w="1717" w:type="dxa"/>
            <w:vAlign w:val="bottom"/>
          </w:tcPr>
          <w:p w14:paraId="4D23059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31022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gridSpan w:val="2"/>
            <w:vAlign w:val="center"/>
          </w:tcPr>
          <w:p w14:paraId="0A8CEC3C">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3#井</w:t>
            </w:r>
          </w:p>
        </w:tc>
        <w:tc>
          <w:tcPr>
            <w:tcW w:w="1701" w:type="dxa"/>
            <w:vAlign w:val="center"/>
          </w:tcPr>
          <w:p w14:paraId="3DBA1D73">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715" w:type="dxa"/>
            <w:vAlign w:val="center"/>
          </w:tcPr>
          <w:p w14:paraId="707ACAB7">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meq/L</w:t>
            </w:r>
          </w:p>
        </w:tc>
        <w:tc>
          <w:tcPr>
            <w:tcW w:w="1717" w:type="dxa"/>
            <w:vAlign w:val="center"/>
          </w:tcPr>
          <w:p w14:paraId="499A370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w:t>
            </w:r>
          </w:p>
        </w:tc>
      </w:tr>
      <w:tr w14:paraId="6F34B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restart"/>
            <w:vAlign w:val="center"/>
          </w:tcPr>
          <w:p w14:paraId="525E5012">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阳</w:t>
            </w:r>
          </w:p>
          <w:p w14:paraId="472A5540">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4B2ADC07">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子</w:t>
            </w:r>
          </w:p>
        </w:tc>
        <w:tc>
          <w:tcPr>
            <w:tcW w:w="1726" w:type="dxa"/>
            <w:vAlign w:val="center"/>
          </w:tcPr>
          <w:p w14:paraId="5792F28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K</w:t>
            </w:r>
            <w:r>
              <w:rPr>
                <w:rFonts w:hint="default" w:ascii="Times New Roman" w:hAnsi="Times New Roman" w:cs="Times New Roman" w:eastAsiaTheme="minorEastAsia"/>
                <w:spacing w:val="0"/>
                <w:kern w:val="0"/>
                <w:position w:val="0"/>
                <w:sz w:val="21"/>
                <w:szCs w:val="21"/>
                <w:highlight w:val="none"/>
                <w:vertAlign w:val="superscript"/>
              </w:rPr>
              <w:t>+</w:t>
            </w:r>
            <w:r>
              <w:rPr>
                <w:rFonts w:hint="default" w:ascii="Times New Roman" w:hAnsi="Times New Roman" w:cs="Times New Roman" w:eastAsiaTheme="minorEastAsia"/>
                <w:spacing w:val="0"/>
                <w:kern w:val="0"/>
                <w:position w:val="0"/>
                <w:sz w:val="21"/>
                <w:szCs w:val="21"/>
                <w:highlight w:val="none"/>
              </w:rPr>
              <w:t>+Na</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09A9C50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12.55 </w:t>
            </w:r>
          </w:p>
        </w:tc>
        <w:tc>
          <w:tcPr>
            <w:tcW w:w="1715" w:type="dxa"/>
            <w:vAlign w:val="bottom"/>
          </w:tcPr>
          <w:p w14:paraId="5898920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0.52 </w:t>
            </w:r>
          </w:p>
        </w:tc>
        <w:tc>
          <w:tcPr>
            <w:tcW w:w="1717" w:type="dxa"/>
            <w:vAlign w:val="bottom"/>
          </w:tcPr>
          <w:p w14:paraId="4BF93F9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5.64 </w:t>
            </w:r>
          </w:p>
        </w:tc>
      </w:tr>
      <w:tr w14:paraId="4757A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0B9E22E7">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14EDD92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Ca</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3EB7177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141.3</w:t>
            </w:r>
          </w:p>
        </w:tc>
        <w:tc>
          <w:tcPr>
            <w:tcW w:w="1715" w:type="dxa"/>
            <w:vAlign w:val="bottom"/>
          </w:tcPr>
          <w:p w14:paraId="3862B11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7.07 </w:t>
            </w:r>
          </w:p>
        </w:tc>
        <w:tc>
          <w:tcPr>
            <w:tcW w:w="1717" w:type="dxa"/>
            <w:vAlign w:val="bottom"/>
          </w:tcPr>
          <w:p w14:paraId="69F7120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76.35 </w:t>
            </w:r>
          </w:p>
        </w:tc>
      </w:tr>
      <w:tr w14:paraId="108E2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6475156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shd w:val="clear" w:color="auto" w:fill="auto"/>
            <w:vAlign w:val="center"/>
          </w:tcPr>
          <w:p w14:paraId="4B58BC1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Mg</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shd w:val="clear" w:color="auto" w:fill="auto"/>
            <w:vAlign w:val="bottom"/>
          </w:tcPr>
          <w:p w14:paraId="1D80C5C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20</w:t>
            </w:r>
          </w:p>
        </w:tc>
        <w:tc>
          <w:tcPr>
            <w:tcW w:w="1715" w:type="dxa"/>
            <w:shd w:val="clear" w:color="auto" w:fill="auto"/>
            <w:vAlign w:val="bottom"/>
          </w:tcPr>
          <w:p w14:paraId="0948D7B6">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1.67 </w:t>
            </w:r>
          </w:p>
        </w:tc>
        <w:tc>
          <w:tcPr>
            <w:tcW w:w="1717" w:type="dxa"/>
            <w:shd w:val="clear" w:color="auto" w:fill="auto"/>
            <w:vAlign w:val="bottom"/>
          </w:tcPr>
          <w:p w14:paraId="3F56100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18.01 </w:t>
            </w:r>
          </w:p>
        </w:tc>
      </w:tr>
      <w:tr w14:paraId="4D2FC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51C44715">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shd w:val="clear" w:color="auto" w:fill="auto"/>
            <w:vAlign w:val="center"/>
          </w:tcPr>
          <w:p w14:paraId="20B8D1D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总计</w:t>
            </w:r>
          </w:p>
        </w:tc>
        <w:tc>
          <w:tcPr>
            <w:tcW w:w="1701" w:type="dxa"/>
            <w:shd w:val="clear" w:color="auto" w:fill="auto"/>
            <w:vAlign w:val="bottom"/>
          </w:tcPr>
          <w:p w14:paraId="5806057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173.85 </w:t>
            </w:r>
          </w:p>
        </w:tc>
        <w:tc>
          <w:tcPr>
            <w:tcW w:w="1715" w:type="dxa"/>
            <w:shd w:val="clear" w:color="auto" w:fill="auto"/>
            <w:vAlign w:val="bottom"/>
          </w:tcPr>
          <w:p w14:paraId="2D7756D9">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9.25 </w:t>
            </w:r>
          </w:p>
        </w:tc>
        <w:tc>
          <w:tcPr>
            <w:tcW w:w="1717" w:type="dxa"/>
            <w:shd w:val="clear" w:color="auto" w:fill="auto"/>
            <w:vAlign w:val="bottom"/>
          </w:tcPr>
          <w:p w14:paraId="4CB45EBB">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bl>
    <w:p w14:paraId="4F50FA96">
      <w:pPr>
        <w:pStyle w:val="8"/>
        <w:bidi w:val="0"/>
        <w:rPr>
          <w:rFonts w:hint="eastAsia"/>
          <w:highlight w:val="none"/>
          <w:lang w:val="en-US" w:eastAsia="zh-CN"/>
        </w:rPr>
      </w:pPr>
    </w:p>
    <w:p w14:paraId="777F1D86">
      <w:pPr>
        <w:pStyle w:val="7"/>
        <w:bidi w:val="0"/>
        <w:rPr>
          <w:highlight w:val="none"/>
        </w:rPr>
      </w:pPr>
      <w:r>
        <w:rPr>
          <w:rFonts w:hint="eastAsia"/>
          <w:highlight w:val="none"/>
          <w:lang w:val="en-US" w:eastAsia="zh-CN"/>
        </w:rPr>
        <w:t>续</w:t>
      </w:r>
      <w:r>
        <w:rPr>
          <w:highlight w:val="none"/>
        </w:rPr>
        <w:t>表4-2-</w:t>
      </w:r>
      <w:r>
        <w:rPr>
          <w:rFonts w:hint="eastAsia"/>
          <w:highlight w:val="none"/>
          <w:lang w:val="en-US" w:eastAsia="zh-CN"/>
        </w:rPr>
        <w:t>10</w:t>
      </w:r>
      <w:r>
        <w:rPr>
          <w:highlight w:val="none"/>
        </w:rPr>
        <w:t>八大离子的检测结果统计表</w:t>
      </w:r>
    </w:p>
    <w:tbl>
      <w:tblPr>
        <w:tblStyle w:val="4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726"/>
        <w:gridCol w:w="1701"/>
        <w:gridCol w:w="1715"/>
        <w:gridCol w:w="1717"/>
      </w:tblGrid>
      <w:tr w14:paraId="10BC7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restart"/>
            <w:vAlign w:val="center"/>
          </w:tcPr>
          <w:p w14:paraId="269905C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阴离子</w:t>
            </w:r>
          </w:p>
        </w:tc>
        <w:tc>
          <w:tcPr>
            <w:tcW w:w="1726" w:type="dxa"/>
            <w:vAlign w:val="center"/>
          </w:tcPr>
          <w:p w14:paraId="257B7BF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HCO</w:t>
            </w:r>
            <w:r>
              <w:rPr>
                <w:rFonts w:hint="default" w:ascii="Times New Roman" w:hAnsi="Times New Roman" w:cs="Times New Roman" w:eastAsiaTheme="minorEastAsia"/>
                <w:spacing w:val="0"/>
                <w:kern w:val="0"/>
                <w:position w:val="0"/>
                <w:sz w:val="21"/>
                <w:szCs w:val="21"/>
                <w:highlight w:val="none"/>
                <w:vertAlign w:val="subscript"/>
              </w:rPr>
              <w:t>3</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35E209A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533</w:t>
            </w:r>
          </w:p>
        </w:tc>
        <w:tc>
          <w:tcPr>
            <w:tcW w:w="1715" w:type="dxa"/>
            <w:vAlign w:val="bottom"/>
          </w:tcPr>
          <w:p w14:paraId="29F9B14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8.74 </w:t>
            </w:r>
          </w:p>
        </w:tc>
        <w:tc>
          <w:tcPr>
            <w:tcW w:w="1717" w:type="dxa"/>
            <w:vAlign w:val="bottom"/>
          </w:tcPr>
          <w:p w14:paraId="503008C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96.30 </w:t>
            </w:r>
          </w:p>
        </w:tc>
      </w:tr>
      <w:tr w14:paraId="4638D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68088EF6">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755B0C2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Cl</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341E3E2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6.34</w:t>
            </w:r>
          </w:p>
        </w:tc>
        <w:tc>
          <w:tcPr>
            <w:tcW w:w="1715" w:type="dxa"/>
            <w:vAlign w:val="bottom"/>
          </w:tcPr>
          <w:p w14:paraId="58A3E2D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0.18 </w:t>
            </w:r>
          </w:p>
        </w:tc>
        <w:tc>
          <w:tcPr>
            <w:tcW w:w="1717" w:type="dxa"/>
            <w:vAlign w:val="bottom"/>
          </w:tcPr>
          <w:p w14:paraId="2D6355A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1.97 </w:t>
            </w:r>
          </w:p>
        </w:tc>
      </w:tr>
      <w:tr w14:paraId="7AA58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3" w:type="dxa"/>
            <w:vMerge w:val="continue"/>
            <w:vAlign w:val="center"/>
          </w:tcPr>
          <w:p w14:paraId="6B7BA69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7967B96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SO</w:t>
            </w:r>
            <w:r>
              <w:rPr>
                <w:rFonts w:hint="default" w:ascii="Times New Roman" w:hAnsi="Times New Roman" w:cs="Times New Roman" w:eastAsiaTheme="minorEastAsia"/>
                <w:spacing w:val="0"/>
                <w:kern w:val="0"/>
                <w:position w:val="0"/>
                <w:sz w:val="21"/>
                <w:szCs w:val="21"/>
                <w:highlight w:val="none"/>
                <w:vertAlign w:val="subscript"/>
              </w:rPr>
              <w:t>4</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635BAC69">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7.56</w:t>
            </w:r>
          </w:p>
        </w:tc>
        <w:tc>
          <w:tcPr>
            <w:tcW w:w="1715" w:type="dxa"/>
            <w:vAlign w:val="bottom"/>
          </w:tcPr>
          <w:p w14:paraId="33F6FB4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0.16 </w:t>
            </w:r>
          </w:p>
        </w:tc>
        <w:tc>
          <w:tcPr>
            <w:tcW w:w="1717" w:type="dxa"/>
            <w:vAlign w:val="bottom"/>
          </w:tcPr>
          <w:p w14:paraId="06CB0A4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1.74 </w:t>
            </w:r>
          </w:p>
        </w:tc>
      </w:tr>
      <w:tr w14:paraId="62F9C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1A4E60BF">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0C0695D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35E591D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546.9</w:t>
            </w:r>
          </w:p>
        </w:tc>
        <w:tc>
          <w:tcPr>
            <w:tcW w:w="1715" w:type="dxa"/>
            <w:vAlign w:val="bottom"/>
          </w:tcPr>
          <w:p w14:paraId="6B0AFD16">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9.07 </w:t>
            </w:r>
          </w:p>
        </w:tc>
        <w:tc>
          <w:tcPr>
            <w:tcW w:w="1717" w:type="dxa"/>
            <w:vAlign w:val="bottom"/>
          </w:tcPr>
          <w:p w14:paraId="6FFC52A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7E7DB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gridSpan w:val="2"/>
            <w:vAlign w:val="center"/>
          </w:tcPr>
          <w:p w14:paraId="7263DF10">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#井</w:t>
            </w:r>
          </w:p>
        </w:tc>
        <w:tc>
          <w:tcPr>
            <w:tcW w:w="1701" w:type="dxa"/>
            <w:vAlign w:val="center"/>
          </w:tcPr>
          <w:p w14:paraId="47E41578">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715" w:type="dxa"/>
            <w:vAlign w:val="center"/>
          </w:tcPr>
          <w:p w14:paraId="7B87F95C">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meq/L</w:t>
            </w:r>
          </w:p>
        </w:tc>
        <w:tc>
          <w:tcPr>
            <w:tcW w:w="1717" w:type="dxa"/>
            <w:vAlign w:val="center"/>
          </w:tcPr>
          <w:p w14:paraId="09F2F5F8">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w:t>
            </w:r>
          </w:p>
        </w:tc>
      </w:tr>
      <w:tr w14:paraId="2CEFE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restart"/>
            <w:vAlign w:val="center"/>
          </w:tcPr>
          <w:p w14:paraId="1D58E2D6">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阳</w:t>
            </w:r>
          </w:p>
          <w:p w14:paraId="75170B6D">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1CC1E821">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子</w:t>
            </w:r>
          </w:p>
        </w:tc>
        <w:tc>
          <w:tcPr>
            <w:tcW w:w="1726" w:type="dxa"/>
            <w:vAlign w:val="center"/>
          </w:tcPr>
          <w:p w14:paraId="5D1F17F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K</w:t>
            </w:r>
            <w:r>
              <w:rPr>
                <w:rFonts w:hint="default" w:ascii="Times New Roman" w:hAnsi="Times New Roman" w:cs="Times New Roman" w:eastAsiaTheme="minorEastAsia"/>
                <w:spacing w:val="0"/>
                <w:kern w:val="0"/>
                <w:position w:val="0"/>
                <w:sz w:val="21"/>
                <w:szCs w:val="21"/>
                <w:highlight w:val="none"/>
                <w:vertAlign w:val="superscript"/>
              </w:rPr>
              <w:t>+</w:t>
            </w:r>
            <w:r>
              <w:rPr>
                <w:rFonts w:hint="default" w:ascii="Times New Roman" w:hAnsi="Times New Roman" w:cs="Times New Roman" w:eastAsiaTheme="minorEastAsia"/>
                <w:spacing w:val="0"/>
                <w:kern w:val="0"/>
                <w:position w:val="0"/>
                <w:sz w:val="21"/>
                <w:szCs w:val="21"/>
                <w:highlight w:val="none"/>
              </w:rPr>
              <w:t>+Na</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1E1EC73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11.42 </w:t>
            </w:r>
          </w:p>
        </w:tc>
        <w:tc>
          <w:tcPr>
            <w:tcW w:w="1715" w:type="dxa"/>
            <w:vAlign w:val="bottom"/>
          </w:tcPr>
          <w:p w14:paraId="4F64F56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0.47 </w:t>
            </w:r>
          </w:p>
        </w:tc>
        <w:tc>
          <w:tcPr>
            <w:tcW w:w="1717" w:type="dxa"/>
            <w:vAlign w:val="bottom"/>
          </w:tcPr>
          <w:p w14:paraId="027B76E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4.99 </w:t>
            </w:r>
          </w:p>
        </w:tc>
      </w:tr>
      <w:tr w14:paraId="6AA5C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098ED909">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0B76999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Ca</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73D07D5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145.6</w:t>
            </w:r>
          </w:p>
        </w:tc>
        <w:tc>
          <w:tcPr>
            <w:tcW w:w="1715" w:type="dxa"/>
            <w:vAlign w:val="bottom"/>
          </w:tcPr>
          <w:p w14:paraId="0F7AE7E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7.28 </w:t>
            </w:r>
          </w:p>
        </w:tc>
        <w:tc>
          <w:tcPr>
            <w:tcW w:w="1717" w:type="dxa"/>
            <w:vAlign w:val="bottom"/>
          </w:tcPr>
          <w:p w14:paraId="33CB040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76.88 </w:t>
            </w:r>
          </w:p>
        </w:tc>
      </w:tr>
      <w:tr w14:paraId="06B1E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1D7E05CC">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737DFF3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Mg</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2B9E20EB">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20.6</w:t>
            </w:r>
          </w:p>
        </w:tc>
        <w:tc>
          <w:tcPr>
            <w:tcW w:w="1715" w:type="dxa"/>
            <w:vAlign w:val="bottom"/>
          </w:tcPr>
          <w:p w14:paraId="3BC32B5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1.72 </w:t>
            </w:r>
          </w:p>
        </w:tc>
        <w:tc>
          <w:tcPr>
            <w:tcW w:w="1717" w:type="dxa"/>
            <w:vAlign w:val="bottom"/>
          </w:tcPr>
          <w:p w14:paraId="18E072D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18.13 </w:t>
            </w:r>
          </w:p>
        </w:tc>
      </w:tr>
      <w:tr w14:paraId="2ABE9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3A833E6D">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6D45A24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2B79DC3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177.62 </w:t>
            </w:r>
          </w:p>
        </w:tc>
        <w:tc>
          <w:tcPr>
            <w:tcW w:w="1715" w:type="dxa"/>
            <w:vAlign w:val="bottom"/>
          </w:tcPr>
          <w:p w14:paraId="6AB57556">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9.47 </w:t>
            </w:r>
          </w:p>
        </w:tc>
        <w:tc>
          <w:tcPr>
            <w:tcW w:w="1717" w:type="dxa"/>
            <w:vAlign w:val="bottom"/>
          </w:tcPr>
          <w:p w14:paraId="171A163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705FB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restart"/>
            <w:vAlign w:val="center"/>
          </w:tcPr>
          <w:p w14:paraId="1D1C96B0">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阴</w:t>
            </w:r>
          </w:p>
          <w:p w14:paraId="357ABA88">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68C365E9">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子</w:t>
            </w:r>
          </w:p>
        </w:tc>
        <w:tc>
          <w:tcPr>
            <w:tcW w:w="1726" w:type="dxa"/>
            <w:vAlign w:val="center"/>
          </w:tcPr>
          <w:p w14:paraId="772B5F1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HCO</w:t>
            </w:r>
            <w:r>
              <w:rPr>
                <w:rFonts w:hint="default" w:ascii="Times New Roman" w:hAnsi="Times New Roman" w:cs="Times New Roman" w:eastAsiaTheme="minorEastAsia"/>
                <w:spacing w:val="0"/>
                <w:kern w:val="0"/>
                <w:position w:val="0"/>
                <w:sz w:val="21"/>
                <w:szCs w:val="21"/>
                <w:highlight w:val="none"/>
                <w:vertAlign w:val="subscript"/>
              </w:rPr>
              <w:t>3</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145443D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551</w:t>
            </w:r>
          </w:p>
        </w:tc>
        <w:tc>
          <w:tcPr>
            <w:tcW w:w="1715" w:type="dxa"/>
            <w:vAlign w:val="bottom"/>
          </w:tcPr>
          <w:p w14:paraId="771F1D3B">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9.03 </w:t>
            </w:r>
          </w:p>
        </w:tc>
        <w:tc>
          <w:tcPr>
            <w:tcW w:w="1717" w:type="dxa"/>
            <w:vAlign w:val="bottom"/>
          </w:tcPr>
          <w:p w14:paraId="716EB84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53.66 </w:t>
            </w:r>
          </w:p>
        </w:tc>
      </w:tr>
      <w:tr w14:paraId="7EFA2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53C76096">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6D69CEC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Cl</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2E1FE02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8.91</w:t>
            </w:r>
          </w:p>
        </w:tc>
        <w:tc>
          <w:tcPr>
            <w:tcW w:w="1715" w:type="dxa"/>
            <w:vAlign w:val="bottom"/>
          </w:tcPr>
          <w:p w14:paraId="39B04CD9">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0.25 </w:t>
            </w:r>
          </w:p>
        </w:tc>
        <w:tc>
          <w:tcPr>
            <w:tcW w:w="1717" w:type="dxa"/>
            <w:vAlign w:val="bottom"/>
          </w:tcPr>
          <w:p w14:paraId="4BC291A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1.49 </w:t>
            </w:r>
          </w:p>
        </w:tc>
      </w:tr>
      <w:tr w14:paraId="590B8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4710E1C1">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5D80758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SO</w:t>
            </w:r>
            <w:r>
              <w:rPr>
                <w:rFonts w:hint="default" w:ascii="Times New Roman" w:hAnsi="Times New Roman" w:cs="Times New Roman" w:eastAsiaTheme="minorEastAsia"/>
                <w:spacing w:val="0"/>
                <w:kern w:val="0"/>
                <w:position w:val="0"/>
                <w:sz w:val="21"/>
                <w:szCs w:val="21"/>
                <w:highlight w:val="none"/>
                <w:vertAlign w:val="subscript"/>
              </w:rPr>
              <w:t>4</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64517BD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7.55</w:t>
            </w:r>
          </w:p>
        </w:tc>
        <w:tc>
          <w:tcPr>
            <w:tcW w:w="1715" w:type="dxa"/>
            <w:vAlign w:val="bottom"/>
          </w:tcPr>
          <w:p w14:paraId="664917B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7.55 </w:t>
            </w:r>
          </w:p>
        </w:tc>
        <w:tc>
          <w:tcPr>
            <w:tcW w:w="1717" w:type="dxa"/>
            <w:vAlign w:val="bottom"/>
          </w:tcPr>
          <w:p w14:paraId="134A257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44.85 </w:t>
            </w:r>
          </w:p>
        </w:tc>
      </w:tr>
      <w:tr w14:paraId="5958C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2DC19DFF">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2ABA084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1706D7F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567.46</w:t>
            </w:r>
          </w:p>
        </w:tc>
        <w:tc>
          <w:tcPr>
            <w:tcW w:w="1715" w:type="dxa"/>
            <w:vAlign w:val="bottom"/>
          </w:tcPr>
          <w:p w14:paraId="1A195A2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16.83 </w:t>
            </w:r>
          </w:p>
        </w:tc>
        <w:tc>
          <w:tcPr>
            <w:tcW w:w="1717" w:type="dxa"/>
            <w:vAlign w:val="bottom"/>
          </w:tcPr>
          <w:p w14:paraId="4BEC35CD">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6516A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gridSpan w:val="2"/>
            <w:vAlign w:val="center"/>
          </w:tcPr>
          <w:p w14:paraId="01C294C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#井</w:t>
            </w:r>
          </w:p>
        </w:tc>
        <w:tc>
          <w:tcPr>
            <w:tcW w:w="1701" w:type="dxa"/>
            <w:vAlign w:val="center"/>
          </w:tcPr>
          <w:p w14:paraId="2B5BF87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715" w:type="dxa"/>
            <w:vAlign w:val="center"/>
          </w:tcPr>
          <w:p w14:paraId="1C07A40F">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meq/L</w:t>
            </w:r>
          </w:p>
        </w:tc>
        <w:tc>
          <w:tcPr>
            <w:tcW w:w="1717" w:type="dxa"/>
            <w:vAlign w:val="center"/>
          </w:tcPr>
          <w:p w14:paraId="371296C7">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meq%</w:t>
            </w:r>
          </w:p>
        </w:tc>
      </w:tr>
      <w:tr w14:paraId="2728A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restart"/>
            <w:vAlign w:val="center"/>
          </w:tcPr>
          <w:p w14:paraId="6F7DD38C">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阳</w:t>
            </w:r>
          </w:p>
          <w:p w14:paraId="7E2D3F3C">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7A0376D6">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子</w:t>
            </w:r>
          </w:p>
        </w:tc>
        <w:tc>
          <w:tcPr>
            <w:tcW w:w="1726" w:type="dxa"/>
            <w:vAlign w:val="center"/>
          </w:tcPr>
          <w:p w14:paraId="2D29F24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K</w:t>
            </w:r>
            <w:r>
              <w:rPr>
                <w:rFonts w:hint="default" w:ascii="Times New Roman" w:hAnsi="Times New Roman" w:cs="Times New Roman" w:eastAsiaTheme="minorEastAsia"/>
                <w:spacing w:val="0"/>
                <w:kern w:val="0"/>
                <w:position w:val="0"/>
                <w:sz w:val="21"/>
                <w:szCs w:val="21"/>
                <w:highlight w:val="none"/>
                <w:vertAlign w:val="superscript"/>
              </w:rPr>
              <w:t>+</w:t>
            </w:r>
            <w:r>
              <w:rPr>
                <w:rFonts w:hint="default" w:ascii="Times New Roman" w:hAnsi="Times New Roman" w:cs="Times New Roman" w:eastAsiaTheme="minorEastAsia"/>
                <w:spacing w:val="0"/>
                <w:kern w:val="0"/>
                <w:position w:val="0"/>
                <w:sz w:val="21"/>
                <w:szCs w:val="21"/>
                <w:highlight w:val="none"/>
              </w:rPr>
              <w:t>+Na</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158AA39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12.17 </w:t>
            </w:r>
          </w:p>
        </w:tc>
        <w:tc>
          <w:tcPr>
            <w:tcW w:w="1715" w:type="dxa"/>
            <w:vAlign w:val="bottom"/>
          </w:tcPr>
          <w:p w14:paraId="7B978F9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0.50 </w:t>
            </w:r>
          </w:p>
        </w:tc>
        <w:tc>
          <w:tcPr>
            <w:tcW w:w="1717" w:type="dxa"/>
            <w:vAlign w:val="bottom"/>
          </w:tcPr>
          <w:p w14:paraId="110806E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5.41 </w:t>
            </w:r>
          </w:p>
        </w:tc>
      </w:tr>
      <w:tr w14:paraId="279A0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09A8494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51C7C6D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Ca</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4A6F719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141.3</w:t>
            </w:r>
          </w:p>
        </w:tc>
        <w:tc>
          <w:tcPr>
            <w:tcW w:w="1715" w:type="dxa"/>
            <w:vAlign w:val="bottom"/>
          </w:tcPr>
          <w:p w14:paraId="3070326D">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7.07 </w:t>
            </w:r>
          </w:p>
        </w:tc>
        <w:tc>
          <w:tcPr>
            <w:tcW w:w="1717" w:type="dxa"/>
            <w:vAlign w:val="bottom"/>
          </w:tcPr>
          <w:p w14:paraId="4BDCD97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75.74 </w:t>
            </w:r>
          </w:p>
        </w:tc>
      </w:tr>
      <w:tr w14:paraId="3BEBC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109629AC">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46AB60B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Mg</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336C60B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21.1</w:t>
            </w:r>
          </w:p>
        </w:tc>
        <w:tc>
          <w:tcPr>
            <w:tcW w:w="1715" w:type="dxa"/>
            <w:vAlign w:val="bottom"/>
          </w:tcPr>
          <w:p w14:paraId="17470DE6">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1.76 </w:t>
            </w:r>
          </w:p>
        </w:tc>
        <w:tc>
          <w:tcPr>
            <w:tcW w:w="1717" w:type="dxa"/>
            <w:vAlign w:val="bottom"/>
          </w:tcPr>
          <w:p w14:paraId="63CD469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18.85 </w:t>
            </w:r>
          </w:p>
        </w:tc>
      </w:tr>
      <w:tr w14:paraId="10186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00248EA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67AE6F2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47C25C6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174.57 </w:t>
            </w:r>
          </w:p>
        </w:tc>
        <w:tc>
          <w:tcPr>
            <w:tcW w:w="1715" w:type="dxa"/>
            <w:vAlign w:val="bottom"/>
          </w:tcPr>
          <w:p w14:paraId="7AEEC51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9.33 </w:t>
            </w:r>
          </w:p>
        </w:tc>
        <w:tc>
          <w:tcPr>
            <w:tcW w:w="1717" w:type="dxa"/>
            <w:vAlign w:val="bottom"/>
          </w:tcPr>
          <w:p w14:paraId="4575BD7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3655C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restart"/>
            <w:vAlign w:val="center"/>
          </w:tcPr>
          <w:p w14:paraId="30F27572">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阴</w:t>
            </w:r>
          </w:p>
          <w:p w14:paraId="4740FE9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73DD4F43">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子</w:t>
            </w:r>
          </w:p>
        </w:tc>
        <w:tc>
          <w:tcPr>
            <w:tcW w:w="1726" w:type="dxa"/>
            <w:vAlign w:val="center"/>
          </w:tcPr>
          <w:p w14:paraId="7D6EEB0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HCO</w:t>
            </w:r>
            <w:r>
              <w:rPr>
                <w:rFonts w:hint="default" w:ascii="Times New Roman" w:hAnsi="Times New Roman" w:cs="Times New Roman" w:eastAsiaTheme="minorEastAsia"/>
                <w:spacing w:val="0"/>
                <w:kern w:val="0"/>
                <w:position w:val="0"/>
                <w:sz w:val="21"/>
                <w:szCs w:val="21"/>
                <w:highlight w:val="none"/>
                <w:vertAlign w:val="subscript"/>
              </w:rPr>
              <w:t>3</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18822786">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542</w:t>
            </w:r>
          </w:p>
        </w:tc>
        <w:tc>
          <w:tcPr>
            <w:tcW w:w="1715" w:type="dxa"/>
            <w:vAlign w:val="bottom"/>
          </w:tcPr>
          <w:p w14:paraId="6295E59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8.89 </w:t>
            </w:r>
          </w:p>
        </w:tc>
        <w:tc>
          <w:tcPr>
            <w:tcW w:w="1717" w:type="dxa"/>
            <w:vAlign w:val="bottom"/>
          </w:tcPr>
          <w:p w14:paraId="41DCBFF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95.89 </w:t>
            </w:r>
          </w:p>
        </w:tc>
      </w:tr>
      <w:tr w14:paraId="6821E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0667F362">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4E80759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Cl</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0C0F211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7.78</w:t>
            </w:r>
          </w:p>
        </w:tc>
        <w:tc>
          <w:tcPr>
            <w:tcW w:w="1715" w:type="dxa"/>
            <w:vAlign w:val="bottom"/>
          </w:tcPr>
          <w:p w14:paraId="49BBC50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0.22 </w:t>
            </w:r>
          </w:p>
        </w:tc>
        <w:tc>
          <w:tcPr>
            <w:tcW w:w="1717" w:type="dxa"/>
            <w:vAlign w:val="bottom"/>
          </w:tcPr>
          <w:p w14:paraId="0729CCE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2.37 </w:t>
            </w:r>
          </w:p>
        </w:tc>
      </w:tr>
      <w:tr w14:paraId="48287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1ECA222F">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3FE0561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SO</w:t>
            </w:r>
            <w:r>
              <w:rPr>
                <w:rFonts w:hint="default" w:ascii="Times New Roman" w:hAnsi="Times New Roman" w:cs="Times New Roman" w:eastAsiaTheme="minorEastAsia"/>
                <w:spacing w:val="0"/>
                <w:kern w:val="0"/>
                <w:position w:val="0"/>
                <w:sz w:val="21"/>
                <w:szCs w:val="21"/>
                <w:highlight w:val="none"/>
                <w:vertAlign w:val="subscript"/>
              </w:rPr>
              <w:t>4</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4553D78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7.77</w:t>
            </w:r>
          </w:p>
        </w:tc>
        <w:tc>
          <w:tcPr>
            <w:tcW w:w="1715" w:type="dxa"/>
            <w:vAlign w:val="bottom"/>
          </w:tcPr>
          <w:p w14:paraId="21A4FC8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0.16 </w:t>
            </w:r>
          </w:p>
        </w:tc>
        <w:tc>
          <w:tcPr>
            <w:tcW w:w="1717" w:type="dxa"/>
            <w:vAlign w:val="bottom"/>
          </w:tcPr>
          <w:p w14:paraId="616C5FD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1.75 </w:t>
            </w:r>
          </w:p>
        </w:tc>
      </w:tr>
      <w:tr w14:paraId="2F153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vAlign w:val="center"/>
          </w:tcPr>
          <w:p w14:paraId="2993D14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3216BD3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1ECC5CE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557.55</w:t>
            </w:r>
          </w:p>
        </w:tc>
        <w:tc>
          <w:tcPr>
            <w:tcW w:w="1715" w:type="dxa"/>
            <w:vAlign w:val="bottom"/>
          </w:tcPr>
          <w:p w14:paraId="37A5A89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9.27 </w:t>
            </w:r>
          </w:p>
        </w:tc>
        <w:tc>
          <w:tcPr>
            <w:tcW w:w="1717" w:type="dxa"/>
            <w:vAlign w:val="bottom"/>
          </w:tcPr>
          <w:p w14:paraId="09C7E1CB">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cs="Times New Roman"/>
                <w:sz w:val="21"/>
                <w:szCs w:val="21"/>
                <w:highlight w:val="none"/>
                <w:lang w:val="en-US" w:eastAsia="zh-CN"/>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7016F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gridSpan w:val="2"/>
            <w:vAlign w:val="center"/>
          </w:tcPr>
          <w:p w14:paraId="0A06678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lang w:val="en-US" w:eastAsia="zh-CN"/>
              </w:rPr>
              <w:t>6</w:t>
            </w:r>
            <w:r>
              <w:rPr>
                <w:rFonts w:hint="default" w:ascii="Times New Roman" w:hAnsi="Times New Roman" w:cs="Times New Roman"/>
                <w:sz w:val="21"/>
                <w:szCs w:val="21"/>
                <w:highlight w:val="none"/>
              </w:rPr>
              <w:t>#井</w:t>
            </w:r>
          </w:p>
        </w:tc>
        <w:tc>
          <w:tcPr>
            <w:tcW w:w="1701" w:type="dxa"/>
            <w:vAlign w:val="center"/>
          </w:tcPr>
          <w:p w14:paraId="021E65D3">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mg/L</w:t>
            </w:r>
          </w:p>
        </w:tc>
        <w:tc>
          <w:tcPr>
            <w:tcW w:w="1715" w:type="dxa"/>
            <w:vAlign w:val="center"/>
          </w:tcPr>
          <w:p w14:paraId="66A41DCF">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meq/L</w:t>
            </w:r>
          </w:p>
        </w:tc>
        <w:tc>
          <w:tcPr>
            <w:tcW w:w="1717" w:type="dxa"/>
            <w:vAlign w:val="center"/>
          </w:tcPr>
          <w:p w14:paraId="5E5ED017">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meq%</w:t>
            </w:r>
          </w:p>
        </w:tc>
      </w:tr>
      <w:tr w14:paraId="2778B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restart"/>
            <w:vAlign w:val="center"/>
          </w:tcPr>
          <w:p w14:paraId="55DF95BD">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阳</w:t>
            </w:r>
          </w:p>
          <w:p w14:paraId="03A49F1A">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796ADBFC">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子</w:t>
            </w:r>
          </w:p>
        </w:tc>
        <w:tc>
          <w:tcPr>
            <w:tcW w:w="1726" w:type="dxa"/>
            <w:vAlign w:val="center"/>
          </w:tcPr>
          <w:p w14:paraId="26B5107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K</w:t>
            </w:r>
            <w:r>
              <w:rPr>
                <w:rFonts w:hint="default" w:ascii="Times New Roman" w:hAnsi="Times New Roman" w:cs="Times New Roman" w:eastAsiaTheme="minorEastAsia"/>
                <w:spacing w:val="0"/>
                <w:kern w:val="0"/>
                <w:position w:val="0"/>
                <w:sz w:val="21"/>
                <w:szCs w:val="21"/>
                <w:highlight w:val="none"/>
                <w:vertAlign w:val="superscript"/>
              </w:rPr>
              <w:t>+</w:t>
            </w:r>
            <w:r>
              <w:rPr>
                <w:rFonts w:hint="default" w:ascii="Times New Roman" w:hAnsi="Times New Roman" w:cs="Times New Roman" w:eastAsiaTheme="minorEastAsia"/>
                <w:spacing w:val="0"/>
                <w:kern w:val="0"/>
                <w:position w:val="0"/>
                <w:sz w:val="21"/>
                <w:szCs w:val="21"/>
                <w:highlight w:val="none"/>
              </w:rPr>
              <w:t>+Na</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68CB0E0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11.26 </w:t>
            </w:r>
          </w:p>
        </w:tc>
        <w:tc>
          <w:tcPr>
            <w:tcW w:w="1715" w:type="dxa"/>
            <w:vAlign w:val="bottom"/>
          </w:tcPr>
          <w:p w14:paraId="5EA010FB">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0.46 </w:t>
            </w:r>
          </w:p>
        </w:tc>
        <w:tc>
          <w:tcPr>
            <w:tcW w:w="1717" w:type="dxa"/>
            <w:vAlign w:val="bottom"/>
          </w:tcPr>
          <w:p w14:paraId="2815AEB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4.77 </w:t>
            </w:r>
          </w:p>
        </w:tc>
      </w:tr>
      <w:tr w14:paraId="15676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tcPr>
          <w:p w14:paraId="6F645A3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56A2B50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Ca</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6465964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150</w:t>
            </w:r>
          </w:p>
        </w:tc>
        <w:tc>
          <w:tcPr>
            <w:tcW w:w="1715" w:type="dxa"/>
            <w:vAlign w:val="bottom"/>
          </w:tcPr>
          <w:p w14:paraId="0438488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7.50 </w:t>
            </w:r>
          </w:p>
        </w:tc>
        <w:tc>
          <w:tcPr>
            <w:tcW w:w="1717" w:type="dxa"/>
            <w:vAlign w:val="bottom"/>
          </w:tcPr>
          <w:p w14:paraId="3AB05DC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76.94 </w:t>
            </w:r>
          </w:p>
        </w:tc>
      </w:tr>
      <w:tr w14:paraId="3985E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tcPr>
          <w:p w14:paraId="39B695B7">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46F14DF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Mg</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3A43009B">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21.4</w:t>
            </w:r>
          </w:p>
        </w:tc>
        <w:tc>
          <w:tcPr>
            <w:tcW w:w="1715" w:type="dxa"/>
            <w:vAlign w:val="bottom"/>
          </w:tcPr>
          <w:p w14:paraId="2060683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1.78 </w:t>
            </w:r>
          </w:p>
        </w:tc>
        <w:tc>
          <w:tcPr>
            <w:tcW w:w="1717" w:type="dxa"/>
            <w:vAlign w:val="bottom"/>
          </w:tcPr>
          <w:p w14:paraId="1779EB7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18.29 </w:t>
            </w:r>
          </w:p>
        </w:tc>
      </w:tr>
      <w:tr w14:paraId="68A94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tcPr>
          <w:p w14:paraId="5ED63342">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611536F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5DE2C47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182.66 </w:t>
            </w:r>
          </w:p>
        </w:tc>
        <w:tc>
          <w:tcPr>
            <w:tcW w:w="1715" w:type="dxa"/>
            <w:vAlign w:val="bottom"/>
          </w:tcPr>
          <w:p w14:paraId="55906D6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9.75 </w:t>
            </w:r>
          </w:p>
        </w:tc>
        <w:tc>
          <w:tcPr>
            <w:tcW w:w="1717" w:type="dxa"/>
            <w:vAlign w:val="bottom"/>
          </w:tcPr>
          <w:p w14:paraId="01DC211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30036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restart"/>
            <w:vAlign w:val="center"/>
          </w:tcPr>
          <w:p w14:paraId="6B26F278">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阴</w:t>
            </w:r>
          </w:p>
          <w:p w14:paraId="724F5B73">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75A951D1">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子</w:t>
            </w:r>
          </w:p>
        </w:tc>
        <w:tc>
          <w:tcPr>
            <w:tcW w:w="1726" w:type="dxa"/>
            <w:vAlign w:val="center"/>
          </w:tcPr>
          <w:p w14:paraId="1EBC02D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HCO</w:t>
            </w:r>
            <w:r>
              <w:rPr>
                <w:rFonts w:hint="default" w:ascii="Times New Roman" w:hAnsi="Times New Roman" w:cs="Times New Roman" w:eastAsiaTheme="minorEastAsia"/>
                <w:spacing w:val="0"/>
                <w:kern w:val="0"/>
                <w:position w:val="0"/>
                <w:sz w:val="21"/>
                <w:szCs w:val="21"/>
                <w:highlight w:val="none"/>
                <w:vertAlign w:val="subscript"/>
              </w:rPr>
              <w:t>3</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0FD34482">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566</w:t>
            </w:r>
          </w:p>
        </w:tc>
        <w:tc>
          <w:tcPr>
            <w:tcW w:w="1715" w:type="dxa"/>
            <w:vAlign w:val="bottom"/>
          </w:tcPr>
          <w:p w14:paraId="2A996F2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9.28 </w:t>
            </w:r>
          </w:p>
        </w:tc>
        <w:tc>
          <w:tcPr>
            <w:tcW w:w="1717" w:type="dxa"/>
            <w:vAlign w:val="bottom"/>
          </w:tcPr>
          <w:p w14:paraId="10A87B2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96.46 </w:t>
            </w:r>
          </w:p>
        </w:tc>
      </w:tr>
      <w:tr w14:paraId="3B123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tcPr>
          <w:p w14:paraId="1B0C22C0">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6C1EFF8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Cl</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5834259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6.48</w:t>
            </w:r>
          </w:p>
        </w:tc>
        <w:tc>
          <w:tcPr>
            <w:tcW w:w="1715" w:type="dxa"/>
            <w:vAlign w:val="bottom"/>
          </w:tcPr>
          <w:p w14:paraId="23801E0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0.18 </w:t>
            </w:r>
          </w:p>
        </w:tc>
        <w:tc>
          <w:tcPr>
            <w:tcW w:w="1717" w:type="dxa"/>
            <w:vAlign w:val="bottom"/>
          </w:tcPr>
          <w:p w14:paraId="155DD61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1.90 </w:t>
            </w:r>
          </w:p>
        </w:tc>
      </w:tr>
      <w:tr w14:paraId="602D4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tcPr>
          <w:p w14:paraId="6F3BDE1A">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29CCABA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SO</w:t>
            </w:r>
            <w:r>
              <w:rPr>
                <w:rFonts w:hint="default" w:ascii="Times New Roman" w:hAnsi="Times New Roman" w:cs="Times New Roman" w:eastAsiaTheme="minorEastAsia"/>
                <w:spacing w:val="0"/>
                <w:kern w:val="0"/>
                <w:position w:val="0"/>
                <w:sz w:val="21"/>
                <w:szCs w:val="21"/>
                <w:highlight w:val="none"/>
                <w:vertAlign w:val="subscript"/>
              </w:rPr>
              <w:t>4</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44B9FB4F">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7.58</w:t>
            </w:r>
          </w:p>
        </w:tc>
        <w:tc>
          <w:tcPr>
            <w:tcW w:w="1715" w:type="dxa"/>
            <w:vAlign w:val="bottom"/>
          </w:tcPr>
          <w:p w14:paraId="29AC9C02">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0.16 </w:t>
            </w:r>
          </w:p>
        </w:tc>
        <w:tc>
          <w:tcPr>
            <w:tcW w:w="1717" w:type="dxa"/>
            <w:vAlign w:val="bottom"/>
          </w:tcPr>
          <w:p w14:paraId="1EC18BA9">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1.64 </w:t>
            </w:r>
          </w:p>
        </w:tc>
      </w:tr>
      <w:tr w14:paraId="38D56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3" w:type="dxa"/>
            <w:vMerge w:val="continue"/>
          </w:tcPr>
          <w:p w14:paraId="49B08748">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2FEE4EB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75703CC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580.06</w:t>
            </w:r>
          </w:p>
        </w:tc>
        <w:tc>
          <w:tcPr>
            <w:tcW w:w="1715" w:type="dxa"/>
            <w:vAlign w:val="bottom"/>
          </w:tcPr>
          <w:p w14:paraId="30A7131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9.62 </w:t>
            </w:r>
          </w:p>
        </w:tc>
        <w:tc>
          <w:tcPr>
            <w:tcW w:w="1717" w:type="dxa"/>
            <w:vAlign w:val="bottom"/>
          </w:tcPr>
          <w:p w14:paraId="15513FB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7DAFE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3389" w:type="dxa"/>
            <w:gridSpan w:val="2"/>
            <w:vAlign w:val="center"/>
          </w:tcPr>
          <w:p w14:paraId="12768F1E">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rPr>
              <w:t>#井</w:t>
            </w:r>
          </w:p>
        </w:tc>
        <w:tc>
          <w:tcPr>
            <w:tcW w:w="1701" w:type="dxa"/>
            <w:vAlign w:val="center"/>
          </w:tcPr>
          <w:p w14:paraId="1AAC42C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mg/L</w:t>
            </w:r>
          </w:p>
        </w:tc>
        <w:tc>
          <w:tcPr>
            <w:tcW w:w="1715" w:type="dxa"/>
            <w:vAlign w:val="center"/>
          </w:tcPr>
          <w:p w14:paraId="263FBB5D">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meq/L</w:t>
            </w:r>
          </w:p>
        </w:tc>
        <w:tc>
          <w:tcPr>
            <w:tcW w:w="1717" w:type="dxa"/>
            <w:vAlign w:val="center"/>
          </w:tcPr>
          <w:p w14:paraId="561650EF">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meq%</w:t>
            </w:r>
          </w:p>
        </w:tc>
      </w:tr>
      <w:tr w14:paraId="2D2E6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63" w:type="dxa"/>
            <w:vMerge w:val="restart"/>
            <w:vAlign w:val="center"/>
          </w:tcPr>
          <w:p w14:paraId="6CFAC002">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阳</w:t>
            </w:r>
          </w:p>
          <w:p w14:paraId="6A1FFD3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5ABB7C0F">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子</w:t>
            </w:r>
          </w:p>
        </w:tc>
        <w:tc>
          <w:tcPr>
            <w:tcW w:w="1726" w:type="dxa"/>
            <w:vAlign w:val="center"/>
          </w:tcPr>
          <w:p w14:paraId="52F982C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K</w:t>
            </w:r>
            <w:r>
              <w:rPr>
                <w:rFonts w:hint="default" w:ascii="Times New Roman" w:hAnsi="Times New Roman" w:cs="Times New Roman" w:eastAsiaTheme="minorEastAsia"/>
                <w:spacing w:val="0"/>
                <w:kern w:val="0"/>
                <w:position w:val="0"/>
                <w:sz w:val="21"/>
                <w:szCs w:val="21"/>
                <w:highlight w:val="none"/>
                <w:vertAlign w:val="superscript"/>
              </w:rPr>
              <w:t>+</w:t>
            </w:r>
            <w:r>
              <w:rPr>
                <w:rFonts w:hint="default" w:ascii="Times New Roman" w:hAnsi="Times New Roman" w:cs="Times New Roman" w:eastAsiaTheme="minorEastAsia"/>
                <w:spacing w:val="0"/>
                <w:kern w:val="0"/>
                <w:position w:val="0"/>
                <w:sz w:val="21"/>
                <w:szCs w:val="21"/>
                <w:highlight w:val="none"/>
              </w:rPr>
              <w:t>+Na</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2F712F7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10.94 </w:t>
            </w:r>
          </w:p>
        </w:tc>
        <w:tc>
          <w:tcPr>
            <w:tcW w:w="1715" w:type="dxa"/>
            <w:vAlign w:val="bottom"/>
          </w:tcPr>
          <w:p w14:paraId="7C9E28C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0.45 </w:t>
            </w:r>
          </w:p>
        </w:tc>
        <w:tc>
          <w:tcPr>
            <w:tcW w:w="1717" w:type="dxa"/>
            <w:vAlign w:val="bottom"/>
          </w:tcPr>
          <w:p w14:paraId="51E10145">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4.73 </w:t>
            </w:r>
          </w:p>
        </w:tc>
      </w:tr>
      <w:tr w14:paraId="4374B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63" w:type="dxa"/>
            <w:vMerge w:val="continue"/>
          </w:tcPr>
          <w:p w14:paraId="48DCD824">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501ED8E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Ca</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5E4D8D62">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145.6</w:t>
            </w:r>
          </w:p>
        </w:tc>
        <w:tc>
          <w:tcPr>
            <w:tcW w:w="1715" w:type="dxa"/>
            <w:vAlign w:val="bottom"/>
          </w:tcPr>
          <w:p w14:paraId="6C07892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7.28 </w:t>
            </w:r>
          </w:p>
        </w:tc>
        <w:tc>
          <w:tcPr>
            <w:tcW w:w="1717" w:type="dxa"/>
            <w:vAlign w:val="bottom"/>
          </w:tcPr>
          <w:p w14:paraId="2B5B369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76.38 </w:t>
            </w:r>
          </w:p>
        </w:tc>
      </w:tr>
      <w:tr w14:paraId="1B222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63" w:type="dxa"/>
            <w:vMerge w:val="continue"/>
          </w:tcPr>
          <w:p w14:paraId="7723AE97">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0F2E6B6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Mg</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24AB8BB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21.6</w:t>
            </w:r>
          </w:p>
        </w:tc>
        <w:tc>
          <w:tcPr>
            <w:tcW w:w="1715" w:type="dxa"/>
            <w:vAlign w:val="bottom"/>
          </w:tcPr>
          <w:p w14:paraId="74F4D79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1.80 </w:t>
            </w:r>
          </w:p>
        </w:tc>
        <w:tc>
          <w:tcPr>
            <w:tcW w:w="1717" w:type="dxa"/>
            <w:vAlign w:val="bottom"/>
          </w:tcPr>
          <w:p w14:paraId="4316C5A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18.89 </w:t>
            </w:r>
          </w:p>
        </w:tc>
      </w:tr>
      <w:tr w14:paraId="024CC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63" w:type="dxa"/>
            <w:vMerge w:val="continue"/>
          </w:tcPr>
          <w:p w14:paraId="7D299222">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60FC7BA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69F2CDD0">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178.14 </w:t>
            </w:r>
          </w:p>
        </w:tc>
        <w:tc>
          <w:tcPr>
            <w:tcW w:w="1715" w:type="dxa"/>
            <w:vAlign w:val="bottom"/>
          </w:tcPr>
          <w:p w14:paraId="0A45091B">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9.53 </w:t>
            </w:r>
          </w:p>
        </w:tc>
        <w:tc>
          <w:tcPr>
            <w:tcW w:w="1717" w:type="dxa"/>
            <w:vAlign w:val="bottom"/>
          </w:tcPr>
          <w:p w14:paraId="6664AF5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r w14:paraId="4D663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63" w:type="dxa"/>
            <w:vMerge w:val="restart"/>
            <w:vAlign w:val="center"/>
          </w:tcPr>
          <w:p w14:paraId="6C264C25">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阴</w:t>
            </w:r>
          </w:p>
          <w:p w14:paraId="5F14A856">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离</w:t>
            </w:r>
          </w:p>
          <w:p w14:paraId="4033648B">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sz w:val="21"/>
                <w:szCs w:val="21"/>
                <w:highlight w:val="none"/>
              </w:rPr>
              <w:t>子</w:t>
            </w:r>
          </w:p>
        </w:tc>
        <w:tc>
          <w:tcPr>
            <w:tcW w:w="1726" w:type="dxa"/>
            <w:vAlign w:val="center"/>
          </w:tcPr>
          <w:p w14:paraId="35CC280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HCO</w:t>
            </w:r>
            <w:r>
              <w:rPr>
                <w:rFonts w:hint="default" w:ascii="Times New Roman" w:hAnsi="Times New Roman" w:cs="Times New Roman" w:eastAsiaTheme="minorEastAsia"/>
                <w:spacing w:val="0"/>
                <w:kern w:val="0"/>
                <w:position w:val="0"/>
                <w:sz w:val="21"/>
                <w:szCs w:val="21"/>
                <w:highlight w:val="none"/>
                <w:vertAlign w:val="subscript"/>
              </w:rPr>
              <w:t>3</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4442561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554</w:t>
            </w:r>
          </w:p>
        </w:tc>
        <w:tc>
          <w:tcPr>
            <w:tcW w:w="1715" w:type="dxa"/>
            <w:vAlign w:val="bottom"/>
          </w:tcPr>
          <w:p w14:paraId="341828A2">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9.08 </w:t>
            </w:r>
          </w:p>
        </w:tc>
        <w:tc>
          <w:tcPr>
            <w:tcW w:w="1717" w:type="dxa"/>
            <w:vAlign w:val="bottom"/>
          </w:tcPr>
          <w:p w14:paraId="6827A191">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95.57 </w:t>
            </w:r>
          </w:p>
        </w:tc>
      </w:tr>
      <w:tr w14:paraId="12B17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63" w:type="dxa"/>
            <w:vMerge w:val="continue"/>
          </w:tcPr>
          <w:p w14:paraId="40300D85">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397D158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Cl</w:t>
            </w:r>
            <w:r>
              <w:rPr>
                <w:rFonts w:hint="default" w:ascii="Times New Roman" w:hAnsi="Times New Roman" w:cs="Times New Roman" w:eastAsiaTheme="minorEastAsia"/>
                <w:spacing w:val="0"/>
                <w:kern w:val="0"/>
                <w:position w:val="0"/>
                <w:sz w:val="21"/>
                <w:szCs w:val="21"/>
                <w:highlight w:val="none"/>
                <w:vertAlign w:val="superscript"/>
              </w:rPr>
              <w:t>-</w:t>
            </w:r>
          </w:p>
        </w:tc>
        <w:tc>
          <w:tcPr>
            <w:tcW w:w="1701" w:type="dxa"/>
            <w:vAlign w:val="bottom"/>
          </w:tcPr>
          <w:p w14:paraId="6C95822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9.51</w:t>
            </w:r>
          </w:p>
        </w:tc>
        <w:tc>
          <w:tcPr>
            <w:tcW w:w="1715" w:type="dxa"/>
            <w:vAlign w:val="bottom"/>
          </w:tcPr>
          <w:p w14:paraId="008E77CE">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0.27 </w:t>
            </w:r>
          </w:p>
        </w:tc>
        <w:tc>
          <w:tcPr>
            <w:tcW w:w="1717" w:type="dxa"/>
            <w:vAlign w:val="bottom"/>
          </w:tcPr>
          <w:p w14:paraId="3ECA37F6">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2.82 </w:t>
            </w:r>
          </w:p>
        </w:tc>
      </w:tr>
      <w:tr w14:paraId="3D7F9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63" w:type="dxa"/>
            <w:vMerge w:val="continue"/>
          </w:tcPr>
          <w:p w14:paraId="22CDA885">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4E167BF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SO</w:t>
            </w:r>
            <w:r>
              <w:rPr>
                <w:rFonts w:hint="default" w:ascii="Times New Roman" w:hAnsi="Times New Roman" w:cs="Times New Roman" w:eastAsiaTheme="minorEastAsia"/>
                <w:spacing w:val="0"/>
                <w:kern w:val="0"/>
                <w:position w:val="0"/>
                <w:sz w:val="21"/>
                <w:szCs w:val="21"/>
                <w:highlight w:val="none"/>
                <w:vertAlign w:val="subscript"/>
              </w:rPr>
              <w:t>4</w:t>
            </w:r>
            <w:r>
              <w:rPr>
                <w:rFonts w:hint="default" w:ascii="Times New Roman" w:hAnsi="Times New Roman" w:cs="Times New Roman" w:eastAsiaTheme="minorEastAsia"/>
                <w:spacing w:val="0"/>
                <w:kern w:val="0"/>
                <w:position w:val="0"/>
                <w:sz w:val="21"/>
                <w:szCs w:val="21"/>
                <w:highlight w:val="none"/>
                <w:vertAlign w:val="superscript"/>
              </w:rPr>
              <w:t>2-</w:t>
            </w:r>
          </w:p>
        </w:tc>
        <w:tc>
          <w:tcPr>
            <w:tcW w:w="1701" w:type="dxa"/>
            <w:vAlign w:val="bottom"/>
          </w:tcPr>
          <w:p w14:paraId="1B20AA0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7.34</w:t>
            </w:r>
          </w:p>
        </w:tc>
        <w:tc>
          <w:tcPr>
            <w:tcW w:w="1715" w:type="dxa"/>
            <w:vAlign w:val="bottom"/>
          </w:tcPr>
          <w:p w14:paraId="7A16A5A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0.15 </w:t>
            </w:r>
          </w:p>
        </w:tc>
        <w:tc>
          <w:tcPr>
            <w:tcW w:w="1717" w:type="dxa"/>
            <w:vAlign w:val="bottom"/>
          </w:tcPr>
          <w:p w14:paraId="3D6ADCA4">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1.61 </w:t>
            </w:r>
          </w:p>
        </w:tc>
      </w:tr>
      <w:tr w14:paraId="74C9C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63" w:type="dxa"/>
            <w:vMerge w:val="continue"/>
          </w:tcPr>
          <w:p w14:paraId="18DCDBE2">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rPr>
            </w:pPr>
          </w:p>
        </w:tc>
        <w:tc>
          <w:tcPr>
            <w:tcW w:w="1726" w:type="dxa"/>
            <w:vAlign w:val="center"/>
          </w:tcPr>
          <w:p w14:paraId="7C28D68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pacing w:val="0"/>
                <w:kern w:val="0"/>
                <w:position w:val="0"/>
                <w:sz w:val="21"/>
                <w:szCs w:val="21"/>
                <w:highlight w:val="none"/>
              </w:rPr>
              <w:t>总计</w:t>
            </w:r>
          </w:p>
        </w:tc>
        <w:tc>
          <w:tcPr>
            <w:tcW w:w="1701" w:type="dxa"/>
            <w:vAlign w:val="bottom"/>
          </w:tcPr>
          <w:p w14:paraId="443DAF4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570.85</w:t>
            </w:r>
          </w:p>
        </w:tc>
        <w:tc>
          <w:tcPr>
            <w:tcW w:w="1715" w:type="dxa"/>
            <w:vAlign w:val="bottom"/>
          </w:tcPr>
          <w:p w14:paraId="4BA1F177">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9.50 </w:t>
            </w:r>
          </w:p>
        </w:tc>
        <w:tc>
          <w:tcPr>
            <w:tcW w:w="1717" w:type="dxa"/>
            <w:vAlign w:val="bottom"/>
          </w:tcPr>
          <w:p w14:paraId="112F247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right="0" w:firstLine="0" w:firstLineChars="0"/>
              <w:jc w:val="center"/>
              <w:textAlignment w:val="bottom"/>
              <w:outlineLvl w:val="9"/>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 xml:space="preserve">100.0 </w:t>
            </w:r>
          </w:p>
        </w:tc>
      </w:tr>
    </w:tbl>
    <w:p w14:paraId="1B705A13">
      <w:pPr>
        <w:spacing w:line="360" w:lineRule="auto"/>
        <w:ind w:firstLine="480" w:firstLineChars="200"/>
        <w:rPr>
          <w:rFonts w:eastAsiaTheme="minorEastAsia"/>
          <w:sz w:val="24"/>
          <w:highlight w:val="none"/>
        </w:rPr>
      </w:pPr>
      <w:r>
        <w:rPr>
          <w:rFonts w:hAnsiTheme="minorEastAsia" w:eastAsiaTheme="minorEastAsia"/>
          <w:sz w:val="24"/>
          <w:highlight w:val="none"/>
        </w:rPr>
        <w:t>然后计算水质矿化度</w:t>
      </w:r>
      <w:r>
        <w:rPr>
          <w:rFonts w:eastAsiaTheme="minorEastAsia"/>
          <w:sz w:val="24"/>
          <w:highlight w:val="none"/>
        </w:rPr>
        <w:t>M</w:t>
      </w:r>
      <w:r>
        <w:rPr>
          <w:rFonts w:hAnsiTheme="minorEastAsia" w:eastAsiaTheme="minorEastAsia"/>
          <w:sz w:val="24"/>
          <w:highlight w:val="none"/>
        </w:rPr>
        <w:t>。</w:t>
      </w:r>
    </w:p>
    <w:p w14:paraId="5ABE934C">
      <w:pPr>
        <w:spacing w:line="360" w:lineRule="auto"/>
        <w:ind w:firstLine="480" w:firstLineChars="200"/>
        <w:rPr>
          <w:rFonts w:eastAsiaTheme="minorEastAsia"/>
          <w:bCs/>
          <w:sz w:val="24"/>
          <w:highlight w:val="none"/>
        </w:rPr>
      </w:pPr>
      <w:r>
        <w:rPr>
          <w:rFonts w:eastAsiaTheme="minorEastAsia"/>
          <w:bCs/>
          <w:sz w:val="24"/>
          <w:highlight w:val="none"/>
        </w:rPr>
        <w:t>1#</w:t>
      </w:r>
      <w:r>
        <w:rPr>
          <w:rFonts w:hAnsiTheme="minorEastAsia" w:eastAsiaTheme="minorEastAsia"/>
          <w:bCs/>
          <w:sz w:val="24"/>
          <w:highlight w:val="none"/>
        </w:rPr>
        <w:t>水质矿化度计算过程：</w:t>
      </w:r>
    </w:p>
    <w:p w14:paraId="332F0E4D">
      <w:pPr>
        <w:spacing w:line="360" w:lineRule="auto"/>
        <w:ind w:firstLine="480" w:firstLineChars="200"/>
        <w:rPr>
          <w:rFonts w:eastAsiaTheme="minorEastAsia"/>
          <w:bCs/>
          <w:sz w:val="24"/>
          <w:highlight w:val="none"/>
        </w:rPr>
      </w:pPr>
      <w:r>
        <w:rPr>
          <w:rFonts w:hAnsiTheme="minorEastAsia" w:eastAsiaTheme="minorEastAsia"/>
          <w:bCs/>
          <w:sz w:val="24"/>
          <w:highlight w:val="none"/>
        </w:rPr>
        <w:t>应先将表</w:t>
      </w:r>
      <w:r>
        <w:rPr>
          <w:rFonts w:eastAsiaTheme="minorEastAsia"/>
          <w:bCs/>
          <w:sz w:val="24"/>
          <w:highlight w:val="none"/>
        </w:rPr>
        <w:t>4-2-5</w:t>
      </w:r>
      <w:r>
        <w:rPr>
          <w:rFonts w:hAnsiTheme="minorEastAsia" w:eastAsiaTheme="minorEastAsia"/>
          <w:bCs/>
          <w:sz w:val="24"/>
          <w:highlight w:val="none"/>
        </w:rPr>
        <w:t>中</w:t>
      </w:r>
      <w:r>
        <w:rPr>
          <w:rFonts w:eastAsiaTheme="minorEastAsia"/>
          <w:bCs/>
          <w:sz w:val="24"/>
          <w:highlight w:val="none"/>
        </w:rPr>
        <w:t>1#</w:t>
      </w:r>
      <w:r>
        <w:rPr>
          <w:rFonts w:hAnsiTheme="minorEastAsia" w:eastAsiaTheme="minorEastAsia"/>
          <w:bCs/>
          <w:sz w:val="24"/>
          <w:highlight w:val="none"/>
        </w:rPr>
        <w:t>的阴离子的</w:t>
      </w:r>
      <w:r>
        <w:rPr>
          <w:rFonts w:eastAsiaTheme="minorEastAsia"/>
          <w:bCs/>
          <w:sz w:val="24"/>
          <w:highlight w:val="none"/>
        </w:rPr>
        <w:t>mg/L</w:t>
      </w:r>
      <w:r>
        <w:rPr>
          <w:rFonts w:hAnsiTheme="minorEastAsia" w:eastAsiaTheme="minorEastAsia"/>
          <w:bCs/>
          <w:sz w:val="24"/>
          <w:highlight w:val="none"/>
        </w:rPr>
        <w:t>数换算成</w:t>
      </w:r>
      <w:r>
        <w:rPr>
          <w:rFonts w:eastAsiaTheme="minorEastAsia"/>
          <w:bCs/>
          <w:sz w:val="24"/>
          <w:highlight w:val="none"/>
        </w:rPr>
        <w:t>mmol/L</w:t>
      </w:r>
      <w:r>
        <w:rPr>
          <w:rFonts w:hAnsiTheme="minorEastAsia" w:eastAsiaTheme="minorEastAsia"/>
          <w:bCs/>
          <w:sz w:val="24"/>
          <w:highlight w:val="none"/>
        </w:rPr>
        <w:t>数。它们的摩尔质量</w:t>
      </w:r>
      <w:r>
        <w:rPr>
          <w:rFonts w:eastAsiaTheme="minorEastAsia"/>
          <w:bCs/>
          <w:sz w:val="24"/>
          <w:highlight w:val="none"/>
        </w:rPr>
        <w:t>—mg/mmol</w:t>
      </w:r>
      <w:r>
        <w:rPr>
          <w:rFonts w:hAnsiTheme="minorEastAsia" w:eastAsiaTheme="minorEastAsia"/>
          <w:bCs/>
          <w:sz w:val="24"/>
          <w:highlight w:val="none"/>
        </w:rPr>
        <w:t>数分别采用：</w:t>
      </w:r>
      <w:r>
        <w:rPr>
          <w:rFonts w:eastAsiaTheme="minorEastAsia"/>
          <w:bCs/>
          <w:sz w:val="24"/>
          <w:highlight w:val="none"/>
        </w:rPr>
        <w:t>M</w:t>
      </w:r>
      <w:r>
        <w:rPr>
          <w:rFonts w:hAnsiTheme="minorEastAsia" w:eastAsiaTheme="minorEastAsia"/>
          <w:bCs/>
          <w:sz w:val="24"/>
          <w:highlight w:val="none"/>
        </w:rPr>
        <w:t>（</w:t>
      </w:r>
      <m:oMath>
        <m:f>
          <m:fPr>
            <m:type m:val="skw"/>
            <m:ctrlPr>
              <w:rPr>
                <w:rFonts w:ascii="Cambria Math" w:hAnsi="Cambria Math" w:eastAsiaTheme="minorEastAsia"/>
                <w:bCs/>
                <w:sz w:val="24"/>
                <w:highlight w:val="none"/>
              </w:rPr>
            </m:ctrlPr>
          </m:fPr>
          <m:num>
            <m:r>
              <m:rPr>
                <m:sty m:val="p"/>
              </m:rPr>
              <w:rPr>
                <w:rFonts w:ascii="Cambria Math" w:eastAsiaTheme="minorEastAsia"/>
                <w:sz w:val="24"/>
                <w:highlight w:val="none"/>
              </w:rPr>
              <m:t>1</m:t>
            </m:r>
            <m:ctrlPr>
              <w:rPr>
                <w:rFonts w:ascii="Cambria Math" w:hAnsi="Cambria Math" w:eastAsiaTheme="minorEastAsia"/>
                <w:bCs/>
                <w:sz w:val="24"/>
                <w:highlight w:val="none"/>
              </w:rPr>
            </m:ctrlPr>
          </m:num>
          <m:den>
            <m:r>
              <m:rPr>
                <m:sty m:val="p"/>
              </m:rPr>
              <w:rPr>
                <w:rFonts w:ascii="Cambria Math" w:eastAsiaTheme="minorEastAsia"/>
                <w:sz w:val="24"/>
                <w:highlight w:val="none"/>
              </w:rPr>
              <m:t>2</m:t>
            </m:r>
            <m:ctrlPr>
              <w:rPr>
                <w:rFonts w:ascii="Cambria Math" w:hAnsi="Cambria Math" w:eastAsiaTheme="minorEastAsia"/>
                <w:bCs/>
                <w:sz w:val="24"/>
                <w:highlight w:val="none"/>
              </w:rPr>
            </m:ctrlPr>
          </m:den>
        </m:f>
        <m:sSubSup>
          <m:sSubSupPr>
            <m:ctrlPr>
              <w:rPr>
                <w:rFonts w:ascii="Cambria Math" w:hAnsi="Cambria Math" w:eastAsiaTheme="minorEastAsia"/>
                <w:bCs/>
                <w:sz w:val="24"/>
                <w:highlight w:val="none"/>
              </w:rPr>
            </m:ctrlPr>
          </m:sSubSupPr>
          <m:e>
            <m:r>
              <m:rPr>
                <m:sty m:val="p"/>
              </m:rPr>
              <w:rPr>
                <w:rFonts w:ascii="Cambria Math" w:eastAsiaTheme="minorEastAsia"/>
                <w:sz w:val="24"/>
                <w:highlight w:val="none"/>
              </w:rPr>
              <m:t>CO</m:t>
            </m:r>
            <m:ctrlPr>
              <w:rPr>
                <w:rFonts w:ascii="Cambria Math" w:hAnsi="Cambria Math" w:eastAsiaTheme="minorEastAsia"/>
                <w:bCs/>
                <w:sz w:val="24"/>
                <w:highlight w:val="none"/>
              </w:rPr>
            </m:ctrlPr>
          </m:e>
          <m:sub>
            <m:r>
              <m:rPr>
                <m:sty m:val="p"/>
              </m:rPr>
              <w:rPr>
                <w:rFonts w:ascii="Cambria Math" w:eastAsiaTheme="minorEastAsia"/>
                <w:sz w:val="24"/>
                <w:highlight w:val="none"/>
              </w:rPr>
              <m:t>3</m:t>
            </m:r>
            <m:ctrlPr>
              <w:rPr>
                <w:rFonts w:ascii="Cambria Math" w:hAnsi="Cambria Math" w:eastAsiaTheme="minorEastAsia"/>
                <w:bCs/>
                <w:sz w:val="24"/>
                <w:highlight w:val="none"/>
              </w:rPr>
            </m:ctrlPr>
          </m:sub>
          <m:sup>
            <m:r>
              <m:rPr>
                <m:sty m:val="p"/>
              </m:rPr>
              <w:rPr>
                <w:rFonts w:ascii="Cambria Math" w:eastAsiaTheme="minorEastAsia"/>
                <w:sz w:val="24"/>
                <w:highlight w:val="none"/>
              </w:rPr>
              <m:t>2</m:t>
            </m:r>
            <m:r>
              <m:rPr>
                <m:sty m:val="p"/>
              </m:rPr>
              <w:rPr>
                <w:rFonts w:eastAsia="MS Mincho"/>
                <w:sz w:val="24"/>
                <w:highlight w:val="none"/>
              </w:rPr>
              <m:t>−</m:t>
            </m:r>
            <m:ctrlPr>
              <w:rPr>
                <w:rFonts w:ascii="Cambria Math" w:hAnsi="Cambria Math" w:eastAsiaTheme="minorEastAsia"/>
                <w:bCs/>
                <w:sz w:val="24"/>
                <w:highlight w:val="none"/>
              </w:rPr>
            </m:ctrlPr>
          </m:sup>
        </m:sSubSup>
      </m:oMath>
      <w:r>
        <w:rPr>
          <w:rFonts w:hAnsiTheme="minorEastAsia" w:eastAsiaTheme="minorEastAsia"/>
          <w:bCs/>
          <w:sz w:val="24"/>
          <w:highlight w:val="none"/>
        </w:rPr>
        <w:t>）是</w:t>
      </w:r>
      <w:r>
        <w:rPr>
          <w:rFonts w:eastAsiaTheme="minorEastAsia"/>
          <w:bCs/>
          <w:sz w:val="24"/>
          <w:highlight w:val="none"/>
        </w:rPr>
        <w:t>30</w:t>
      </w:r>
      <w:r>
        <w:rPr>
          <w:rFonts w:hAnsiTheme="minorEastAsia" w:eastAsiaTheme="minorEastAsia"/>
          <w:bCs/>
          <w:sz w:val="24"/>
          <w:highlight w:val="none"/>
        </w:rPr>
        <w:t>，</w:t>
      </w:r>
      <w:r>
        <w:rPr>
          <w:rFonts w:eastAsiaTheme="minorEastAsia"/>
          <w:bCs/>
          <w:sz w:val="24"/>
          <w:highlight w:val="none"/>
        </w:rPr>
        <w:t>M</w:t>
      </w:r>
      <w:r>
        <w:rPr>
          <w:rFonts w:hAnsiTheme="minorEastAsia" w:eastAsiaTheme="minorEastAsia"/>
          <w:bCs/>
          <w:sz w:val="24"/>
          <w:highlight w:val="none"/>
        </w:rPr>
        <w:t>（</w:t>
      </w:r>
      <m:oMath>
        <m:r>
          <m:rPr>
            <m:sty m:val="p"/>
          </m:rPr>
          <w:rPr>
            <w:rFonts w:ascii="Cambria Math" w:eastAsiaTheme="minorEastAsia"/>
            <w:sz w:val="24"/>
            <w:highlight w:val="none"/>
          </w:rPr>
          <m:t>H</m:t>
        </m:r>
        <m:sSubSup>
          <m:sSubSupPr>
            <m:ctrlPr>
              <w:rPr>
                <w:rFonts w:ascii="Cambria Math" w:hAnsi="Cambria Math" w:eastAsiaTheme="minorEastAsia"/>
                <w:bCs/>
                <w:sz w:val="24"/>
                <w:highlight w:val="none"/>
              </w:rPr>
            </m:ctrlPr>
          </m:sSubSupPr>
          <m:e>
            <m:r>
              <m:rPr>
                <m:sty m:val="p"/>
              </m:rPr>
              <w:rPr>
                <w:rFonts w:ascii="Cambria Math" w:eastAsiaTheme="minorEastAsia"/>
                <w:sz w:val="24"/>
                <w:highlight w:val="none"/>
              </w:rPr>
              <m:t>CO</m:t>
            </m:r>
            <m:ctrlPr>
              <w:rPr>
                <w:rFonts w:ascii="Cambria Math" w:hAnsi="Cambria Math" w:eastAsiaTheme="minorEastAsia"/>
                <w:bCs/>
                <w:sz w:val="24"/>
                <w:highlight w:val="none"/>
              </w:rPr>
            </m:ctrlPr>
          </m:e>
          <m:sub>
            <m:r>
              <m:rPr>
                <m:sty m:val="p"/>
              </m:rPr>
              <w:rPr>
                <w:rFonts w:ascii="Cambria Math" w:eastAsiaTheme="minorEastAsia"/>
                <w:sz w:val="24"/>
                <w:highlight w:val="none"/>
              </w:rPr>
              <m:t>3</m:t>
            </m:r>
            <m:ctrlPr>
              <w:rPr>
                <w:rFonts w:ascii="Cambria Math" w:hAnsi="Cambria Math" w:eastAsiaTheme="minorEastAsia"/>
                <w:bCs/>
                <w:sz w:val="24"/>
                <w:highlight w:val="none"/>
              </w:rPr>
            </m:ctrlPr>
          </m:sub>
          <m:sup>
            <m:r>
              <m:rPr>
                <m:sty m:val="p"/>
              </m:rPr>
              <w:rPr>
                <w:rFonts w:eastAsia="MS Mincho"/>
                <w:sz w:val="24"/>
                <w:highlight w:val="none"/>
              </w:rPr>
              <m:t>−</m:t>
            </m:r>
            <m:ctrlPr>
              <w:rPr>
                <w:rFonts w:ascii="Cambria Math" w:hAnsi="Cambria Math" w:eastAsiaTheme="minorEastAsia"/>
                <w:bCs/>
                <w:sz w:val="24"/>
                <w:highlight w:val="none"/>
              </w:rPr>
            </m:ctrlPr>
          </m:sup>
        </m:sSubSup>
      </m:oMath>
      <w:r>
        <w:rPr>
          <w:rFonts w:hAnsiTheme="minorEastAsia" w:eastAsiaTheme="minorEastAsia"/>
          <w:bCs/>
          <w:sz w:val="24"/>
          <w:highlight w:val="none"/>
        </w:rPr>
        <w:t>）是</w:t>
      </w:r>
      <w:r>
        <w:rPr>
          <w:rFonts w:eastAsiaTheme="minorEastAsia"/>
          <w:bCs/>
          <w:sz w:val="24"/>
          <w:highlight w:val="none"/>
        </w:rPr>
        <w:t>61</w:t>
      </w:r>
      <w:r>
        <w:rPr>
          <w:rFonts w:hAnsiTheme="minorEastAsia" w:eastAsiaTheme="minorEastAsia"/>
          <w:bCs/>
          <w:sz w:val="24"/>
          <w:highlight w:val="none"/>
        </w:rPr>
        <w:t>，</w:t>
      </w:r>
      <w:r>
        <w:rPr>
          <w:rFonts w:eastAsiaTheme="minorEastAsia"/>
          <w:bCs/>
          <w:sz w:val="24"/>
          <w:highlight w:val="none"/>
        </w:rPr>
        <w:t>M</w:t>
      </w:r>
      <w:r>
        <w:rPr>
          <w:rFonts w:hAnsiTheme="minorEastAsia" w:eastAsiaTheme="minorEastAsia"/>
          <w:bCs/>
          <w:sz w:val="24"/>
          <w:highlight w:val="none"/>
        </w:rPr>
        <w:t>（</w:t>
      </w:r>
      <w:r>
        <w:rPr>
          <w:rFonts w:eastAsiaTheme="minorEastAsia"/>
          <w:bCs/>
          <w:sz w:val="24"/>
          <w:highlight w:val="none"/>
        </w:rPr>
        <w:t>Cl</w:t>
      </w:r>
      <w:r>
        <w:rPr>
          <w:rFonts w:eastAsiaTheme="minorEastAsia"/>
          <w:bCs/>
          <w:sz w:val="24"/>
          <w:highlight w:val="none"/>
          <w:vertAlign w:val="superscript"/>
        </w:rPr>
        <w:t>-</w:t>
      </w:r>
      <w:r>
        <w:rPr>
          <w:rFonts w:hAnsiTheme="minorEastAsia" w:eastAsiaTheme="minorEastAsia"/>
          <w:bCs/>
          <w:sz w:val="24"/>
          <w:highlight w:val="none"/>
        </w:rPr>
        <w:t>）是</w:t>
      </w:r>
      <w:r>
        <w:rPr>
          <w:rFonts w:eastAsiaTheme="minorEastAsia"/>
          <w:bCs/>
          <w:sz w:val="24"/>
          <w:highlight w:val="none"/>
        </w:rPr>
        <w:t>35.5</w:t>
      </w:r>
      <w:r>
        <w:rPr>
          <w:rFonts w:hAnsiTheme="minorEastAsia" w:eastAsiaTheme="minorEastAsia"/>
          <w:bCs/>
          <w:sz w:val="24"/>
          <w:highlight w:val="none"/>
        </w:rPr>
        <w:t>，</w:t>
      </w:r>
      <w:r>
        <w:rPr>
          <w:rFonts w:eastAsiaTheme="minorEastAsia"/>
          <w:bCs/>
          <w:sz w:val="24"/>
          <w:highlight w:val="none"/>
        </w:rPr>
        <w:t>M</w:t>
      </w:r>
      <w:r>
        <w:rPr>
          <w:rFonts w:hAnsiTheme="minorEastAsia" w:eastAsiaTheme="minorEastAsia"/>
          <w:bCs/>
          <w:sz w:val="24"/>
          <w:highlight w:val="none"/>
        </w:rPr>
        <w:t>（</w:t>
      </w:r>
      <m:oMath>
        <m:f>
          <m:fPr>
            <m:type m:val="skw"/>
            <m:ctrlPr>
              <w:rPr>
                <w:rFonts w:ascii="Cambria Math" w:hAnsi="Cambria Math" w:eastAsiaTheme="minorEastAsia"/>
                <w:bCs/>
                <w:sz w:val="24"/>
                <w:highlight w:val="none"/>
              </w:rPr>
            </m:ctrlPr>
          </m:fPr>
          <m:num>
            <m:r>
              <m:rPr>
                <m:sty m:val="p"/>
              </m:rPr>
              <w:rPr>
                <w:rFonts w:ascii="Cambria Math" w:eastAsiaTheme="minorEastAsia"/>
                <w:sz w:val="24"/>
                <w:highlight w:val="none"/>
              </w:rPr>
              <m:t>1</m:t>
            </m:r>
            <m:ctrlPr>
              <w:rPr>
                <w:rFonts w:ascii="Cambria Math" w:hAnsi="Cambria Math" w:eastAsiaTheme="minorEastAsia"/>
                <w:bCs/>
                <w:sz w:val="24"/>
                <w:highlight w:val="none"/>
              </w:rPr>
            </m:ctrlPr>
          </m:num>
          <m:den>
            <m:r>
              <m:rPr>
                <m:sty m:val="p"/>
              </m:rPr>
              <w:rPr>
                <w:rFonts w:ascii="Cambria Math" w:eastAsiaTheme="minorEastAsia"/>
                <w:sz w:val="24"/>
                <w:highlight w:val="none"/>
              </w:rPr>
              <m:t>2</m:t>
            </m:r>
            <m:ctrlPr>
              <w:rPr>
                <w:rFonts w:ascii="Cambria Math" w:hAnsi="Cambria Math" w:eastAsiaTheme="minorEastAsia"/>
                <w:bCs/>
                <w:sz w:val="24"/>
                <w:highlight w:val="none"/>
              </w:rPr>
            </m:ctrlPr>
          </m:den>
        </m:f>
        <m:sSubSup>
          <m:sSubSupPr>
            <m:ctrlPr>
              <w:rPr>
                <w:rFonts w:ascii="Cambria Math" w:hAnsi="Cambria Math" w:eastAsiaTheme="minorEastAsia"/>
                <w:bCs/>
                <w:sz w:val="24"/>
                <w:highlight w:val="none"/>
              </w:rPr>
            </m:ctrlPr>
          </m:sSubSupPr>
          <m:e>
            <m:r>
              <m:rPr>
                <m:sty m:val="p"/>
              </m:rPr>
              <w:rPr>
                <w:rFonts w:ascii="Cambria Math" w:eastAsiaTheme="minorEastAsia"/>
                <w:sz w:val="24"/>
                <w:highlight w:val="none"/>
              </w:rPr>
              <m:t>SO</m:t>
            </m:r>
            <m:ctrlPr>
              <w:rPr>
                <w:rFonts w:ascii="Cambria Math" w:hAnsi="Cambria Math" w:eastAsiaTheme="minorEastAsia"/>
                <w:bCs/>
                <w:sz w:val="24"/>
                <w:highlight w:val="none"/>
              </w:rPr>
            </m:ctrlPr>
          </m:e>
          <m:sub>
            <m:r>
              <m:rPr>
                <m:sty m:val="p"/>
              </m:rPr>
              <w:rPr>
                <w:rFonts w:ascii="Cambria Math" w:eastAsiaTheme="minorEastAsia"/>
                <w:sz w:val="24"/>
                <w:highlight w:val="none"/>
              </w:rPr>
              <m:t>4</m:t>
            </m:r>
            <m:ctrlPr>
              <w:rPr>
                <w:rFonts w:ascii="Cambria Math" w:hAnsi="Cambria Math" w:eastAsiaTheme="minorEastAsia"/>
                <w:bCs/>
                <w:sz w:val="24"/>
                <w:highlight w:val="none"/>
              </w:rPr>
            </m:ctrlPr>
          </m:sub>
          <m:sup>
            <m:r>
              <m:rPr>
                <m:sty m:val="p"/>
              </m:rPr>
              <w:rPr>
                <w:rFonts w:ascii="Cambria Math" w:eastAsiaTheme="minorEastAsia"/>
                <w:sz w:val="24"/>
                <w:highlight w:val="none"/>
              </w:rPr>
              <m:t>2</m:t>
            </m:r>
            <m:r>
              <m:rPr>
                <m:sty m:val="p"/>
              </m:rPr>
              <w:rPr>
                <w:rFonts w:eastAsia="MS Mincho"/>
                <w:sz w:val="24"/>
                <w:highlight w:val="none"/>
              </w:rPr>
              <m:t>−</m:t>
            </m:r>
            <m:ctrlPr>
              <w:rPr>
                <w:rFonts w:ascii="Cambria Math" w:hAnsi="Cambria Math" w:eastAsiaTheme="minorEastAsia"/>
                <w:bCs/>
                <w:sz w:val="24"/>
                <w:highlight w:val="none"/>
              </w:rPr>
            </m:ctrlPr>
          </m:sup>
        </m:sSubSup>
      </m:oMath>
      <w:r>
        <w:rPr>
          <w:rFonts w:hAnsiTheme="minorEastAsia" w:eastAsiaTheme="minorEastAsia"/>
          <w:bCs/>
          <w:sz w:val="24"/>
          <w:highlight w:val="none"/>
        </w:rPr>
        <w:t>）是</w:t>
      </w:r>
      <w:r>
        <w:rPr>
          <w:rFonts w:eastAsiaTheme="minorEastAsia"/>
          <w:bCs/>
          <w:sz w:val="24"/>
          <w:highlight w:val="none"/>
        </w:rPr>
        <w:t>48</w:t>
      </w:r>
      <w:r>
        <w:rPr>
          <w:rFonts w:hAnsiTheme="minorEastAsia" w:eastAsiaTheme="minorEastAsia"/>
          <w:bCs/>
          <w:sz w:val="24"/>
          <w:highlight w:val="none"/>
        </w:rPr>
        <w:t>。</w:t>
      </w:r>
    </w:p>
    <w:p w14:paraId="2115D8B6">
      <w:pPr>
        <w:spacing w:line="360" w:lineRule="auto"/>
        <w:ind w:firstLine="480" w:firstLineChars="200"/>
        <w:rPr>
          <w:rFonts w:hint="default" w:eastAsiaTheme="minorEastAsia"/>
          <w:bCs/>
          <w:sz w:val="24"/>
          <w:highlight w:val="none"/>
          <w:lang w:val="en-US" w:eastAsia="zh-CN"/>
        </w:rPr>
      </w:pPr>
      <w:r>
        <w:rPr>
          <w:rFonts w:hAnsiTheme="minorEastAsia" w:eastAsiaTheme="minorEastAsia"/>
          <w:bCs/>
          <w:sz w:val="24"/>
          <w:highlight w:val="none"/>
        </w:rPr>
        <w:t>所以，</w:t>
      </w:r>
      <w:r>
        <w:rPr>
          <w:rFonts w:eastAsiaTheme="minorEastAsia"/>
          <w:bCs/>
          <w:sz w:val="24"/>
          <w:highlight w:val="none"/>
        </w:rPr>
        <w:t>C</w:t>
      </w:r>
      <w:r>
        <w:rPr>
          <w:rFonts w:hAnsiTheme="minorEastAsia" w:eastAsiaTheme="minorEastAsia"/>
          <w:bCs/>
          <w:sz w:val="24"/>
          <w:highlight w:val="none"/>
        </w:rPr>
        <w:t>（</w:t>
      </w:r>
      <m:oMath>
        <m:r>
          <m:rPr>
            <m:sty m:val="p"/>
          </m:rPr>
          <w:rPr>
            <w:rFonts w:ascii="Cambria Math" w:eastAsiaTheme="minorEastAsia"/>
            <w:sz w:val="24"/>
            <w:highlight w:val="none"/>
          </w:rPr>
          <m:t>H</m:t>
        </m:r>
        <m:sSubSup>
          <m:sSubSupPr>
            <m:ctrlPr>
              <w:rPr>
                <w:rFonts w:ascii="Cambria Math" w:hAnsi="Cambria Math" w:eastAsiaTheme="minorEastAsia"/>
                <w:bCs/>
                <w:sz w:val="24"/>
                <w:highlight w:val="none"/>
              </w:rPr>
            </m:ctrlPr>
          </m:sSubSupPr>
          <m:e>
            <m:r>
              <m:rPr>
                <m:sty m:val="p"/>
              </m:rPr>
              <w:rPr>
                <w:rFonts w:ascii="Cambria Math" w:eastAsiaTheme="minorEastAsia"/>
                <w:sz w:val="24"/>
                <w:highlight w:val="none"/>
              </w:rPr>
              <m:t>CO</m:t>
            </m:r>
            <m:ctrlPr>
              <w:rPr>
                <w:rFonts w:ascii="Cambria Math" w:hAnsi="Cambria Math" w:eastAsiaTheme="minorEastAsia"/>
                <w:bCs/>
                <w:sz w:val="24"/>
                <w:highlight w:val="none"/>
              </w:rPr>
            </m:ctrlPr>
          </m:e>
          <m:sub>
            <m:r>
              <m:rPr>
                <m:sty m:val="p"/>
              </m:rPr>
              <w:rPr>
                <w:rFonts w:ascii="Cambria Math" w:eastAsiaTheme="minorEastAsia"/>
                <w:sz w:val="24"/>
                <w:highlight w:val="none"/>
              </w:rPr>
              <m:t>3</m:t>
            </m:r>
            <m:ctrlPr>
              <w:rPr>
                <w:rFonts w:ascii="Cambria Math" w:hAnsi="Cambria Math" w:eastAsiaTheme="minorEastAsia"/>
                <w:bCs/>
                <w:sz w:val="24"/>
                <w:highlight w:val="none"/>
              </w:rPr>
            </m:ctrlPr>
          </m:sub>
          <m:sup>
            <m:r>
              <m:rPr>
                <m:sty m:val="p"/>
              </m:rPr>
              <w:rPr>
                <w:rFonts w:eastAsia="MS Mincho"/>
                <w:sz w:val="24"/>
                <w:highlight w:val="none"/>
              </w:rPr>
              <m:t>−</m:t>
            </m:r>
            <m:ctrlPr>
              <w:rPr>
                <w:rFonts w:ascii="Cambria Math" w:hAnsi="Cambria Math" w:eastAsiaTheme="minorEastAsia"/>
                <w:bCs/>
                <w:sz w:val="24"/>
                <w:highlight w:val="none"/>
              </w:rPr>
            </m:ctrlPr>
          </m:sup>
        </m:sSubSup>
      </m:oMath>
      <w:r>
        <w:rPr>
          <w:rFonts w:hAnsiTheme="minorEastAsia" w:eastAsiaTheme="minorEastAsia"/>
          <w:bCs/>
          <w:sz w:val="24"/>
          <w:highlight w:val="none"/>
        </w:rPr>
        <w:t>）</w:t>
      </w:r>
      <w:r>
        <w:rPr>
          <w:rFonts w:eastAsiaTheme="minorEastAsia"/>
          <w:bCs/>
          <w:sz w:val="24"/>
          <w:highlight w:val="none"/>
        </w:rPr>
        <w:t>=</w:t>
      </w:r>
      <m:oMath>
        <m:f>
          <m:fPr>
            <m:ctrlPr>
              <w:rPr>
                <w:rFonts w:ascii="Cambria Math" w:hAnsi="Cambria Math" w:eastAsiaTheme="minorEastAsia"/>
                <w:bCs/>
                <w:sz w:val="24"/>
                <w:highlight w:val="none"/>
              </w:rPr>
            </m:ctrlPr>
          </m:fPr>
          <m:num>
            <m:r>
              <m:rPr>
                <m:sty m:val="p"/>
              </m:rPr>
              <w:rPr>
                <w:rFonts w:hint="default" w:ascii="Cambria Math" w:hAnsi="Cambria Math" w:eastAsiaTheme="minorEastAsia"/>
                <w:sz w:val="24"/>
                <w:highlight w:val="none"/>
                <w:lang w:val="en-US" w:eastAsia="zh-CN"/>
              </w:rPr>
              <m:t>416</m:t>
            </m:r>
            <m:ctrlPr>
              <w:rPr>
                <w:rFonts w:ascii="Cambria Math" w:hAnsi="Cambria Math" w:eastAsiaTheme="minorEastAsia"/>
                <w:bCs/>
                <w:sz w:val="24"/>
                <w:highlight w:val="none"/>
              </w:rPr>
            </m:ctrlPr>
          </m:num>
          <m:den>
            <m:r>
              <m:rPr>
                <m:sty m:val="p"/>
              </m:rPr>
              <w:rPr>
                <w:rFonts w:ascii="Cambria Math" w:eastAsiaTheme="minorEastAsia"/>
                <w:sz w:val="24"/>
                <w:highlight w:val="none"/>
              </w:rPr>
              <m:t>61</m:t>
            </m:r>
            <m:ctrlPr>
              <w:rPr>
                <w:rFonts w:ascii="Cambria Math" w:hAnsi="Cambria Math" w:eastAsiaTheme="minorEastAsia"/>
                <w:bCs/>
                <w:sz w:val="24"/>
                <w:highlight w:val="none"/>
              </w:rPr>
            </m:ctrlPr>
          </m:den>
        </m:f>
      </m:oMath>
      <w:r>
        <w:rPr>
          <w:rFonts w:eastAsiaTheme="minorEastAsia"/>
          <w:bCs/>
          <w:sz w:val="24"/>
          <w:highlight w:val="none"/>
        </w:rPr>
        <w:t>=</w:t>
      </w:r>
      <w:r>
        <w:rPr>
          <w:rFonts w:hint="eastAsia" w:eastAsiaTheme="minorEastAsia"/>
          <w:bCs/>
          <w:sz w:val="24"/>
          <w:highlight w:val="none"/>
          <w:lang w:val="en-US" w:eastAsia="zh-CN"/>
        </w:rPr>
        <w:t>26.82</w:t>
      </w:r>
    </w:p>
    <w:p w14:paraId="1F91E380">
      <w:pPr>
        <w:spacing w:line="360" w:lineRule="auto"/>
        <w:ind w:firstLine="480" w:firstLineChars="200"/>
        <w:rPr>
          <w:rFonts w:hint="default" w:eastAsiaTheme="minorEastAsia"/>
          <w:bCs/>
          <w:sz w:val="24"/>
          <w:highlight w:val="none"/>
          <w:lang w:val="en-US" w:eastAsia="zh-CN"/>
        </w:rPr>
      </w:pPr>
      <w:r>
        <w:rPr>
          <w:rFonts w:eastAsiaTheme="minorEastAsia"/>
          <w:bCs/>
          <w:sz w:val="24"/>
          <w:highlight w:val="none"/>
        </w:rPr>
        <w:t>C</w:t>
      </w:r>
      <w:r>
        <w:rPr>
          <w:rFonts w:hAnsiTheme="minorEastAsia" w:eastAsiaTheme="minorEastAsia"/>
          <w:bCs/>
          <w:sz w:val="24"/>
          <w:highlight w:val="none"/>
        </w:rPr>
        <w:t>（</w:t>
      </w:r>
      <w:r>
        <w:rPr>
          <w:rFonts w:eastAsiaTheme="minorEastAsia"/>
          <w:bCs/>
          <w:sz w:val="24"/>
          <w:highlight w:val="none"/>
        </w:rPr>
        <w:t>Cl-</w:t>
      </w:r>
      <w:r>
        <w:rPr>
          <w:rFonts w:hAnsiTheme="minorEastAsia" w:eastAsiaTheme="minorEastAsia"/>
          <w:bCs/>
          <w:sz w:val="24"/>
          <w:highlight w:val="none"/>
        </w:rPr>
        <w:t>）</w:t>
      </w:r>
      <w:r>
        <w:rPr>
          <w:rFonts w:eastAsiaTheme="minorEastAsia"/>
          <w:bCs/>
          <w:sz w:val="24"/>
          <w:highlight w:val="none"/>
        </w:rPr>
        <w:t>=</w:t>
      </w:r>
      <m:oMath>
        <m:f>
          <m:fPr>
            <m:ctrlPr>
              <w:rPr>
                <w:rFonts w:ascii="Cambria Math" w:hAnsi="Cambria Math" w:eastAsiaTheme="minorEastAsia"/>
                <w:bCs/>
                <w:sz w:val="24"/>
                <w:highlight w:val="none"/>
              </w:rPr>
            </m:ctrlPr>
          </m:fPr>
          <m:num>
            <m:r>
              <m:rPr>
                <m:sty m:val="p"/>
              </m:rPr>
              <w:rPr>
                <w:rFonts w:hint="default" w:ascii="Cambria Math" w:hAnsi="Cambria Math" w:eastAsiaTheme="minorEastAsia"/>
                <w:sz w:val="24"/>
                <w:highlight w:val="none"/>
                <w:lang w:val="en-US" w:eastAsia="zh-CN"/>
              </w:rPr>
              <m:t>29.5</m:t>
            </m:r>
            <m:ctrlPr>
              <w:rPr>
                <w:rFonts w:ascii="Cambria Math" w:hAnsi="Cambria Math" w:eastAsiaTheme="minorEastAsia"/>
                <w:bCs/>
                <w:sz w:val="24"/>
                <w:highlight w:val="none"/>
              </w:rPr>
            </m:ctrlPr>
          </m:num>
          <m:den>
            <m:r>
              <m:rPr>
                <m:sty m:val="p"/>
              </m:rPr>
              <w:rPr>
                <w:rFonts w:ascii="Cambria Math" w:eastAsiaTheme="minorEastAsia"/>
                <w:sz w:val="24"/>
                <w:highlight w:val="none"/>
              </w:rPr>
              <m:t>35.5</m:t>
            </m:r>
            <m:ctrlPr>
              <w:rPr>
                <w:rFonts w:ascii="Cambria Math" w:hAnsi="Cambria Math" w:eastAsiaTheme="minorEastAsia"/>
                <w:bCs/>
                <w:sz w:val="24"/>
                <w:highlight w:val="none"/>
              </w:rPr>
            </m:ctrlPr>
          </m:den>
        </m:f>
      </m:oMath>
      <w:r>
        <w:rPr>
          <w:rFonts w:eastAsiaTheme="minorEastAsia"/>
          <w:bCs/>
          <w:sz w:val="24"/>
          <w:highlight w:val="none"/>
        </w:rPr>
        <w:t>=0.</w:t>
      </w:r>
      <w:r>
        <w:rPr>
          <w:rFonts w:hint="eastAsia" w:eastAsiaTheme="minorEastAsia"/>
          <w:bCs/>
          <w:sz w:val="24"/>
          <w:highlight w:val="none"/>
          <w:lang w:val="en-US" w:eastAsia="zh-CN"/>
        </w:rPr>
        <w:t>83</w:t>
      </w:r>
    </w:p>
    <w:p w14:paraId="2DF228FF">
      <w:pPr>
        <w:spacing w:line="360" w:lineRule="auto"/>
        <w:ind w:firstLine="480" w:firstLineChars="200"/>
        <w:rPr>
          <w:rFonts w:hint="default" w:eastAsiaTheme="minorEastAsia"/>
          <w:bCs/>
          <w:sz w:val="24"/>
          <w:highlight w:val="none"/>
          <w:lang w:val="en-US" w:eastAsia="zh-CN"/>
        </w:rPr>
      </w:pPr>
      <w:r>
        <w:rPr>
          <w:rFonts w:eastAsiaTheme="minorEastAsia"/>
          <w:bCs/>
          <w:sz w:val="24"/>
          <w:highlight w:val="none"/>
        </w:rPr>
        <w:t>C</w:t>
      </w:r>
      <w:r>
        <w:rPr>
          <w:rFonts w:hAnsiTheme="minorEastAsia" w:eastAsiaTheme="minorEastAsia"/>
          <w:bCs/>
          <w:sz w:val="24"/>
          <w:highlight w:val="none"/>
        </w:rPr>
        <w:t>（</w:t>
      </w:r>
      <m:oMath>
        <m:f>
          <m:fPr>
            <m:type m:val="skw"/>
            <m:ctrlPr>
              <w:rPr>
                <w:rFonts w:ascii="Cambria Math" w:hAnsi="Cambria Math" w:eastAsiaTheme="minorEastAsia"/>
                <w:bCs/>
                <w:sz w:val="24"/>
                <w:highlight w:val="none"/>
              </w:rPr>
            </m:ctrlPr>
          </m:fPr>
          <m:num>
            <m:r>
              <m:rPr>
                <m:sty m:val="p"/>
              </m:rPr>
              <w:rPr>
                <w:rFonts w:ascii="Cambria Math" w:eastAsiaTheme="minorEastAsia"/>
                <w:sz w:val="24"/>
                <w:highlight w:val="none"/>
              </w:rPr>
              <m:t>1</m:t>
            </m:r>
            <m:ctrlPr>
              <w:rPr>
                <w:rFonts w:ascii="Cambria Math" w:hAnsi="Cambria Math" w:eastAsiaTheme="minorEastAsia"/>
                <w:bCs/>
                <w:sz w:val="24"/>
                <w:highlight w:val="none"/>
              </w:rPr>
            </m:ctrlPr>
          </m:num>
          <m:den>
            <m:r>
              <m:rPr>
                <m:sty m:val="p"/>
              </m:rPr>
              <w:rPr>
                <w:rFonts w:ascii="Cambria Math" w:eastAsiaTheme="minorEastAsia"/>
                <w:sz w:val="24"/>
                <w:highlight w:val="none"/>
              </w:rPr>
              <m:t>2</m:t>
            </m:r>
            <m:ctrlPr>
              <w:rPr>
                <w:rFonts w:ascii="Cambria Math" w:hAnsi="Cambria Math" w:eastAsiaTheme="minorEastAsia"/>
                <w:bCs/>
                <w:sz w:val="24"/>
                <w:highlight w:val="none"/>
              </w:rPr>
            </m:ctrlPr>
          </m:den>
        </m:f>
        <m:sSubSup>
          <m:sSubSupPr>
            <m:ctrlPr>
              <w:rPr>
                <w:rFonts w:ascii="Cambria Math" w:hAnsi="Cambria Math" w:eastAsiaTheme="minorEastAsia"/>
                <w:bCs/>
                <w:sz w:val="24"/>
                <w:highlight w:val="none"/>
              </w:rPr>
            </m:ctrlPr>
          </m:sSubSupPr>
          <m:e>
            <m:r>
              <m:rPr>
                <m:sty m:val="p"/>
              </m:rPr>
              <w:rPr>
                <w:rFonts w:ascii="Cambria Math" w:eastAsiaTheme="minorEastAsia"/>
                <w:sz w:val="24"/>
                <w:highlight w:val="none"/>
              </w:rPr>
              <m:t>SO</m:t>
            </m:r>
            <m:ctrlPr>
              <w:rPr>
                <w:rFonts w:ascii="Cambria Math" w:hAnsi="Cambria Math" w:eastAsiaTheme="minorEastAsia"/>
                <w:bCs/>
                <w:sz w:val="24"/>
                <w:highlight w:val="none"/>
              </w:rPr>
            </m:ctrlPr>
          </m:e>
          <m:sub>
            <m:r>
              <m:rPr>
                <m:sty m:val="p"/>
              </m:rPr>
              <w:rPr>
                <w:rFonts w:ascii="Cambria Math" w:eastAsiaTheme="minorEastAsia"/>
                <w:sz w:val="24"/>
                <w:highlight w:val="none"/>
              </w:rPr>
              <m:t>4</m:t>
            </m:r>
            <m:ctrlPr>
              <w:rPr>
                <w:rFonts w:ascii="Cambria Math" w:hAnsi="Cambria Math" w:eastAsiaTheme="minorEastAsia"/>
                <w:bCs/>
                <w:sz w:val="24"/>
                <w:highlight w:val="none"/>
              </w:rPr>
            </m:ctrlPr>
          </m:sub>
          <m:sup>
            <m:r>
              <m:rPr>
                <m:sty m:val="p"/>
              </m:rPr>
              <w:rPr>
                <w:rFonts w:ascii="Cambria Math" w:eastAsiaTheme="minorEastAsia"/>
                <w:sz w:val="24"/>
                <w:highlight w:val="none"/>
              </w:rPr>
              <m:t>2</m:t>
            </m:r>
            <m:r>
              <m:rPr>
                <m:sty m:val="p"/>
              </m:rPr>
              <w:rPr>
                <w:rFonts w:eastAsia="MS Mincho"/>
                <w:sz w:val="24"/>
                <w:highlight w:val="none"/>
              </w:rPr>
              <m:t>−</m:t>
            </m:r>
            <m:ctrlPr>
              <w:rPr>
                <w:rFonts w:ascii="Cambria Math" w:hAnsi="Cambria Math" w:eastAsiaTheme="minorEastAsia"/>
                <w:bCs/>
                <w:sz w:val="24"/>
                <w:highlight w:val="none"/>
              </w:rPr>
            </m:ctrlPr>
          </m:sup>
        </m:sSubSup>
      </m:oMath>
      <w:r>
        <w:rPr>
          <w:rFonts w:hAnsiTheme="minorEastAsia" w:eastAsiaTheme="minorEastAsia"/>
          <w:bCs/>
          <w:sz w:val="24"/>
          <w:highlight w:val="none"/>
        </w:rPr>
        <w:t>）</w:t>
      </w:r>
      <w:r>
        <w:rPr>
          <w:rFonts w:eastAsiaTheme="minorEastAsia"/>
          <w:bCs/>
          <w:sz w:val="24"/>
          <w:highlight w:val="none"/>
        </w:rPr>
        <w:t>=</w:t>
      </w:r>
      <m:oMath>
        <m:f>
          <m:fPr>
            <m:ctrlPr>
              <w:rPr>
                <w:rFonts w:ascii="Cambria Math" w:hAnsi="Cambria Math" w:eastAsiaTheme="minorEastAsia"/>
                <w:bCs/>
                <w:sz w:val="24"/>
                <w:highlight w:val="none"/>
              </w:rPr>
            </m:ctrlPr>
          </m:fPr>
          <m:num>
            <m:r>
              <m:rPr>
                <m:sty m:val="p"/>
              </m:rPr>
              <w:rPr>
                <w:rFonts w:hint="default" w:ascii="Cambria Math" w:hAnsi="Cambria Math" w:eastAsiaTheme="minorEastAsia"/>
                <w:sz w:val="24"/>
                <w:highlight w:val="none"/>
                <w:lang w:val="en-US" w:eastAsia="zh-CN"/>
              </w:rPr>
              <m:t>50.7</m:t>
            </m:r>
            <m:ctrlPr>
              <w:rPr>
                <w:rFonts w:ascii="Cambria Math" w:hAnsi="Cambria Math" w:eastAsiaTheme="minorEastAsia"/>
                <w:bCs/>
                <w:sz w:val="24"/>
                <w:highlight w:val="none"/>
              </w:rPr>
            </m:ctrlPr>
          </m:num>
          <m:den>
            <m:r>
              <m:rPr>
                <m:sty m:val="p"/>
              </m:rPr>
              <w:rPr>
                <w:rFonts w:ascii="Cambria Math" w:eastAsiaTheme="minorEastAsia"/>
                <w:sz w:val="24"/>
                <w:highlight w:val="none"/>
              </w:rPr>
              <m:t>48</m:t>
            </m:r>
            <m:ctrlPr>
              <w:rPr>
                <w:rFonts w:ascii="Cambria Math" w:hAnsi="Cambria Math" w:eastAsiaTheme="minorEastAsia"/>
                <w:bCs/>
                <w:sz w:val="24"/>
                <w:highlight w:val="none"/>
              </w:rPr>
            </m:ctrlPr>
          </m:den>
        </m:f>
      </m:oMath>
      <w:r>
        <w:rPr>
          <w:rFonts w:eastAsiaTheme="minorEastAsia"/>
          <w:bCs/>
          <w:sz w:val="24"/>
          <w:highlight w:val="none"/>
        </w:rPr>
        <w:t>=</w:t>
      </w:r>
      <w:r>
        <w:rPr>
          <w:rFonts w:hint="eastAsia" w:eastAsiaTheme="minorEastAsia"/>
          <w:bCs/>
          <w:sz w:val="24"/>
          <w:highlight w:val="none"/>
          <w:lang w:val="en-US" w:eastAsia="zh-CN"/>
        </w:rPr>
        <w:t>1.06</w:t>
      </w:r>
    </w:p>
    <w:p w14:paraId="3643E00E">
      <w:pPr>
        <w:spacing w:line="360" w:lineRule="auto"/>
        <w:ind w:firstLine="480" w:firstLineChars="200"/>
        <w:rPr>
          <w:rFonts w:hint="default" w:eastAsiaTheme="minorEastAsia"/>
          <w:bCs/>
          <w:sz w:val="24"/>
          <w:highlight w:val="none"/>
          <w:lang w:val="en-US" w:eastAsia="zh-CN"/>
        </w:rPr>
      </w:pPr>
      <w:r>
        <w:rPr>
          <w:rFonts w:hAnsiTheme="minorEastAsia" w:eastAsiaTheme="minorEastAsia"/>
          <w:bCs/>
          <w:sz w:val="24"/>
          <w:highlight w:val="none"/>
        </w:rPr>
        <w:t>则：</w:t>
      </w:r>
      <w:r>
        <w:rPr>
          <w:rFonts w:eastAsiaTheme="minorEastAsia"/>
          <w:bCs/>
          <w:sz w:val="24"/>
          <w:highlight w:val="none"/>
        </w:rPr>
        <w:t>C</w:t>
      </w:r>
      <w:r>
        <w:rPr>
          <w:rFonts w:hAnsiTheme="minorEastAsia" w:eastAsiaTheme="minorEastAsia"/>
          <w:bCs/>
          <w:sz w:val="24"/>
          <w:highlight w:val="none"/>
        </w:rPr>
        <w:t>（</w:t>
      </w:r>
      <w:r>
        <w:rPr>
          <w:rFonts w:eastAsiaTheme="minorEastAsia"/>
          <w:bCs/>
          <w:sz w:val="24"/>
          <w:highlight w:val="none"/>
        </w:rPr>
        <w:t>∑A</w:t>
      </w:r>
      <w:r>
        <w:rPr>
          <w:rFonts w:hAnsiTheme="minorEastAsia" w:eastAsiaTheme="minorEastAsia"/>
          <w:bCs/>
          <w:sz w:val="24"/>
          <w:highlight w:val="none"/>
        </w:rPr>
        <w:t>）</w:t>
      </w:r>
      <w:r>
        <w:rPr>
          <w:rFonts w:eastAsiaTheme="minorEastAsia"/>
          <w:bCs/>
          <w:sz w:val="24"/>
          <w:highlight w:val="none"/>
        </w:rPr>
        <w:t>=</w:t>
      </w:r>
      <w:r>
        <w:rPr>
          <w:rFonts w:hint="eastAsia" w:eastAsiaTheme="minorEastAsia"/>
          <w:bCs/>
          <w:sz w:val="24"/>
          <w:highlight w:val="none"/>
          <w:lang w:val="en-US" w:eastAsia="zh-CN"/>
        </w:rPr>
        <w:t>6.82</w:t>
      </w:r>
      <w:r>
        <w:rPr>
          <w:rFonts w:eastAsiaTheme="minorEastAsia"/>
          <w:bCs/>
          <w:sz w:val="24"/>
          <w:highlight w:val="none"/>
        </w:rPr>
        <w:t>+0.</w:t>
      </w:r>
      <w:r>
        <w:rPr>
          <w:rFonts w:hint="eastAsia" w:eastAsiaTheme="minorEastAsia"/>
          <w:bCs/>
          <w:sz w:val="24"/>
          <w:highlight w:val="none"/>
          <w:lang w:val="en-US" w:eastAsia="zh-CN"/>
        </w:rPr>
        <w:t>83</w:t>
      </w:r>
      <w:r>
        <w:rPr>
          <w:rFonts w:eastAsiaTheme="minorEastAsia"/>
          <w:bCs/>
          <w:sz w:val="24"/>
          <w:highlight w:val="none"/>
        </w:rPr>
        <w:t>+</w:t>
      </w:r>
      <w:r>
        <w:rPr>
          <w:rFonts w:hint="eastAsia" w:eastAsiaTheme="minorEastAsia"/>
          <w:bCs/>
          <w:sz w:val="24"/>
          <w:highlight w:val="none"/>
          <w:lang w:val="en-US" w:eastAsia="zh-CN"/>
        </w:rPr>
        <w:t>1.06</w:t>
      </w:r>
      <w:r>
        <w:rPr>
          <w:rFonts w:eastAsiaTheme="minorEastAsia"/>
          <w:bCs/>
          <w:sz w:val="24"/>
          <w:highlight w:val="none"/>
        </w:rPr>
        <w:t>=</w:t>
      </w:r>
      <w:r>
        <w:rPr>
          <w:rFonts w:hint="eastAsia" w:eastAsiaTheme="minorEastAsia"/>
          <w:bCs/>
          <w:sz w:val="24"/>
          <w:highlight w:val="none"/>
          <w:lang w:val="en-US" w:eastAsia="zh-CN"/>
        </w:rPr>
        <w:t>8.71</w:t>
      </w:r>
    </w:p>
    <w:p w14:paraId="4B7B29BB">
      <w:pPr>
        <w:spacing w:line="360" w:lineRule="auto"/>
        <w:ind w:firstLine="480" w:firstLineChars="200"/>
        <w:rPr>
          <w:rFonts w:hint="default" w:eastAsiaTheme="minorEastAsia"/>
          <w:bCs/>
          <w:sz w:val="24"/>
          <w:highlight w:val="none"/>
          <w:lang w:val="en-US" w:eastAsia="zh-CN"/>
        </w:rPr>
      </w:pPr>
      <w:r>
        <w:rPr>
          <w:rFonts w:eastAsiaTheme="minorEastAsia"/>
          <w:bCs/>
          <w:sz w:val="24"/>
          <w:highlight w:val="none"/>
        </w:rPr>
        <w:t>SB=</w:t>
      </w:r>
      <m:oMath>
        <m:f>
          <m:fPr>
            <m:ctrlPr>
              <w:rPr>
                <w:rFonts w:ascii="Cambria Math" w:hAnsi="Cambria Math" w:eastAsiaTheme="minorEastAsia"/>
                <w:bCs/>
                <w:sz w:val="24"/>
                <w:highlight w:val="none"/>
              </w:rPr>
            </m:ctrlPr>
          </m:fPr>
          <m:num>
            <m:r>
              <m:rPr>
                <m:sty m:val="p"/>
              </m:rPr>
              <w:rPr>
                <w:rFonts w:hint="default" w:ascii="Cambria Math" w:hAnsi="Cambria Math" w:eastAsiaTheme="minorEastAsia"/>
                <w:sz w:val="24"/>
                <w:highlight w:val="none"/>
                <w:lang w:val="en-US" w:eastAsia="zh-CN"/>
              </w:rPr>
              <m:t>1.06</m:t>
            </m:r>
            <m:ctrlPr>
              <w:rPr>
                <w:rFonts w:ascii="Cambria Math" w:hAnsi="Cambria Math" w:eastAsiaTheme="minorEastAsia"/>
                <w:bCs/>
                <w:sz w:val="24"/>
                <w:highlight w:val="none"/>
              </w:rPr>
            </m:ctrlPr>
          </m:num>
          <m:den>
            <m:r>
              <m:rPr>
                <m:sty m:val="p"/>
              </m:rPr>
              <w:rPr>
                <w:rFonts w:hint="default" w:ascii="Cambria Math" w:hAnsi="Cambria Math" w:eastAsiaTheme="minorEastAsia"/>
                <w:sz w:val="24"/>
                <w:highlight w:val="none"/>
                <w:lang w:val="en-US" w:eastAsia="zh-CN"/>
              </w:rPr>
              <m:t>8.71</m:t>
            </m:r>
            <m:ctrlPr>
              <w:rPr>
                <w:rFonts w:ascii="Cambria Math" w:hAnsi="Cambria Math" w:eastAsiaTheme="minorEastAsia"/>
                <w:bCs/>
                <w:sz w:val="24"/>
                <w:highlight w:val="none"/>
              </w:rPr>
            </m:ctrlPr>
          </m:den>
        </m:f>
      </m:oMath>
      <w:r>
        <w:rPr>
          <w:rFonts w:eastAsiaTheme="minorEastAsia"/>
          <w:bCs/>
          <w:sz w:val="24"/>
          <w:highlight w:val="none"/>
        </w:rPr>
        <w:t>=0.</w:t>
      </w:r>
      <w:r>
        <w:rPr>
          <w:rFonts w:hint="eastAsia" w:eastAsiaTheme="minorEastAsia"/>
          <w:bCs/>
          <w:sz w:val="24"/>
          <w:highlight w:val="none"/>
          <w:lang w:val="en-US" w:eastAsia="zh-CN"/>
        </w:rPr>
        <w:t>12</w:t>
      </w:r>
    </w:p>
    <w:p w14:paraId="09573709">
      <w:pPr>
        <w:spacing w:line="360" w:lineRule="auto"/>
        <w:ind w:firstLine="480" w:firstLineChars="200"/>
        <w:rPr>
          <w:rFonts w:hint="default" w:eastAsiaTheme="minorEastAsia"/>
          <w:bCs/>
          <w:sz w:val="24"/>
          <w:highlight w:val="none"/>
          <w:lang w:val="en-US" w:eastAsia="zh-CN"/>
        </w:rPr>
      </w:pPr>
      <w:r>
        <w:rPr>
          <w:rFonts w:eastAsiaTheme="minorEastAsia"/>
          <w:bCs/>
          <w:sz w:val="24"/>
          <w:highlight w:val="none"/>
        </w:rPr>
        <w:t>HCB=</w:t>
      </w:r>
      <m:oMath>
        <m:f>
          <m:fPr>
            <m:ctrlPr>
              <w:rPr>
                <w:rFonts w:ascii="Cambria Math" w:hAnsi="Cambria Math" w:eastAsiaTheme="minorEastAsia"/>
                <w:bCs/>
                <w:sz w:val="24"/>
                <w:highlight w:val="none"/>
              </w:rPr>
            </m:ctrlPr>
          </m:fPr>
          <m:num>
            <m:r>
              <m:rPr>
                <m:sty m:val="p"/>
              </m:rPr>
              <w:rPr>
                <w:rFonts w:hint="default" w:ascii="Cambria Math" w:hAnsi="Cambria Math" w:eastAsiaTheme="minorEastAsia"/>
                <w:sz w:val="24"/>
                <w:highlight w:val="none"/>
                <w:lang w:val="en-US" w:eastAsia="zh-CN"/>
              </w:rPr>
              <m:t>6.82</m:t>
            </m:r>
            <m:ctrlPr>
              <w:rPr>
                <w:rFonts w:ascii="Cambria Math" w:hAnsi="Cambria Math" w:eastAsiaTheme="minorEastAsia"/>
                <w:bCs/>
                <w:sz w:val="24"/>
                <w:highlight w:val="none"/>
              </w:rPr>
            </m:ctrlPr>
          </m:num>
          <m:den>
            <m:r>
              <m:rPr>
                <m:sty m:val="p"/>
              </m:rPr>
              <w:rPr>
                <w:rFonts w:ascii="Cambria Math" w:eastAsiaTheme="minorEastAsia"/>
                <w:sz w:val="24"/>
                <w:highlight w:val="none"/>
              </w:rPr>
              <m:t>0.</m:t>
            </m:r>
            <m:r>
              <m:rPr>
                <m:sty m:val="p"/>
              </m:rPr>
              <w:rPr>
                <w:rFonts w:hint="default" w:ascii="Cambria Math" w:eastAsiaTheme="minorEastAsia"/>
                <w:sz w:val="24"/>
                <w:highlight w:val="none"/>
                <w:lang w:val="en-US" w:eastAsia="zh-CN"/>
              </w:rPr>
              <m:t>83</m:t>
            </m:r>
            <m:ctrlPr>
              <w:rPr>
                <w:rFonts w:ascii="Cambria Math" w:hAnsi="Cambria Math" w:eastAsiaTheme="minorEastAsia"/>
                <w:bCs/>
                <w:sz w:val="24"/>
                <w:highlight w:val="none"/>
              </w:rPr>
            </m:ctrlPr>
          </m:den>
        </m:f>
      </m:oMath>
      <w:r>
        <w:rPr>
          <w:rFonts w:eastAsiaTheme="minorEastAsia"/>
          <w:bCs/>
          <w:sz w:val="24"/>
          <w:highlight w:val="none"/>
        </w:rPr>
        <w:t>=</w:t>
      </w:r>
      <w:r>
        <w:rPr>
          <w:rFonts w:hint="eastAsia" w:eastAsiaTheme="minorEastAsia"/>
          <w:bCs/>
          <w:sz w:val="24"/>
          <w:highlight w:val="none"/>
          <w:lang w:val="en-US" w:eastAsia="zh-CN"/>
        </w:rPr>
        <w:t>8.21</w:t>
      </w:r>
    </w:p>
    <w:p w14:paraId="6CB3A483">
      <w:pPr>
        <w:spacing w:line="360" w:lineRule="auto"/>
        <w:ind w:firstLine="480" w:firstLineChars="200"/>
        <w:rPr>
          <w:rFonts w:hint="eastAsia" w:eastAsiaTheme="minorEastAsia"/>
          <w:bCs/>
          <w:sz w:val="24"/>
          <w:highlight w:val="none"/>
          <w:lang w:eastAsia="zh-CN"/>
        </w:rPr>
      </w:pPr>
      <w:r>
        <w:rPr>
          <w:rFonts w:hAnsiTheme="minorEastAsia" w:eastAsiaTheme="minorEastAsia"/>
          <w:bCs/>
          <w:sz w:val="24"/>
          <w:highlight w:val="none"/>
        </w:rPr>
        <w:t>经查表</w:t>
      </w:r>
      <w:r>
        <w:rPr>
          <w:rFonts w:eastAsiaTheme="minorEastAsia"/>
          <w:bCs/>
          <w:sz w:val="24"/>
          <w:highlight w:val="none"/>
        </w:rPr>
        <w:t>4-2-9</w:t>
      </w:r>
      <w:r>
        <w:rPr>
          <w:rFonts w:hAnsiTheme="minorEastAsia" w:eastAsiaTheme="minorEastAsia"/>
          <w:bCs/>
          <w:sz w:val="24"/>
          <w:highlight w:val="none"/>
        </w:rPr>
        <w:t>得</w:t>
      </w:r>
      <w:r>
        <w:rPr>
          <w:rFonts w:eastAsiaTheme="minorEastAsia"/>
          <w:bCs/>
          <w:sz w:val="24"/>
          <w:highlight w:val="none"/>
        </w:rPr>
        <w:t>Ms</w:t>
      </w:r>
      <w:r>
        <w:rPr>
          <w:rFonts w:hAnsiTheme="minorEastAsia" w:eastAsiaTheme="minorEastAsia"/>
          <w:bCs/>
          <w:sz w:val="24"/>
          <w:highlight w:val="none"/>
        </w:rPr>
        <w:t>为</w:t>
      </w:r>
      <w:r>
        <w:rPr>
          <w:rFonts w:eastAsiaTheme="minorEastAsia"/>
          <w:bCs/>
          <w:sz w:val="24"/>
          <w:highlight w:val="none"/>
        </w:rPr>
        <w:t>0.07</w:t>
      </w:r>
      <w:r>
        <w:rPr>
          <w:rFonts w:hint="eastAsia" w:eastAsiaTheme="minorEastAsia"/>
          <w:bCs/>
          <w:sz w:val="24"/>
          <w:highlight w:val="none"/>
          <w:lang w:val="en-US" w:eastAsia="zh-CN"/>
        </w:rPr>
        <w:t>9</w:t>
      </w:r>
    </w:p>
    <w:p w14:paraId="0B10497D">
      <w:pPr>
        <w:spacing w:line="360" w:lineRule="auto"/>
        <w:ind w:firstLine="480" w:firstLineChars="200"/>
        <w:rPr>
          <w:rFonts w:eastAsiaTheme="minorEastAsia"/>
          <w:bCs/>
          <w:sz w:val="24"/>
          <w:highlight w:val="none"/>
        </w:rPr>
      </w:pPr>
      <w:r>
        <w:rPr>
          <w:rFonts w:hAnsiTheme="minorEastAsia" w:eastAsiaTheme="minorEastAsia"/>
          <w:bCs/>
          <w:sz w:val="24"/>
          <w:highlight w:val="none"/>
        </w:rPr>
        <w:t>矿化度（</w:t>
      </w:r>
      <w:r>
        <w:rPr>
          <w:rFonts w:eastAsiaTheme="minorEastAsia"/>
          <w:bCs/>
          <w:sz w:val="24"/>
          <w:highlight w:val="none"/>
        </w:rPr>
        <w:t>g/L</w:t>
      </w:r>
      <w:r>
        <w:rPr>
          <w:rFonts w:hAnsiTheme="minorEastAsia" w:eastAsiaTheme="minorEastAsia"/>
          <w:bCs/>
          <w:sz w:val="24"/>
          <w:highlight w:val="none"/>
        </w:rPr>
        <w:t>）</w:t>
      </w:r>
      <w:r>
        <w:rPr>
          <w:rFonts w:eastAsiaTheme="minorEastAsia"/>
          <w:bCs/>
          <w:sz w:val="24"/>
          <w:highlight w:val="none"/>
        </w:rPr>
        <w:t>=</w:t>
      </w:r>
      <w:r>
        <w:rPr>
          <w:rFonts w:hint="eastAsia" w:eastAsiaTheme="minorEastAsia"/>
          <w:bCs/>
          <w:sz w:val="24"/>
          <w:highlight w:val="none"/>
          <w:lang w:val="en-US" w:eastAsia="zh-CN"/>
        </w:rPr>
        <w:t>8.71</w:t>
      </w:r>
      <w:r>
        <w:rPr>
          <w:rFonts w:eastAsiaTheme="minorEastAsia"/>
          <w:bCs/>
          <w:sz w:val="24"/>
          <w:highlight w:val="none"/>
        </w:rPr>
        <w:t>×0.07</w:t>
      </w:r>
      <w:r>
        <w:rPr>
          <w:rFonts w:hint="eastAsia" w:eastAsiaTheme="minorEastAsia"/>
          <w:bCs/>
          <w:sz w:val="24"/>
          <w:highlight w:val="none"/>
          <w:lang w:val="en-US" w:eastAsia="zh-CN"/>
        </w:rPr>
        <w:t>9</w:t>
      </w:r>
      <w:r>
        <w:rPr>
          <w:rFonts w:eastAsiaTheme="minorEastAsia"/>
          <w:bCs/>
          <w:sz w:val="24"/>
          <w:highlight w:val="none"/>
        </w:rPr>
        <w:t>=0.</w:t>
      </w:r>
      <w:r>
        <w:rPr>
          <w:rFonts w:hint="eastAsia" w:eastAsiaTheme="minorEastAsia"/>
          <w:bCs/>
          <w:sz w:val="24"/>
          <w:highlight w:val="none"/>
          <w:lang w:val="en-US" w:eastAsia="zh-CN"/>
        </w:rPr>
        <w:t>679</w:t>
      </w:r>
      <w:r>
        <w:rPr>
          <w:rFonts w:hAnsiTheme="minorEastAsia" w:eastAsiaTheme="minorEastAsia"/>
          <w:bCs/>
          <w:sz w:val="24"/>
          <w:highlight w:val="none"/>
        </w:rPr>
        <w:t>，所以矿化度处于</w:t>
      </w:r>
      <w:r>
        <w:rPr>
          <w:rFonts w:eastAsiaTheme="minorEastAsia"/>
          <w:bCs/>
          <w:sz w:val="24"/>
          <w:highlight w:val="none"/>
        </w:rPr>
        <w:t>A</w:t>
      </w:r>
      <w:r>
        <w:rPr>
          <w:rFonts w:hAnsiTheme="minorEastAsia" w:eastAsiaTheme="minorEastAsia"/>
          <w:bCs/>
          <w:sz w:val="24"/>
          <w:highlight w:val="none"/>
        </w:rPr>
        <w:t>组，</w:t>
      </w:r>
      <w:r>
        <w:rPr>
          <w:rFonts w:eastAsiaTheme="minorEastAsia"/>
          <w:bCs/>
          <w:sz w:val="24"/>
          <w:highlight w:val="none"/>
        </w:rPr>
        <w:t>1#</w:t>
      </w:r>
      <w:r>
        <w:rPr>
          <w:rFonts w:hAnsiTheme="minorEastAsia" w:eastAsiaTheme="minorEastAsia"/>
          <w:bCs/>
          <w:sz w:val="24"/>
          <w:highlight w:val="none"/>
        </w:rPr>
        <w:t>处地下水为</w:t>
      </w:r>
      <w:r>
        <w:rPr>
          <w:rFonts w:hint="eastAsia" w:eastAsiaTheme="minorEastAsia"/>
          <w:bCs/>
          <w:sz w:val="24"/>
          <w:highlight w:val="none"/>
          <w:lang w:val="en-US" w:eastAsia="zh-CN"/>
        </w:rPr>
        <w:t>5</w:t>
      </w:r>
      <w:r>
        <w:rPr>
          <w:rFonts w:eastAsiaTheme="minorEastAsia"/>
          <w:bCs/>
          <w:sz w:val="24"/>
          <w:highlight w:val="none"/>
        </w:rPr>
        <w:t>-A</w:t>
      </w:r>
      <w:r>
        <w:rPr>
          <w:rFonts w:hAnsiTheme="minorEastAsia" w:eastAsiaTheme="minorEastAsia"/>
          <w:bCs/>
          <w:sz w:val="24"/>
          <w:highlight w:val="none"/>
        </w:rPr>
        <w:t>型，表示矿化度小于</w:t>
      </w:r>
      <w:r>
        <w:rPr>
          <w:rFonts w:eastAsiaTheme="minorEastAsia"/>
          <w:bCs/>
          <w:sz w:val="24"/>
          <w:highlight w:val="none"/>
        </w:rPr>
        <w:t>1.5g/L</w:t>
      </w:r>
      <w:r>
        <w:rPr>
          <w:rFonts w:hAnsiTheme="minorEastAsia" w:eastAsiaTheme="minorEastAsia"/>
          <w:bCs/>
          <w:sz w:val="24"/>
          <w:highlight w:val="none"/>
        </w:rPr>
        <w:t>的</w:t>
      </w:r>
      <w:r>
        <w:rPr>
          <w:rFonts w:eastAsiaTheme="minorEastAsia"/>
          <w:bCs/>
          <w:sz w:val="24"/>
          <w:highlight w:val="none"/>
        </w:rPr>
        <w:t>HCO</w:t>
      </w:r>
      <w:r>
        <w:rPr>
          <w:rFonts w:eastAsiaTheme="minorEastAsia"/>
          <w:bCs/>
          <w:sz w:val="24"/>
          <w:highlight w:val="none"/>
          <w:vertAlign w:val="subscript"/>
        </w:rPr>
        <w:t>3</w:t>
      </w:r>
      <w:r>
        <w:rPr>
          <w:rFonts w:eastAsiaTheme="minorEastAsia"/>
          <w:bCs/>
          <w:sz w:val="24"/>
          <w:highlight w:val="none"/>
        </w:rPr>
        <w:t>—</w:t>
      </w:r>
      <w:r>
        <w:rPr>
          <w:rFonts w:hint="default" w:ascii="Times New Roman" w:hAnsi="Times New Roman" w:cs="Times New Roman" w:eastAsiaTheme="minorEastAsia"/>
          <w:spacing w:val="0"/>
          <w:position w:val="0"/>
          <w:szCs w:val="21"/>
          <w:highlight w:val="none"/>
          <w:lang w:val="zh-CN"/>
        </w:rPr>
        <w:t>Na</w:t>
      </w:r>
      <w:r>
        <w:rPr>
          <w:rFonts w:hint="default" w:ascii="Times New Roman" w:hAnsi="Times New Roman" w:cs="Times New Roman" w:eastAsiaTheme="minorEastAsia"/>
          <w:spacing w:val="0"/>
          <w:position w:val="0"/>
          <w:szCs w:val="21"/>
          <w:highlight w:val="none"/>
          <w:vertAlign w:val="superscript"/>
          <w:lang w:val="zh-CN"/>
        </w:rPr>
        <w:t>+</w:t>
      </w:r>
      <w:r>
        <w:rPr>
          <w:rFonts w:hint="default" w:ascii="Times New Roman" w:hAnsi="Times New Roman" w:cs="Times New Roman" w:eastAsiaTheme="minorEastAsia"/>
          <w:spacing w:val="0"/>
          <w:position w:val="0"/>
          <w:szCs w:val="21"/>
          <w:highlight w:val="none"/>
          <w:lang w:val="zh-CN"/>
        </w:rPr>
        <w:t>-Ca</w:t>
      </w:r>
      <w:r>
        <w:rPr>
          <w:rFonts w:hint="default" w:ascii="Times New Roman" w:hAnsi="Times New Roman" w:cs="Times New Roman" w:eastAsiaTheme="minorEastAsia"/>
          <w:spacing w:val="0"/>
          <w:position w:val="0"/>
          <w:szCs w:val="21"/>
          <w:highlight w:val="none"/>
          <w:vertAlign w:val="superscript"/>
          <w:lang w:val="zh-CN"/>
        </w:rPr>
        <w:t>2+</w:t>
      </w:r>
      <w:r>
        <w:rPr>
          <w:rFonts w:hint="default" w:ascii="Times New Roman" w:hAnsi="Times New Roman" w:cs="Times New Roman" w:eastAsiaTheme="minorEastAsia"/>
          <w:spacing w:val="0"/>
          <w:position w:val="0"/>
          <w:szCs w:val="21"/>
          <w:highlight w:val="none"/>
          <w:lang w:val="zh-CN"/>
        </w:rPr>
        <w:t>-Mg</w:t>
      </w:r>
      <w:r>
        <w:rPr>
          <w:rFonts w:hint="default" w:ascii="Times New Roman" w:hAnsi="Times New Roman" w:cs="Times New Roman" w:eastAsiaTheme="minorEastAsia"/>
          <w:spacing w:val="0"/>
          <w:position w:val="0"/>
          <w:szCs w:val="21"/>
          <w:highlight w:val="none"/>
          <w:vertAlign w:val="superscript"/>
          <w:lang w:val="zh-CN"/>
        </w:rPr>
        <w:t>2+</w:t>
      </w:r>
      <w:r>
        <w:rPr>
          <w:rFonts w:hAnsiTheme="minorEastAsia" w:eastAsiaTheme="minorEastAsia"/>
          <w:bCs/>
          <w:sz w:val="24"/>
          <w:highlight w:val="none"/>
        </w:rPr>
        <w:t>型水。</w:t>
      </w:r>
    </w:p>
    <w:p w14:paraId="0295E76E">
      <w:pPr>
        <w:spacing w:line="360" w:lineRule="auto"/>
        <w:ind w:firstLine="480" w:firstLineChars="200"/>
        <w:rPr>
          <w:rFonts w:eastAsiaTheme="minorEastAsia"/>
          <w:bCs/>
          <w:sz w:val="24"/>
          <w:highlight w:val="none"/>
        </w:rPr>
      </w:pPr>
      <w:r>
        <w:rPr>
          <w:rFonts w:hAnsiTheme="minorEastAsia" w:eastAsiaTheme="minorEastAsia"/>
          <w:bCs/>
          <w:sz w:val="24"/>
          <w:highlight w:val="none"/>
        </w:rPr>
        <w:t>其它点位计算过程同上。</w:t>
      </w:r>
    </w:p>
    <w:p w14:paraId="0938202A">
      <w:pPr>
        <w:spacing w:line="360" w:lineRule="auto"/>
        <w:ind w:firstLine="480" w:firstLineChars="200"/>
        <w:rPr>
          <w:rFonts w:eastAsiaTheme="minorEastAsia"/>
          <w:bCs/>
          <w:sz w:val="24"/>
          <w:highlight w:val="none"/>
        </w:rPr>
      </w:pPr>
      <w:r>
        <w:rPr>
          <w:rFonts w:hAnsiTheme="minorEastAsia" w:eastAsiaTheme="minorEastAsia"/>
          <w:bCs/>
          <w:sz w:val="24"/>
          <w:highlight w:val="none"/>
        </w:rPr>
        <w:t>水质矿化度计算结果见</w:t>
      </w:r>
      <w:r>
        <w:rPr>
          <w:rFonts w:hint="eastAsia" w:hAnsiTheme="minorEastAsia" w:eastAsiaTheme="minorEastAsia"/>
          <w:bCs/>
          <w:sz w:val="24"/>
          <w:highlight w:val="none"/>
          <w:lang w:val="en-US" w:eastAsia="zh-CN"/>
        </w:rPr>
        <w:t>下表</w:t>
      </w:r>
      <w:r>
        <w:rPr>
          <w:rFonts w:hAnsiTheme="minorEastAsia" w:eastAsiaTheme="minorEastAsia"/>
          <w:bCs/>
          <w:sz w:val="24"/>
          <w:highlight w:val="none"/>
        </w:rPr>
        <w:t>。</w:t>
      </w:r>
    </w:p>
    <w:p w14:paraId="45595F55">
      <w:pPr>
        <w:pStyle w:val="7"/>
        <w:bidi w:val="0"/>
        <w:rPr>
          <w:highlight w:val="none"/>
        </w:rPr>
      </w:pPr>
      <w:r>
        <w:rPr>
          <w:highlight w:val="none"/>
        </w:rPr>
        <w:t>表4-2-</w:t>
      </w:r>
      <w:r>
        <w:rPr>
          <w:rFonts w:hint="eastAsia"/>
          <w:highlight w:val="none"/>
          <w:lang w:val="en-US" w:eastAsia="zh-CN"/>
        </w:rPr>
        <w:t>11</w:t>
      </w:r>
      <w:r>
        <w:rPr>
          <w:highlight w:val="none"/>
        </w:rPr>
        <w:t>水质矿化度</w:t>
      </w:r>
    </w:p>
    <w:tbl>
      <w:tblPr>
        <w:tblStyle w:val="4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1006"/>
        <w:gridCol w:w="1006"/>
        <w:gridCol w:w="1001"/>
        <w:gridCol w:w="1001"/>
        <w:gridCol w:w="1002"/>
        <w:gridCol w:w="1002"/>
        <w:gridCol w:w="1002"/>
      </w:tblGrid>
      <w:tr w14:paraId="1C5FA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pct"/>
            <w:vAlign w:val="center"/>
          </w:tcPr>
          <w:p w14:paraId="5A13632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zh-CN"/>
              </w:rPr>
            </w:pPr>
            <w:r>
              <w:rPr>
                <w:rFonts w:hint="default" w:ascii="Times New Roman" w:hAnsi="Times New Roman" w:cs="Times New Roman" w:eastAsiaTheme="minorEastAsia"/>
                <w:spacing w:val="0"/>
                <w:position w:val="0"/>
                <w:sz w:val="21"/>
                <w:szCs w:val="21"/>
                <w:highlight w:val="none"/>
                <w:lang w:val="zh-CN"/>
              </w:rPr>
              <w:t>编号项目</w:t>
            </w:r>
          </w:p>
        </w:tc>
        <w:tc>
          <w:tcPr>
            <w:tcW w:w="590" w:type="pct"/>
            <w:vAlign w:val="center"/>
          </w:tcPr>
          <w:p w14:paraId="49C7FCA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1#</w:t>
            </w:r>
          </w:p>
        </w:tc>
        <w:tc>
          <w:tcPr>
            <w:tcW w:w="590" w:type="pct"/>
            <w:vAlign w:val="center"/>
          </w:tcPr>
          <w:p w14:paraId="276DEA9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2#</w:t>
            </w:r>
          </w:p>
        </w:tc>
        <w:tc>
          <w:tcPr>
            <w:tcW w:w="587" w:type="pct"/>
            <w:vAlign w:val="center"/>
          </w:tcPr>
          <w:p w14:paraId="4B9A279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3#</w:t>
            </w:r>
          </w:p>
        </w:tc>
        <w:tc>
          <w:tcPr>
            <w:tcW w:w="587" w:type="pct"/>
            <w:vAlign w:val="center"/>
          </w:tcPr>
          <w:p w14:paraId="63CED6E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en-US" w:eastAsia="zh-CN"/>
              </w:rPr>
            </w:pPr>
            <w:r>
              <w:rPr>
                <w:rFonts w:hint="eastAsia" w:cs="Times New Roman" w:eastAsiaTheme="minorEastAsia"/>
                <w:spacing w:val="0"/>
                <w:position w:val="0"/>
                <w:sz w:val="21"/>
                <w:szCs w:val="21"/>
                <w:highlight w:val="none"/>
                <w:lang w:val="en-US" w:eastAsia="zh-CN"/>
              </w:rPr>
              <w:t>4#</w:t>
            </w:r>
          </w:p>
        </w:tc>
        <w:tc>
          <w:tcPr>
            <w:tcW w:w="588" w:type="pct"/>
            <w:vAlign w:val="center"/>
          </w:tcPr>
          <w:p w14:paraId="43AD210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en-US" w:eastAsia="zh-CN"/>
              </w:rPr>
            </w:pPr>
            <w:r>
              <w:rPr>
                <w:rFonts w:hint="eastAsia" w:cs="Times New Roman" w:eastAsiaTheme="minorEastAsia"/>
                <w:spacing w:val="0"/>
                <w:position w:val="0"/>
                <w:sz w:val="21"/>
                <w:szCs w:val="21"/>
                <w:highlight w:val="none"/>
                <w:lang w:val="en-US" w:eastAsia="zh-CN"/>
              </w:rPr>
              <w:t>5#</w:t>
            </w:r>
          </w:p>
        </w:tc>
        <w:tc>
          <w:tcPr>
            <w:tcW w:w="588" w:type="pct"/>
            <w:vAlign w:val="center"/>
          </w:tcPr>
          <w:p w14:paraId="5198CA1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spacing w:val="0"/>
                <w:position w:val="0"/>
                <w:sz w:val="21"/>
                <w:szCs w:val="21"/>
                <w:highlight w:val="none"/>
                <w:lang w:val="en-US" w:eastAsia="zh-CN"/>
              </w:rPr>
            </w:pPr>
            <w:r>
              <w:rPr>
                <w:rFonts w:hint="eastAsia" w:ascii="Times New Roman" w:hAnsi="Times New Roman" w:cs="Times New Roman" w:eastAsiaTheme="minorEastAsia"/>
                <w:spacing w:val="0"/>
                <w:position w:val="0"/>
                <w:sz w:val="21"/>
                <w:szCs w:val="21"/>
                <w:highlight w:val="none"/>
                <w:lang w:val="en-US" w:eastAsia="zh-CN"/>
              </w:rPr>
              <w:t>6#</w:t>
            </w:r>
          </w:p>
        </w:tc>
        <w:tc>
          <w:tcPr>
            <w:tcW w:w="588" w:type="pct"/>
            <w:vAlign w:val="center"/>
          </w:tcPr>
          <w:p w14:paraId="0319CF5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spacing w:val="0"/>
                <w:position w:val="0"/>
                <w:sz w:val="21"/>
                <w:szCs w:val="21"/>
                <w:highlight w:val="none"/>
                <w:lang w:val="en-US" w:eastAsia="zh-CN"/>
              </w:rPr>
            </w:pPr>
            <w:r>
              <w:rPr>
                <w:rFonts w:hint="eastAsia" w:ascii="Times New Roman" w:hAnsi="Times New Roman" w:cs="Times New Roman" w:eastAsiaTheme="minorEastAsia"/>
                <w:spacing w:val="0"/>
                <w:position w:val="0"/>
                <w:sz w:val="21"/>
                <w:szCs w:val="21"/>
                <w:highlight w:val="none"/>
                <w:lang w:val="en-US" w:eastAsia="zh-CN"/>
              </w:rPr>
              <w:t>#</w:t>
            </w:r>
          </w:p>
        </w:tc>
      </w:tr>
      <w:tr w14:paraId="588B4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879" w:type="pct"/>
            <w:vAlign w:val="center"/>
          </w:tcPr>
          <w:p w14:paraId="1397964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zh-CN"/>
              </w:rPr>
            </w:pPr>
            <w:r>
              <w:rPr>
                <w:rFonts w:hint="default" w:ascii="Times New Roman" w:hAnsi="Times New Roman" w:cs="Times New Roman" w:eastAsiaTheme="minorEastAsia"/>
                <w:spacing w:val="0"/>
                <w:position w:val="0"/>
                <w:sz w:val="21"/>
                <w:szCs w:val="21"/>
                <w:highlight w:val="none"/>
                <w:lang w:val="zh-CN"/>
              </w:rPr>
              <w:t>矿化度（M）</w:t>
            </w:r>
          </w:p>
        </w:tc>
        <w:tc>
          <w:tcPr>
            <w:tcW w:w="590" w:type="pct"/>
            <w:vAlign w:val="center"/>
          </w:tcPr>
          <w:p w14:paraId="7BCAF09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en-US" w:eastAsia="zh-CN"/>
              </w:rPr>
            </w:pPr>
            <w:r>
              <w:rPr>
                <w:rFonts w:hint="eastAsia" w:cs="Times New Roman" w:eastAsiaTheme="minorEastAsia"/>
                <w:spacing w:val="0"/>
                <w:position w:val="0"/>
                <w:sz w:val="21"/>
                <w:szCs w:val="21"/>
                <w:highlight w:val="none"/>
                <w:lang w:val="en-US" w:eastAsia="zh-CN"/>
              </w:rPr>
              <w:t>0.679</w:t>
            </w:r>
          </w:p>
        </w:tc>
        <w:tc>
          <w:tcPr>
            <w:tcW w:w="590" w:type="pct"/>
            <w:vAlign w:val="center"/>
          </w:tcPr>
          <w:p w14:paraId="7AF2937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en-US" w:eastAsia="zh-CN"/>
              </w:rPr>
            </w:pPr>
            <w:r>
              <w:rPr>
                <w:rFonts w:hint="eastAsia" w:cs="Times New Roman" w:eastAsiaTheme="minorEastAsia"/>
                <w:spacing w:val="0"/>
                <w:position w:val="0"/>
                <w:sz w:val="21"/>
                <w:szCs w:val="21"/>
                <w:highlight w:val="none"/>
                <w:lang w:val="en-US" w:eastAsia="zh-CN"/>
              </w:rPr>
              <w:t>0.746</w:t>
            </w:r>
          </w:p>
        </w:tc>
        <w:tc>
          <w:tcPr>
            <w:tcW w:w="587" w:type="pct"/>
            <w:vAlign w:val="center"/>
          </w:tcPr>
          <w:p w14:paraId="789B4E9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en-US" w:eastAsia="zh-CN"/>
              </w:rPr>
            </w:pPr>
            <w:r>
              <w:rPr>
                <w:rFonts w:hint="eastAsia" w:cs="Times New Roman" w:eastAsiaTheme="minorEastAsia"/>
                <w:spacing w:val="0"/>
                <w:position w:val="0"/>
                <w:sz w:val="21"/>
                <w:szCs w:val="21"/>
                <w:highlight w:val="none"/>
                <w:lang w:val="en-US" w:eastAsia="zh-CN"/>
              </w:rPr>
              <w:t>0.717</w:t>
            </w:r>
          </w:p>
        </w:tc>
        <w:tc>
          <w:tcPr>
            <w:tcW w:w="587" w:type="pct"/>
            <w:vAlign w:val="center"/>
          </w:tcPr>
          <w:p w14:paraId="1B5ABF9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en-US" w:eastAsia="zh-CN"/>
              </w:rPr>
            </w:pPr>
            <w:r>
              <w:rPr>
                <w:rFonts w:hint="eastAsia" w:cs="Times New Roman" w:eastAsiaTheme="minorEastAsia"/>
                <w:spacing w:val="0"/>
                <w:position w:val="0"/>
                <w:sz w:val="21"/>
                <w:szCs w:val="21"/>
                <w:highlight w:val="none"/>
                <w:lang w:val="en-US" w:eastAsia="zh-CN"/>
              </w:rPr>
              <w:t>0.746</w:t>
            </w:r>
          </w:p>
        </w:tc>
        <w:tc>
          <w:tcPr>
            <w:tcW w:w="588" w:type="pct"/>
            <w:vAlign w:val="center"/>
          </w:tcPr>
          <w:p w14:paraId="1F13DB8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en-US" w:eastAsia="zh-CN"/>
              </w:rPr>
            </w:pPr>
            <w:r>
              <w:rPr>
                <w:rFonts w:hint="eastAsia" w:cs="Times New Roman" w:eastAsiaTheme="minorEastAsia"/>
                <w:spacing w:val="0"/>
                <w:position w:val="0"/>
                <w:sz w:val="21"/>
                <w:szCs w:val="21"/>
                <w:highlight w:val="none"/>
                <w:lang w:val="en-US" w:eastAsia="zh-CN"/>
              </w:rPr>
              <w:t>0.732</w:t>
            </w:r>
          </w:p>
        </w:tc>
        <w:tc>
          <w:tcPr>
            <w:tcW w:w="588" w:type="pct"/>
            <w:vAlign w:val="center"/>
          </w:tcPr>
          <w:p w14:paraId="505CC82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eastAsiaTheme="minorEastAsia"/>
                <w:spacing w:val="0"/>
                <w:position w:val="0"/>
                <w:sz w:val="21"/>
                <w:szCs w:val="21"/>
                <w:highlight w:val="none"/>
                <w:lang w:val="en-US" w:eastAsia="zh-CN"/>
              </w:rPr>
            </w:pPr>
            <w:r>
              <w:rPr>
                <w:rFonts w:hint="eastAsia" w:cs="Times New Roman" w:eastAsiaTheme="minorEastAsia"/>
                <w:spacing w:val="0"/>
                <w:position w:val="0"/>
                <w:sz w:val="21"/>
                <w:szCs w:val="21"/>
                <w:highlight w:val="none"/>
                <w:lang w:val="en-US" w:eastAsia="zh-CN"/>
              </w:rPr>
              <w:t>0.760</w:t>
            </w:r>
          </w:p>
        </w:tc>
        <w:tc>
          <w:tcPr>
            <w:tcW w:w="588" w:type="pct"/>
            <w:vAlign w:val="center"/>
          </w:tcPr>
          <w:p w14:paraId="0B74AF1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eastAsiaTheme="minorEastAsia"/>
                <w:spacing w:val="0"/>
                <w:position w:val="0"/>
                <w:sz w:val="21"/>
                <w:szCs w:val="21"/>
                <w:highlight w:val="none"/>
                <w:lang w:val="en-US" w:eastAsia="zh-CN"/>
              </w:rPr>
            </w:pPr>
            <w:r>
              <w:rPr>
                <w:rFonts w:hint="eastAsia" w:cs="Times New Roman" w:eastAsiaTheme="minorEastAsia"/>
                <w:spacing w:val="0"/>
                <w:position w:val="0"/>
                <w:sz w:val="21"/>
                <w:szCs w:val="21"/>
                <w:highlight w:val="none"/>
                <w:lang w:val="en-US" w:eastAsia="zh-CN"/>
              </w:rPr>
              <w:t>0.751</w:t>
            </w:r>
          </w:p>
        </w:tc>
      </w:tr>
      <w:tr w14:paraId="555B2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879" w:type="pct"/>
            <w:vAlign w:val="center"/>
          </w:tcPr>
          <w:p w14:paraId="742BEBC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zh-CN"/>
              </w:rPr>
            </w:pPr>
            <w:r>
              <w:rPr>
                <w:rFonts w:hint="default" w:ascii="Times New Roman" w:hAnsi="Times New Roman" w:cs="Times New Roman" w:eastAsiaTheme="minorEastAsia"/>
                <w:spacing w:val="0"/>
                <w:position w:val="0"/>
                <w:sz w:val="21"/>
                <w:szCs w:val="21"/>
                <w:highlight w:val="none"/>
                <w:lang w:val="zh-CN"/>
              </w:rPr>
              <w:t>矿化度分组</w:t>
            </w:r>
          </w:p>
        </w:tc>
        <w:tc>
          <w:tcPr>
            <w:tcW w:w="590" w:type="pct"/>
            <w:vAlign w:val="center"/>
          </w:tcPr>
          <w:p w14:paraId="07D7057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A</w:t>
            </w:r>
          </w:p>
        </w:tc>
        <w:tc>
          <w:tcPr>
            <w:tcW w:w="590" w:type="pct"/>
            <w:vAlign w:val="center"/>
          </w:tcPr>
          <w:p w14:paraId="2E24F7E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A</w:t>
            </w:r>
          </w:p>
        </w:tc>
        <w:tc>
          <w:tcPr>
            <w:tcW w:w="587" w:type="pct"/>
            <w:vAlign w:val="center"/>
          </w:tcPr>
          <w:p w14:paraId="117B54E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A</w:t>
            </w:r>
          </w:p>
        </w:tc>
        <w:tc>
          <w:tcPr>
            <w:tcW w:w="587" w:type="pct"/>
            <w:vAlign w:val="center"/>
          </w:tcPr>
          <w:p w14:paraId="047A109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A</w:t>
            </w:r>
          </w:p>
        </w:tc>
        <w:tc>
          <w:tcPr>
            <w:tcW w:w="588" w:type="pct"/>
            <w:vAlign w:val="center"/>
          </w:tcPr>
          <w:p w14:paraId="2073E0F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A</w:t>
            </w:r>
          </w:p>
        </w:tc>
        <w:tc>
          <w:tcPr>
            <w:tcW w:w="1002" w:type="dxa"/>
            <w:vAlign w:val="center"/>
          </w:tcPr>
          <w:p w14:paraId="67F2279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A</w:t>
            </w:r>
          </w:p>
        </w:tc>
        <w:tc>
          <w:tcPr>
            <w:tcW w:w="1002" w:type="dxa"/>
            <w:vAlign w:val="center"/>
          </w:tcPr>
          <w:p w14:paraId="3EA6E7E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cs="Times New Roman" w:eastAsiaTheme="minorEastAsia"/>
                <w:spacing w:val="0"/>
                <w:position w:val="0"/>
                <w:sz w:val="21"/>
                <w:szCs w:val="21"/>
                <w:highlight w:val="none"/>
              </w:rPr>
              <w:t>A</w:t>
            </w:r>
          </w:p>
        </w:tc>
      </w:tr>
      <w:tr w14:paraId="5A249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879" w:type="pct"/>
            <w:vAlign w:val="center"/>
          </w:tcPr>
          <w:p w14:paraId="05C7B9B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en-US" w:eastAsia="zh-CN"/>
              </w:rPr>
            </w:pPr>
            <w:r>
              <w:rPr>
                <w:rFonts w:hint="eastAsia" w:ascii="宋体" w:hAnsi="宋体" w:eastAsia="宋体" w:cs="宋体"/>
                <w:spacing w:val="0"/>
                <w:position w:val="0"/>
                <w:sz w:val="21"/>
                <w:szCs w:val="21"/>
                <w:highlight w:val="none"/>
                <w:lang w:val="zh-CN" w:eastAsia="zh-CN" w:bidi="zh-CN"/>
              </w:rPr>
              <w:t>水化学类型</w:t>
            </w:r>
          </w:p>
        </w:tc>
        <w:tc>
          <w:tcPr>
            <w:tcW w:w="590" w:type="pct"/>
            <w:vAlign w:val="center"/>
          </w:tcPr>
          <w:p w14:paraId="47CAB42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lang w:val="en-US" w:eastAsia="zh-CN"/>
              </w:rPr>
            </w:pPr>
            <w:r>
              <w:rPr>
                <w:rFonts w:hint="default" w:eastAsiaTheme="minorEastAsia"/>
                <w:bCs/>
                <w:sz w:val="24"/>
                <w:highlight w:val="none"/>
              </w:rPr>
              <w:t>HCO</w:t>
            </w:r>
            <w:r>
              <w:rPr>
                <w:rFonts w:hint="default" w:eastAsiaTheme="minorEastAsia"/>
                <w:bCs/>
                <w:sz w:val="24"/>
                <w:highlight w:val="none"/>
                <w:vertAlign w:val="subscript"/>
              </w:rPr>
              <w:t>3</w:t>
            </w:r>
            <w:r>
              <w:rPr>
                <w:rFonts w:hint="default" w:eastAsiaTheme="minorEastAsia"/>
                <w:bCs/>
                <w:sz w:val="24"/>
                <w:highlight w:val="none"/>
              </w:rPr>
              <w:t>—</w:t>
            </w:r>
            <w:r>
              <w:rPr>
                <w:rFonts w:hint="default" w:ascii="Times New Roman" w:hAnsi="Times New Roman" w:cs="Times New Roman" w:eastAsiaTheme="minorEastAsia"/>
                <w:spacing w:val="0"/>
                <w:position w:val="0"/>
                <w:szCs w:val="21"/>
                <w:highlight w:val="none"/>
                <w:lang w:val="zh-CN"/>
              </w:rPr>
              <w:t>Ca</w:t>
            </w:r>
            <w:r>
              <w:rPr>
                <w:rFonts w:hint="default" w:ascii="Times New Roman" w:hAnsi="Times New Roman" w:cs="Times New Roman" w:eastAsiaTheme="minorEastAsia"/>
                <w:spacing w:val="0"/>
                <w:position w:val="0"/>
                <w:szCs w:val="21"/>
                <w:highlight w:val="none"/>
                <w:vertAlign w:val="superscript"/>
                <w:lang w:val="zh-CN"/>
              </w:rPr>
              <w:t>2+</w:t>
            </w:r>
          </w:p>
        </w:tc>
        <w:tc>
          <w:tcPr>
            <w:tcW w:w="590" w:type="pct"/>
            <w:vAlign w:val="center"/>
          </w:tcPr>
          <w:p w14:paraId="57931B8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eastAsiaTheme="minorEastAsia"/>
                <w:bCs/>
                <w:sz w:val="24"/>
                <w:highlight w:val="none"/>
              </w:rPr>
              <w:t>HCO</w:t>
            </w:r>
            <w:r>
              <w:rPr>
                <w:rFonts w:hint="default" w:eastAsiaTheme="minorEastAsia"/>
                <w:bCs/>
                <w:sz w:val="24"/>
                <w:highlight w:val="none"/>
                <w:vertAlign w:val="subscript"/>
              </w:rPr>
              <w:t>3</w:t>
            </w:r>
            <w:r>
              <w:rPr>
                <w:rFonts w:hint="default" w:eastAsiaTheme="minorEastAsia"/>
                <w:bCs/>
                <w:sz w:val="24"/>
                <w:highlight w:val="none"/>
              </w:rPr>
              <w:t>—</w:t>
            </w:r>
            <w:r>
              <w:rPr>
                <w:rFonts w:hint="default" w:ascii="Times New Roman" w:hAnsi="Times New Roman" w:cs="Times New Roman" w:eastAsiaTheme="minorEastAsia"/>
                <w:spacing w:val="0"/>
                <w:position w:val="0"/>
                <w:szCs w:val="21"/>
                <w:highlight w:val="none"/>
                <w:lang w:val="zh-CN"/>
              </w:rPr>
              <w:t>Ca</w:t>
            </w:r>
            <w:r>
              <w:rPr>
                <w:rFonts w:hint="default" w:ascii="Times New Roman" w:hAnsi="Times New Roman" w:cs="Times New Roman" w:eastAsiaTheme="minorEastAsia"/>
                <w:spacing w:val="0"/>
                <w:position w:val="0"/>
                <w:szCs w:val="21"/>
                <w:highlight w:val="none"/>
                <w:vertAlign w:val="superscript"/>
                <w:lang w:val="zh-CN"/>
              </w:rPr>
              <w:t>2+</w:t>
            </w:r>
          </w:p>
        </w:tc>
        <w:tc>
          <w:tcPr>
            <w:tcW w:w="587" w:type="pct"/>
            <w:vAlign w:val="center"/>
          </w:tcPr>
          <w:p w14:paraId="466950F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eastAsiaTheme="minorEastAsia"/>
                <w:bCs/>
                <w:sz w:val="24"/>
                <w:highlight w:val="none"/>
              </w:rPr>
              <w:t>HCO</w:t>
            </w:r>
            <w:r>
              <w:rPr>
                <w:rFonts w:hint="default" w:eastAsiaTheme="minorEastAsia"/>
                <w:bCs/>
                <w:sz w:val="24"/>
                <w:highlight w:val="none"/>
                <w:vertAlign w:val="subscript"/>
              </w:rPr>
              <w:t>3</w:t>
            </w:r>
            <w:r>
              <w:rPr>
                <w:rFonts w:hint="default" w:eastAsiaTheme="minorEastAsia"/>
                <w:bCs/>
                <w:sz w:val="24"/>
                <w:highlight w:val="none"/>
              </w:rPr>
              <w:t>—</w:t>
            </w:r>
            <w:r>
              <w:rPr>
                <w:rFonts w:hint="default" w:ascii="Times New Roman" w:hAnsi="Times New Roman" w:cs="Times New Roman" w:eastAsiaTheme="minorEastAsia"/>
                <w:spacing w:val="0"/>
                <w:position w:val="0"/>
                <w:szCs w:val="21"/>
                <w:highlight w:val="none"/>
                <w:lang w:val="zh-CN"/>
              </w:rPr>
              <w:t>Ca</w:t>
            </w:r>
            <w:r>
              <w:rPr>
                <w:rFonts w:hint="default" w:ascii="Times New Roman" w:hAnsi="Times New Roman" w:cs="Times New Roman" w:eastAsiaTheme="minorEastAsia"/>
                <w:spacing w:val="0"/>
                <w:position w:val="0"/>
                <w:szCs w:val="21"/>
                <w:highlight w:val="none"/>
                <w:vertAlign w:val="superscript"/>
                <w:lang w:val="zh-CN"/>
              </w:rPr>
              <w:t>2+</w:t>
            </w:r>
          </w:p>
        </w:tc>
        <w:tc>
          <w:tcPr>
            <w:tcW w:w="587" w:type="pct"/>
            <w:vAlign w:val="center"/>
          </w:tcPr>
          <w:p w14:paraId="722CAFC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ascii="Times New Roman" w:hAnsi="Times New Roman" w:eastAsia="宋体" w:cs="Times New Roman"/>
                <w:b w:val="0"/>
                <w:bCs w:val="0"/>
                <w:smallCaps w:val="0"/>
                <w:snapToGrid w:val="0"/>
                <w:color w:val="auto"/>
                <w:kern w:val="2"/>
                <w:sz w:val="21"/>
                <w:szCs w:val="21"/>
                <w:highlight w:val="none"/>
                <w:lang w:val="zh-CN" w:eastAsia="zh-CN" w:bidi="ar-SA"/>
              </w:rPr>
              <w:t>HCO</w:t>
            </w:r>
            <w:r>
              <w:rPr>
                <w:rFonts w:hint="default" w:ascii="Times New Roman" w:hAnsi="Times New Roman" w:eastAsia="宋体" w:cs="Times New Roman"/>
                <w:b w:val="0"/>
                <w:bCs w:val="0"/>
                <w:smallCaps w:val="0"/>
                <w:snapToGrid w:val="0"/>
                <w:color w:val="auto"/>
                <w:kern w:val="2"/>
                <w:sz w:val="21"/>
                <w:szCs w:val="21"/>
                <w:highlight w:val="none"/>
                <w:vertAlign w:val="subscript"/>
                <w:lang w:val="zh-CN" w:eastAsia="zh-CN" w:bidi="ar-SA"/>
              </w:rPr>
              <w:t>3</w:t>
            </w:r>
            <w:r>
              <w:rPr>
                <w:rFonts w:hint="default" w:ascii="Times New Roman" w:hAnsi="Times New Roman" w:eastAsia="宋体" w:cs="Times New Roman"/>
                <w:b w:val="0"/>
                <w:bCs w:val="0"/>
                <w:smallCaps w:val="0"/>
                <w:snapToGrid w:val="0"/>
                <w:color w:val="auto"/>
                <w:kern w:val="2"/>
                <w:sz w:val="21"/>
                <w:szCs w:val="21"/>
                <w:highlight w:val="none"/>
                <w:vertAlign w:val="superscript"/>
                <w:lang w:val="zh-CN" w:eastAsia="zh-CN" w:bidi="ar-SA"/>
              </w:rPr>
              <w:t>-</w:t>
            </w:r>
            <w:r>
              <w:rPr>
                <w:rFonts w:hint="default" w:ascii="Times New Roman" w:hAnsi="Times New Roman" w:eastAsia="宋体" w:cs="Times New Roman"/>
                <w:b w:val="0"/>
                <w:bCs w:val="0"/>
                <w:smallCaps w:val="0"/>
                <w:snapToGrid w:val="0"/>
                <w:color w:val="auto"/>
                <w:kern w:val="2"/>
                <w:sz w:val="21"/>
                <w:szCs w:val="21"/>
                <w:highlight w:val="none"/>
                <w:lang w:val="zh-CN" w:eastAsia="zh-CN" w:bidi="ar-SA"/>
              </w:rPr>
              <w:t>- SO</w:t>
            </w:r>
            <w:r>
              <w:rPr>
                <w:rFonts w:hint="default" w:ascii="Times New Roman" w:hAnsi="Times New Roman" w:eastAsia="宋体" w:cs="Times New Roman"/>
                <w:b w:val="0"/>
                <w:bCs w:val="0"/>
                <w:smallCaps w:val="0"/>
                <w:snapToGrid w:val="0"/>
                <w:color w:val="auto"/>
                <w:kern w:val="2"/>
                <w:sz w:val="21"/>
                <w:szCs w:val="21"/>
                <w:highlight w:val="none"/>
                <w:vertAlign w:val="subscript"/>
                <w:lang w:val="zh-CN" w:eastAsia="zh-CN" w:bidi="ar-SA"/>
              </w:rPr>
              <w:t>4</w:t>
            </w:r>
            <w:r>
              <w:rPr>
                <w:rFonts w:hint="default" w:ascii="Times New Roman" w:hAnsi="Times New Roman" w:eastAsia="宋体" w:cs="Times New Roman"/>
                <w:b w:val="0"/>
                <w:bCs w:val="0"/>
                <w:smallCaps w:val="0"/>
                <w:snapToGrid w:val="0"/>
                <w:color w:val="auto"/>
                <w:kern w:val="2"/>
                <w:sz w:val="21"/>
                <w:szCs w:val="21"/>
                <w:highlight w:val="none"/>
                <w:vertAlign w:val="superscript"/>
                <w:lang w:val="zh-CN" w:eastAsia="zh-CN" w:bidi="ar-SA"/>
              </w:rPr>
              <w:t>2-</w:t>
            </w:r>
            <w:r>
              <w:rPr>
                <w:rFonts w:hint="default" w:ascii="Times New Roman" w:hAnsi="Times New Roman" w:cs="Times New Roman" w:eastAsiaTheme="minorEastAsia"/>
                <w:bCs/>
                <w:spacing w:val="0"/>
                <w:position w:val="0"/>
                <w:sz w:val="21"/>
                <w:szCs w:val="21"/>
                <w:highlight w:val="none"/>
              </w:rPr>
              <w:t>—Ca</w:t>
            </w:r>
            <w:r>
              <w:rPr>
                <w:rFonts w:hint="eastAsia" w:cs="Times New Roman" w:eastAsiaTheme="minorEastAsia"/>
                <w:bCs/>
                <w:spacing w:val="0"/>
                <w:position w:val="0"/>
                <w:sz w:val="21"/>
                <w:szCs w:val="21"/>
                <w:highlight w:val="none"/>
                <w:vertAlign w:val="superscript"/>
                <w:lang w:val="en-US" w:eastAsia="zh-CN"/>
              </w:rPr>
              <w:t>2+</w:t>
            </w:r>
          </w:p>
        </w:tc>
        <w:tc>
          <w:tcPr>
            <w:tcW w:w="588" w:type="pct"/>
            <w:vAlign w:val="center"/>
          </w:tcPr>
          <w:p w14:paraId="1005177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pacing w:val="0"/>
                <w:position w:val="0"/>
                <w:sz w:val="21"/>
                <w:szCs w:val="21"/>
                <w:highlight w:val="none"/>
              </w:rPr>
            </w:pPr>
            <w:r>
              <w:rPr>
                <w:rFonts w:hint="default" w:eastAsiaTheme="minorEastAsia"/>
                <w:bCs/>
                <w:sz w:val="21"/>
                <w:szCs w:val="21"/>
                <w:highlight w:val="none"/>
              </w:rPr>
              <w:t>HCO</w:t>
            </w:r>
            <w:r>
              <w:rPr>
                <w:rFonts w:hint="default" w:eastAsiaTheme="minorEastAsia"/>
                <w:bCs/>
                <w:sz w:val="21"/>
                <w:szCs w:val="21"/>
                <w:highlight w:val="none"/>
                <w:vertAlign w:val="subscript"/>
              </w:rPr>
              <w:t>3</w:t>
            </w:r>
            <w:r>
              <w:rPr>
                <w:rFonts w:hint="default" w:eastAsiaTheme="minorEastAsia"/>
                <w:bCs/>
                <w:sz w:val="21"/>
                <w:szCs w:val="21"/>
                <w:highlight w:val="none"/>
              </w:rPr>
              <w:t>—</w:t>
            </w:r>
            <w:r>
              <w:rPr>
                <w:rFonts w:hint="default" w:ascii="Times New Roman" w:hAnsi="Times New Roman" w:cs="Times New Roman" w:eastAsiaTheme="minorEastAsia"/>
                <w:spacing w:val="0"/>
                <w:position w:val="0"/>
                <w:sz w:val="21"/>
                <w:szCs w:val="21"/>
                <w:highlight w:val="none"/>
                <w:lang w:val="zh-CN"/>
              </w:rPr>
              <w:t>Ca</w:t>
            </w:r>
            <w:r>
              <w:rPr>
                <w:rFonts w:hint="default" w:ascii="Times New Roman" w:hAnsi="Times New Roman" w:cs="Times New Roman" w:eastAsiaTheme="minorEastAsia"/>
                <w:spacing w:val="0"/>
                <w:position w:val="0"/>
                <w:sz w:val="21"/>
                <w:szCs w:val="21"/>
                <w:highlight w:val="none"/>
                <w:vertAlign w:val="superscript"/>
                <w:lang w:val="zh-CN"/>
              </w:rPr>
              <w:t>2+</w:t>
            </w:r>
          </w:p>
        </w:tc>
        <w:tc>
          <w:tcPr>
            <w:tcW w:w="588" w:type="pct"/>
            <w:vAlign w:val="center"/>
          </w:tcPr>
          <w:p w14:paraId="28F8E89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pacing w:val="0"/>
                <w:position w:val="0"/>
                <w:sz w:val="21"/>
                <w:szCs w:val="21"/>
                <w:highlight w:val="none"/>
                <w:lang w:val="zh-CN"/>
              </w:rPr>
            </w:pPr>
            <w:r>
              <w:rPr>
                <w:rFonts w:hint="default" w:eastAsiaTheme="minorEastAsia"/>
                <w:bCs/>
                <w:sz w:val="21"/>
                <w:szCs w:val="21"/>
                <w:highlight w:val="none"/>
              </w:rPr>
              <w:t>HCO</w:t>
            </w:r>
            <w:r>
              <w:rPr>
                <w:rFonts w:hint="default" w:eastAsiaTheme="minorEastAsia"/>
                <w:bCs/>
                <w:sz w:val="21"/>
                <w:szCs w:val="21"/>
                <w:highlight w:val="none"/>
                <w:vertAlign w:val="subscript"/>
              </w:rPr>
              <w:t>3</w:t>
            </w:r>
            <w:r>
              <w:rPr>
                <w:rFonts w:hint="default" w:eastAsiaTheme="minorEastAsia"/>
                <w:bCs/>
                <w:sz w:val="21"/>
                <w:szCs w:val="21"/>
                <w:highlight w:val="none"/>
              </w:rPr>
              <w:t>—</w:t>
            </w:r>
            <w:r>
              <w:rPr>
                <w:rFonts w:hint="default" w:ascii="Times New Roman" w:hAnsi="Times New Roman" w:cs="Times New Roman" w:eastAsiaTheme="minorEastAsia"/>
                <w:spacing w:val="0"/>
                <w:position w:val="0"/>
                <w:sz w:val="21"/>
                <w:szCs w:val="21"/>
                <w:highlight w:val="none"/>
                <w:lang w:val="zh-CN"/>
              </w:rPr>
              <w:t>Ca</w:t>
            </w:r>
            <w:r>
              <w:rPr>
                <w:rFonts w:hint="default" w:ascii="Times New Roman" w:hAnsi="Times New Roman" w:cs="Times New Roman" w:eastAsiaTheme="minorEastAsia"/>
                <w:spacing w:val="0"/>
                <w:position w:val="0"/>
                <w:sz w:val="21"/>
                <w:szCs w:val="21"/>
                <w:highlight w:val="none"/>
                <w:vertAlign w:val="superscript"/>
                <w:lang w:val="zh-CN"/>
              </w:rPr>
              <w:t>2+</w:t>
            </w:r>
          </w:p>
        </w:tc>
        <w:tc>
          <w:tcPr>
            <w:tcW w:w="588" w:type="pct"/>
            <w:vAlign w:val="center"/>
          </w:tcPr>
          <w:p w14:paraId="4FFD34F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pacing w:val="0"/>
                <w:position w:val="0"/>
                <w:sz w:val="21"/>
                <w:szCs w:val="21"/>
                <w:highlight w:val="none"/>
                <w:lang w:val="zh-CN"/>
              </w:rPr>
            </w:pPr>
            <w:r>
              <w:rPr>
                <w:rFonts w:hint="default" w:eastAsiaTheme="minorEastAsia"/>
                <w:bCs/>
                <w:sz w:val="21"/>
                <w:szCs w:val="21"/>
                <w:highlight w:val="none"/>
              </w:rPr>
              <w:t>HCO</w:t>
            </w:r>
            <w:r>
              <w:rPr>
                <w:rFonts w:hint="default" w:eastAsiaTheme="minorEastAsia"/>
                <w:bCs/>
                <w:sz w:val="21"/>
                <w:szCs w:val="21"/>
                <w:highlight w:val="none"/>
                <w:vertAlign w:val="subscript"/>
              </w:rPr>
              <w:t>3</w:t>
            </w:r>
            <w:r>
              <w:rPr>
                <w:rFonts w:hint="default" w:eastAsiaTheme="minorEastAsia"/>
                <w:bCs/>
                <w:sz w:val="21"/>
                <w:szCs w:val="21"/>
                <w:highlight w:val="none"/>
              </w:rPr>
              <w:t>—</w:t>
            </w:r>
            <w:r>
              <w:rPr>
                <w:rFonts w:hint="default" w:ascii="Times New Roman" w:hAnsi="Times New Roman" w:cs="Times New Roman" w:eastAsiaTheme="minorEastAsia"/>
                <w:spacing w:val="0"/>
                <w:position w:val="0"/>
                <w:sz w:val="21"/>
                <w:szCs w:val="21"/>
                <w:highlight w:val="none"/>
                <w:lang w:val="zh-CN"/>
              </w:rPr>
              <w:t>Ca</w:t>
            </w:r>
            <w:r>
              <w:rPr>
                <w:rFonts w:hint="default" w:ascii="Times New Roman" w:hAnsi="Times New Roman" w:cs="Times New Roman" w:eastAsiaTheme="minorEastAsia"/>
                <w:spacing w:val="0"/>
                <w:position w:val="0"/>
                <w:sz w:val="21"/>
                <w:szCs w:val="21"/>
                <w:highlight w:val="none"/>
                <w:vertAlign w:val="superscript"/>
                <w:lang w:val="zh-CN"/>
              </w:rPr>
              <w:t>2+</w:t>
            </w:r>
          </w:p>
        </w:tc>
      </w:tr>
    </w:tbl>
    <w:p w14:paraId="61F01DB5">
      <w:pPr>
        <w:bidi w:val="0"/>
        <w:rPr>
          <w:highlight w:val="none"/>
        </w:rPr>
      </w:pPr>
      <w:bookmarkStart w:id="316" w:name="_Toc18314"/>
      <w:r>
        <w:rPr>
          <w:rFonts w:hint="eastAsia"/>
          <w:highlight w:val="none"/>
          <w:lang w:eastAsia="zh-CN"/>
        </w:rPr>
        <w:t>（</w:t>
      </w:r>
      <w:r>
        <w:rPr>
          <w:rFonts w:hint="eastAsia"/>
          <w:highlight w:val="none"/>
          <w:lang w:val="en-US" w:eastAsia="zh-CN"/>
        </w:rPr>
        <w:t>3</w:t>
      </w:r>
      <w:r>
        <w:rPr>
          <w:rFonts w:hint="eastAsia"/>
          <w:highlight w:val="none"/>
          <w:lang w:eastAsia="zh-CN"/>
        </w:rPr>
        <w:t>）</w:t>
      </w:r>
      <w:r>
        <w:rPr>
          <w:highlight w:val="none"/>
        </w:rPr>
        <w:t>现状评价结论</w:t>
      </w:r>
      <w:bookmarkEnd w:id="316"/>
    </w:p>
    <w:p w14:paraId="040E67BE">
      <w:pPr>
        <w:bidi w:val="0"/>
        <w:rPr>
          <w:highlight w:val="none"/>
        </w:rPr>
      </w:pPr>
      <w:r>
        <w:rPr>
          <w:highlight w:val="none"/>
        </w:rPr>
        <w:t>由评价结果可知：监测因子均满足《地下水质量标准》</w:t>
      </w:r>
      <w:r>
        <w:rPr>
          <w:rFonts w:hint="eastAsia"/>
          <w:highlight w:val="none"/>
          <w:lang w:eastAsia="zh-CN"/>
        </w:rPr>
        <w:t>（</w:t>
      </w:r>
      <w:r>
        <w:rPr>
          <w:highlight w:val="none"/>
        </w:rPr>
        <w:t>GB/T14848-2017</w:t>
      </w:r>
      <w:r>
        <w:rPr>
          <w:rFonts w:hint="eastAsia"/>
          <w:highlight w:val="none"/>
          <w:lang w:eastAsia="zh-CN"/>
        </w:rPr>
        <w:t>）</w:t>
      </w:r>
      <w:r>
        <w:rPr>
          <w:highlight w:val="none"/>
        </w:rPr>
        <w:t>Ⅲ类标准要求，石油类满足《地表水环境质量标准》（GB3838-2002）</w:t>
      </w:r>
      <w:r>
        <w:rPr>
          <w:highlight w:val="none"/>
        </w:rPr>
        <w:fldChar w:fldCharType="begin"/>
      </w:r>
      <w:r>
        <w:rPr>
          <w:highlight w:val="none"/>
        </w:rPr>
        <w:instrText xml:space="preserve"> </w:instrText>
      </w:r>
      <w:r>
        <w:rPr>
          <w:rFonts w:hint="eastAsia"/>
          <w:highlight w:val="none"/>
        </w:rPr>
        <w:instrText xml:space="preserve">= 2 \* ROMAN</w:instrText>
      </w:r>
      <w:r>
        <w:rPr>
          <w:highlight w:val="none"/>
        </w:rPr>
        <w:instrText xml:space="preserve"> </w:instrText>
      </w:r>
      <w:r>
        <w:rPr>
          <w:highlight w:val="none"/>
        </w:rPr>
        <w:fldChar w:fldCharType="separate"/>
      </w:r>
      <w:r>
        <w:rPr>
          <w:highlight w:val="none"/>
        </w:rPr>
        <w:t>Ⅲ</w:t>
      </w:r>
      <w:r>
        <w:rPr>
          <w:highlight w:val="none"/>
        </w:rPr>
        <w:fldChar w:fldCharType="end"/>
      </w:r>
      <w:r>
        <w:rPr>
          <w:highlight w:val="none"/>
        </w:rPr>
        <w:t>类标准要求。监测点水质整体较好。</w:t>
      </w:r>
    </w:p>
    <w:p w14:paraId="71BF7C51">
      <w:pPr>
        <w:pStyle w:val="6"/>
        <w:bidi w:val="0"/>
        <w:rPr>
          <w:rFonts w:hint="eastAsia"/>
          <w:highlight w:val="none"/>
          <w:lang w:val="en-US" w:eastAsia="zh-CN"/>
        </w:rPr>
      </w:pPr>
      <w:bookmarkStart w:id="317" w:name="_Toc1105"/>
      <w:bookmarkStart w:id="318" w:name="_Toc10200"/>
      <w:r>
        <w:rPr>
          <w:rFonts w:hint="eastAsia"/>
          <w:highlight w:val="none"/>
          <w:lang w:val="en-US" w:eastAsia="zh-CN"/>
        </w:rPr>
        <w:t>4.2.3.3 项目区包气带污染现状评价</w:t>
      </w:r>
      <w:bookmarkEnd w:id="317"/>
      <w:bookmarkEnd w:id="318"/>
    </w:p>
    <w:p w14:paraId="3E2BFCAB">
      <w:pPr>
        <w:bidi w:val="0"/>
        <w:rPr>
          <w:rFonts w:hint="eastAsia" w:ascii="Times New Roman" w:hAnsi="宋体" w:eastAsia="宋体" w:cs="Times New Roman"/>
          <w:smallCaps w:val="0"/>
          <w:snapToGrid w:val="0"/>
          <w:color w:val="auto"/>
          <w:kern w:val="2"/>
          <w:sz w:val="24"/>
          <w:szCs w:val="24"/>
          <w:highlight w:val="none"/>
          <w:lang w:val="en-US" w:eastAsia="zh-CN" w:bidi="ar-SA"/>
        </w:rPr>
      </w:pPr>
      <w:r>
        <w:rPr>
          <w:rFonts w:hint="eastAsia" w:ascii="Times New Roman" w:hAnsi="宋体" w:eastAsia="宋体" w:cs="Times New Roman"/>
          <w:smallCaps w:val="0"/>
          <w:snapToGrid w:val="0"/>
          <w:color w:val="auto"/>
          <w:kern w:val="2"/>
          <w:sz w:val="24"/>
          <w:szCs w:val="24"/>
          <w:highlight w:val="none"/>
          <w:lang w:val="en-US" w:eastAsia="zh-CN" w:bidi="ar-SA"/>
        </w:rPr>
        <w:t>根据本次水文地质调查结果，评价区范围内潜水含水层缺失，评价区含水层为第四系松散岩类孔隙承压水，评价区所在位置水位埋藏较深，一般为33-38m，包气带是项目区内污染地下水的一个重要媒介，包气带起着保护地下水不易遭受污染的屏障作用。</w:t>
      </w:r>
      <w:r>
        <w:rPr>
          <w:color w:val="auto"/>
          <w:highlight w:val="none"/>
        </w:rPr>
        <w:t>对本项目进行包气带污染现状进行调查，本次工作在厂区内原有生产车间附近地表以下0-20cm埋深位置取1个土壤样品，并在厂区外不受厂区影响位置取一背景值对照样</w:t>
      </w:r>
      <w:r>
        <w:rPr>
          <w:rFonts w:hint="eastAsia"/>
          <w:color w:val="auto"/>
          <w:highlight w:val="none"/>
          <w:lang w:eastAsia="zh-CN"/>
        </w:rPr>
        <w:t>，对比分析</w:t>
      </w:r>
      <w:r>
        <w:rPr>
          <w:color w:val="auto"/>
          <w:highlight w:val="none"/>
        </w:rPr>
        <w:t>特征污染物在厂区内包气带与区域包气带检测数值</w:t>
      </w:r>
      <w:r>
        <w:rPr>
          <w:rFonts w:hint="eastAsia" w:ascii="Times New Roman" w:hAnsi="宋体" w:eastAsia="宋体" w:cs="Times New Roman"/>
          <w:smallCaps w:val="0"/>
          <w:snapToGrid w:val="0"/>
          <w:color w:val="auto"/>
          <w:kern w:val="2"/>
          <w:sz w:val="24"/>
          <w:szCs w:val="24"/>
          <w:highlight w:val="none"/>
          <w:lang w:val="en-US" w:eastAsia="zh-CN" w:bidi="ar-SA"/>
        </w:rPr>
        <w:t>，</w:t>
      </w:r>
      <w:r>
        <w:rPr>
          <w:color w:val="auto"/>
          <w:highlight w:val="none"/>
        </w:rPr>
        <w:t>检测结果表明厂区内包气带各种污染物含量与区域背景值含量大体相当，表明厂区内包气带环境质量现状良好，未受到厂区生产活动影响</w:t>
      </w:r>
      <w:r>
        <w:rPr>
          <w:rFonts w:hint="eastAsia" w:ascii="Times New Roman" w:hAnsi="宋体" w:eastAsia="宋体" w:cs="Times New Roman"/>
          <w:smallCaps w:val="0"/>
          <w:snapToGrid w:val="0"/>
          <w:color w:val="auto"/>
          <w:kern w:val="2"/>
          <w:sz w:val="24"/>
          <w:szCs w:val="24"/>
          <w:highlight w:val="none"/>
          <w:lang w:val="en-US" w:eastAsia="zh-CN" w:bidi="ar-SA"/>
        </w:rPr>
        <w:t>。</w:t>
      </w:r>
    </w:p>
    <w:p w14:paraId="126D8473">
      <w:pPr>
        <w:pStyle w:val="8"/>
        <w:bidi w:val="0"/>
        <w:rPr>
          <w:highlight w:val="none"/>
        </w:rPr>
      </w:pPr>
    </w:p>
    <w:p w14:paraId="44EFEAFA">
      <w:pPr>
        <w:pStyle w:val="8"/>
        <w:bidi w:val="0"/>
        <w:rPr>
          <w:highlight w:val="none"/>
        </w:rPr>
      </w:pPr>
    </w:p>
    <w:p w14:paraId="2773EE5E">
      <w:pPr>
        <w:pStyle w:val="8"/>
        <w:bidi w:val="0"/>
        <w:rPr>
          <w:highlight w:val="none"/>
        </w:rPr>
      </w:pPr>
    </w:p>
    <w:p w14:paraId="3F1C4F62">
      <w:pPr>
        <w:pStyle w:val="7"/>
        <w:bidi w:val="0"/>
        <w:rPr>
          <w:rFonts w:hint="default" w:eastAsia="宋体"/>
          <w:highlight w:val="none"/>
          <w:lang w:val="en-US" w:eastAsia="zh-CN"/>
        </w:rPr>
      </w:pPr>
      <w:r>
        <w:rPr>
          <w:highlight w:val="none"/>
        </w:rPr>
        <w:t>表4-2-</w:t>
      </w:r>
      <w:r>
        <w:rPr>
          <w:rFonts w:hint="eastAsia"/>
          <w:highlight w:val="none"/>
          <w:lang w:val="en-US" w:eastAsia="zh-CN"/>
        </w:rPr>
        <w:t>12包气带检测结果</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75"/>
        <w:gridCol w:w="1606"/>
        <w:gridCol w:w="2021"/>
        <w:gridCol w:w="1710"/>
        <w:gridCol w:w="1710"/>
      </w:tblGrid>
      <w:tr w14:paraId="39E217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475" w:type="dxa"/>
            <w:vMerge w:val="restart"/>
            <w:tcBorders>
              <w:top w:val="single" w:color="000000" w:sz="12" w:space="0"/>
              <w:right w:val="single" w:color="000000" w:sz="4" w:space="0"/>
            </w:tcBorders>
            <w:noWrap w:val="0"/>
            <w:vAlign w:val="center"/>
          </w:tcPr>
          <w:p w14:paraId="306849F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bookmarkStart w:id="319" w:name="_Toc5604"/>
            <w:bookmarkStart w:id="320" w:name="_Toc29318"/>
            <w:bookmarkStart w:id="321" w:name="_Toc477954567"/>
            <w:r>
              <w:rPr>
                <w:rFonts w:hint="default" w:ascii="Times New Roman" w:hAnsi="Times New Roman" w:eastAsia="宋体" w:cs="Times New Roman"/>
                <w:spacing w:val="0"/>
                <w:position w:val="0"/>
                <w:sz w:val="21"/>
                <w:szCs w:val="21"/>
                <w:highlight w:val="none"/>
                <w:lang w:val="zh-CN" w:eastAsia="zh-CN" w:bidi="zh-CN"/>
              </w:rPr>
              <w:t>检测项目</w:t>
            </w:r>
          </w:p>
        </w:tc>
        <w:tc>
          <w:tcPr>
            <w:tcW w:w="1606" w:type="dxa"/>
            <w:tcBorders>
              <w:top w:val="single" w:color="000000" w:sz="12" w:space="0"/>
              <w:left w:val="single" w:color="000000" w:sz="4" w:space="0"/>
              <w:bottom w:val="single" w:color="000000" w:sz="4" w:space="0"/>
              <w:right w:val="single" w:color="000000" w:sz="4" w:space="0"/>
            </w:tcBorders>
            <w:noWrap w:val="0"/>
            <w:vAlign w:val="center"/>
          </w:tcPr>
          <w:p w14:paraId="28BE93F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采样时间</w:t>
            </w:r>
          </w:p>
        </w:tc>
        <w:tc>
          <w:tcPr>
            <w:tcW w:w="3731" w:type="dxa"/>
            <w:gridSpan w:val="2"/>
            <w:tcBorders>
              <w:top w:val="single" w:color="000000" w:sz="12" w:space="0"/>
              <w:left w:val="single" w:color="000000" w:sz="4" w:space="0"/>
              <w:bottom w:val="single" w:color="000000" w:sz="4" w:space="0"/>
            </w:tcBorders>
            <w:noWrap w:val="0"/>
            <w:vAlign w:val="center"/>
          </w:tcPr>
          <w:p w14:paraId="1A24ADC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2025.09.19</w:t>
            </w:r>
          </w:p>
        </w:tc>
        <w:tc>
          <w:tcPr>
            <w:tcW w:w="1710" w:type="dxa"/>
            <w:vMerge w:val="restart"/>
            <w:tcBorders>
              <w:top w:val="single" w:color="000000" w:sz="12" w:space="0"/>
              <w:left w:val="single" w:color="000000" w:sz="4" w:space="0"/>
            </w:tcBorders>
            <w:noWrap w:val="0"/>
            <w:vAlign w:val="center"/>
          </w:tcPr>
          <w:p w14:paraId="5485D78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标准限值</w:t>
            </w:r>
          </w:p>
          <w:p w14:paraId="76400E0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mg/kg</w:t>
            </w:r>
          </w:p>
        </w:tc>
      </w:tr>
      <w:tr w14:paraId="016D84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1475" w:type="dxa"/>
            <w:vMerge w:val="continue"/>
            <w:tcBorders>
              <w:right w:val="single" w:color="000000" w:sz="4" w:space="0"/>
            </w:tcBorders>
            <w:noWrap w:val="0"/>
            <w:vAlign w:val="center"/>
          </w:tcPr>
          <w:p w14:paraId="3D92857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p>
        </w:tc>
        <w:tc>
          <w:tcPr>
            <w:tcW w:w="1606" w:type="dxa"/>
            <w:tcBorders>
              <w:top w:val="single" w:color="000000" w:sz="4" w:space="0"/>
              <w:left w:val="single" w:color="000000" w:sz="4" w:space="0"/>
              <w:bottom w:val="single" w:color="000000" w:sz="4" w:space="0"/>
              <w:right w:val="single" w:color="000000" w:sz="4" w:space="0"/>
            </w:tcBorders>
            <w:noWrap w:val="0"/>
            <w:vAlign w:val="center"/>
          </w:tcPr>
          <w:p w14:paraId="4D79EF6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采样点位</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14:paraId="4242413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占地范围外■</w:t>
            </w:r>
            <w:r>
              <w:rPr>
                <w:rFonts w:hint="eastAsia" w:cs="Times New Roman"/>
                <w:spacing w:val="0"/>
                <w:position w:val="0"/>
                <w:sz w:val="21"/>
                <w:szCs w:val="21"/>
                <w:highlight w:val="none"/>
                <w:lang w:val="en-US" w:eastAsia="zh-CN" w:bidi="zh-CN"/>
              </w:rPr>
              <w:t>8</w:t>
            </w:r>
          </w:p>
        </w:tc>
        <w:tc>
          <w:tcPr>
            <w:tcW w:w="1710" w:type="dxa"/>
            <w:tcBorders>
              <w:left w:val="single" w:color="000000" w:sz="4" w:space="0"/>
            </w:tcBorders>
            <w:noWrap w:val="0"/>
            <w:vAlign w:val="center"/>
          </w:tcPr>
          <w:p w14:paraId="7C337A2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eastAsia" w:ascii="Times New Roman" w:hAnsi="Times New Roman" w:eastAsia="宋体" w:cs="Times New Roman"/>
                <w:spacing w:val="0"/>
                <w:position w:val="0"/>
                <w:sz w:val="21"/>
                <w:szCs w:val="21"/>
                <w:highlight w:val="none"/>
                <w:lang w:val="zh-CN" w:eastAsia="zh-CN" w:bidi="zh-CN"/>
              </w:rPr>
              <w:t>占地范围内</w:t>
            </w:r>
            <w:r>
              <w:rPr>
                <w:rFonts w:hint="default" w:ascii="Times New Roman" w:hAnsi="Times New Roman" w:eastAsia="宋体" w:cs="Times New Roman"/>
                <w:spacing w:val="0"/>
                <w:position w:val="0"/>
                <w:sz w:val="21"/>
                <w:szCs w:val="21"/>
                <w:highlight w:val="none"/>
                <w:lang w:val="zh-CN" w:eastAsia="zh-CN" w:bidi="zh-CN"/>
              </w:rPr>
              <w:t>■</w:t>
            </w:r>
            <w:r>
              <w:rPr>
                <w:rFonts w:hint="eastAsia" w:cs="Times New Roman"/>
                <w:spacing w:val="0"/>
                <w:position w:val="0"/>
                <w:sz w:val="21"/>
                <w:szCs w:val="21"/>
                <w:highlight w:val="none"/>
                <w:lang w:val="en-US" w:eastAsia="zh-CN" w:bidi="zh-CN"/>
              </w:rPr>
              <w:t>3</w:t>
            </w:r>
          </w:p>
        </w:tc>
        <w:tc>
          <w:tcPr>
            <w:tcW w:w="1710" w:type="dxa"/>
            <w:vMerge w:val="continue"/>
            <w:tcBorders>
              <w:left w:val="single" w:color="000000" w:sz="4" w:space="0"/>
            </w:tcBorders>
            <w:noWrap w:val="0"/>
            <w:vAlign w:val="center"/>
          </w:tcPr>
          <w:p w14:paraId="1808DD9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p>
        </w:tc>
      </w:tr>
      <w:tr w14:paraId="518D37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475" w:type="dxa"/>
            <w:vMerge w:val="continue"/>
            <w:tcBorders>
              <w:bottom w:val="single" w:color="000000" w:sz="4" w:space="0"/>
              <w:right w:val="single" w:color="000000" w:sz="4" w:space="0"/>
            </w:tcBorders>
            <w:noWrap w:val="0"/>
            <w:vAlign w:val="center"/>
          </w:tcPr>
          <w:p w14:paraId="0B27633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p>
        </w:tc>
        <w:tc>
          <w:tcPr>
            <w:tcW w:w="1606" w:type="dxa"/>
            <w:tcBorders>
              <w:top w:val="single" w:color="000000" w:sz="4" w:space="0"/>
              <w:left w:val="single" w:color="000000" w:sz="4" w:space="0"/>
              <w:bottom w:val="single" w:color="000000" w:sz="4" w:space="0"/>
              <w:right w:val="single" w:color="000000" w:sz="4" w:space="0"/>
            </w:tcBorders>
            <w:noWrap w:val="0"/>
            <w:vAlign w:val="center"/>
          </w:tcPr>
          <w:p w14:paraId="5108A54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样品编号</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14:paraId="0F7C007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cs="Times New Roman"/>
                <w:bCs/>
              </w:rPr>
              <w:t>G</w:t>
            </w:r>
            <w:r>
              <w:rPr>
                <w:rFonts w:hint="eastAsia" w:ascii="Times New Roman" w:hAnsi="Times New Roman" w:cs="Times New Roman"/>
                <w:bCs/>
              </w:rPr>
              <w:t>260224020801</w:t>
            </w:r>
          </w:p>
        </w:tc>
        <w:tc>
          <w:tcPr>
            <w:tcW w:w="1710" w:type="dxa"/>
            <w:tcBorders>
              <w:left w:val="single" w:color="000000" w:sz="4" w:space="0"/>
              <w:bottom w:val="single" w:color="000000" w:sz="4" w:space="0"/>
            </w:tcBorders>
            <w:noWrap w:val="0"/>
            <w:vAlign w:val="center"/>
          </w:tcPr>
          <w:p w14:paraId="7F54D2F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cs="Times New Roman"/>
                <w:bCs/>
              </w:rPr>
              <w:t>G</w:t>
            </w:r>
            <w:r>
              <w:rPr>
                <w:rFonts w:hint="eastAsia" w:ascii="Times New Roman" w:hAnsi="Times New Roman" w:cs="Times New Roman"/>
                <w:bCs/>
              </w:rPr>
              <w:t>260224020301</w:t>
            </w:r>
          </w:p>
        </w:tc>
        <w:tc>
          <w:tcPr>
            <w:tcW w:w="1710" w:type="dxa"/>
            <w:vMerge w:val="continue"/>
            <w:tcBorders>
              <w:left w:val="single" w:color="000000" w:sz="4" w:space="0"/>
              <w:bottom w:val="single" w:color="000000" w:sz="4" w:space="0"/>
            </w:tcBorders>
            <w:noWrap w:val="0"/>
            <w:vAlign w:val="center"/>
          </w:tcPr>
          <w:p w14:paraId="4952338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p>
        </w:tc>
      </w:tr>
      <w:tr w14:paraId="6A1B98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475" w:type="dxa"/>
            <w:tcBorders>
              <w:top w:val="single" w:color="000000" w:sz="4" w:space="0"/>
              <w:bottom w:val="single" w:color="000000" w:sz="4" w:space="0"/>
              <w:right w:val="single" w:color="000000" w:sz="4" w:space="0"/>
            </w:tcBorders>
            <w:noWrap w:val="0"/>
            <w:vAlign w:val="center"/>
          </w:tcPr>
          <w:p w14:paraId="77446F2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pH</w:t>
            </w:r>
          </w:p>
        </w:tc>
        <w:tc>
          <w:tcPr>
            <w:tcW w:w="1606" w:type="dxa"/>
            <w:tcBorders>
              <w:top w:val="single" w:color="000000" w:sz="4" w:space="0"/>
              <w:left w:val="single" w:color="000000" w:sz="4" w:space="0"/>
              <w:bottom w:val="single" w:color="000000" w:sz="4" w:space="0"/>
              <w:right w:val="single" w:color="000000" w:sz="4" w:space="0"/>
            </w:tcBorders>
            <w:noWrap w:val="0"/>
            <w:vAlign w:val="center"/>
          </w:tcPr>
          <w:p w14:paraId="3796818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无量纲</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14:paraId="2506CFD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cs="Times New Roman"/>
                <w:bCs/>
              </w:rPr>
              <w:t>7.89</w:t>
            </w:r>
          </w:p>
        </w:tc>
        <w:tc>
          <w:tcPr>
            <w:tcW w:w="1710" w:type="dxa"/>
            <w:tcBorders>
              <w:top w:val="single" w:color="000000" w:sz="4" w:space="0"/>
              <w:left w:val="single" w:color="000000" w:sz="4" w:space="0"/>
              <w:bottom w:val="single" w:color="000000" w:sz="4" w:space="0"/>
            </w:tcBorders>
            <w:noWrap w:val="0"/>
            <w:vAlign w:val="center"/>
          </w:tcPr>
          <w:p w14:paraId="5131485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cs="Times New Roman"/>
                <w:bCs/>
              </w:rPr>
              <w:t>8.05</w:t>
            </w:r>
          </w:p>
        </w:tc>
        <w:tc>
          <w:tcPr>
            <w:tcW w:w="1710" w:type="dxa"/>
            <w:tcBorders>
              <w:top w:val="single" w:color="000000" w:sz="4" w:space="0"/>
              <w:left w:val="single" w:color="000000" w:sz="4" w:space="0"/>
              <w:bottom w:val="single" w:color="000000" w:sz="4" w:space="0"/>
            </w:tcBorders>
            <w:noWrap w:val="0"/>
            <w:vAlign w:val="center"/>
          </w:tcPr>
          <w:p w14:paraId="62BA409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w:t>
            </w:r>
          </w:p>
        </w:tc>
      </w:tr>
      <w:tr w14:paraId="283C7A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475" w:type="dxa"/>
            <w:tcBorders>
              <w:top w:val="single" w:color="000000" w:sz="4" w:space="0"/>
              <w:bottom w:val="single" w:color="000000" w:sz="4" w:space="0"/>
              <w:right w:val="single" w:color="000000" w:sz="4" w:space="0"/>
            </w:tcBorders>
            <w:noWrap w:val="0"/>
            <w:vAlign w:val="center"/>
          </w:tcPr>
          <w:p w14:paraId="7255D83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石油烃（C10-C40）</w:t>
            </w:r>
          </w:p>
        </w:tc>
        <w:tc>
          <w:tcPr>
            <w:tcW w:w="1606" w:type="dxa"/>
            <w:tcBorders>
              <w:top w:val="single" w:color="000000" w:sz="4" w:space="0"/>
              <w:left w:val="single" w:color="000000" w:sz="4" w:space="0"/>
              <w:bottom w:val="single" w:color="000000" w:sz="4" w:space="0"/>
              <w:right w:val="single" w:color="000000" w:sz="4" w:space="0"/>
            </w:tcBorders>
            <w:noWrap w:val="0"/>
            <w:vAlign w:val="center"/>
          </w:tcPr>
          <w:p w14:paraId="404D4D8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eastAsia" w:ascii="Times New Roman" w:hAnsi="Times New Roman" w:eastAsia="宋体" w:cs="Times New Roman"/>
                <w:spacing w:val="0"/>
                <w:position w:val="0"/>
                <w:sz w:val="21"/>
                <w:szCs w:val="21"/>
                <w:highlight w:val="none"/>
                <w:lang w:val="zh-CN" w:eastAsia="zh-CN" w:bidi="zh-CN"/>
              </w:rPr>
              <w:t>m</w:t>
            </w:r>
            <w:r>
              <w:rPr>
                <w:rFonts w:hint="default" w:ascii="Times New Roman" w:hAnsi="Times New Roman" w:eastAsia="宋体" w:cs="Times New Roman"/>
                <w:spacing w:val="0"/>
                <w:position w:val="0"/>
                <w:sz w:val="21"/>
                <w:szCs w:val="21"/>
                <w:highlight w:val="none"/>
                <w:lang w:val="zh-CN" w:eastAsia="zh-CN" w:bidi="zh-CN"/>
              </w:rPr>
              <w:t>g/kg</w:t>
            </w:r>
          </w:p>
        </w:tc>
        <w:tc>
          <w:tcPr>
            <w:tcW w:w="2021" w:type="dxa"/>
            <w:tcBorders>
              <w:top w:val="single" w:color="000000" w:sz="4" w:space="0"/>
              <w:left w:val="single" w:color="000000" w:sz="4" w:space="0"/>
              <w:bottom w:val="single" w:color="000000" w:sz="4" w:space="0"/>
              <w:right w:val="single" w:color="000000" w:sz="4" w:space="0"/>
            </w:tcBorders>
            <w:noWrap w:val="0"/>
            <w:vAlign w:val="center"/>
          </w:tcPr>
          <w:p w14:paraId="482378C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eastAsia="宋体" w:cs="Times New Roman"/>
                <w:spacing w:val="0"/>
                <w:position w:val="0"/>
                <w:sz w:val="21"/>
                <w:szCs w:val="21"/>
                <w:highlight w:val="none"/>
                <w:lang w:val="zh-CN" w:eastAsia="zh-CN" w:bidi="zh-CN"/>
              </w:rPr>
              <w:t>6L</w:t>
            </w:r>
          </w:p>
        </w:tc>
        <w:tc>
          <w:tcPr>
            <w:tcW w:w="1710" w:type="dxa"/>
            <w:tcBorders>
              <w:top w:val="single" w:color="000000" w:sz="4" w:space="0"/>
              <w:left w:val="single" w:color="000000" w:sz="4" w:space="0"/>
              <w:bottom w:val="single" w:color="000000" w:sz="4" w:space="0"/>
            </w:tcBorders>
            <w:noWrap w:val="0"/>
            <w:vAlign w:val="center"/>
          </w:tcPr>
          <w:p w14:paraId="60C70D6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default" w:ascii="Times New Roman" w:hAnsi="Times New Roman" w:cs="Times New Roman"/>
                <w:bCs/>
              </w:rPr>
              <w:t>11</w:t>
            </w:r>
          </w:p>
        </w:tc>
        <w:tc>
          <w:tcPr>
            <w:tcW w:w="1710" w:type="dxa"/>
            <w:tcBorders>
              <w:top w:val="single" w:color="000000" w:sz="4" w:space="0"/>
              <w:left w:val="single" w:color="000000" w:sz="4" w:space="0"/>
              <w:bottom w:val="single" w:color="000000" w:sz="4" w:space="0"/>
            </w:tcBorders>
            <w:noWrap w:val="0"/>
            <w:vAlign w:val="center"/>
          </w:tcPr>
          <w:p w14:paraId="3AF171E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pacing w:val="0"/>
                <w:position w:val="0"/>
                <w:sz w:val="21"/>
                <w:szCs w:val="21"/>
                <w:highlight w:val="none"/>
                <w:lang w:val="zh-CN" w:eastAsia="zh-CN" w:bidi="zh-CN"/>
              </w:rPr>
            </w:pPr>
            <w:r>
              <w:rPr>
                <w:rFonts w:hint="eastAsia" w:ascii="Times New Roman" w:hAnsi="Times New Roman" w:eastAsia="宋体" w:cs="Times New Roman"/>
                <w:spacing w:val="0"/>
                <w:position w:val="0"/>
                <w:sz w:val="21"/>
                <w:szCs w:val="21"/>
                <w:highlight w:val="none"/>
                <w:lang w:val="zh-CN" w:eastAsia="zh-CN" w:bidi="zh-CN"/>
              </w:rPr>
              <w:t>4500</w:t>
            </w:r>
          </w:p>
        </w:tc>
      </w:tr>
    </w:tbl>
    <w:p w14:paraId="13DC4AF5">
      <w:pPr>
        <w:pStyle w:val="5"/>
        <w:bidi w:val="0"/>
        <w:rPr>
          <w:highlight w:val="none"/>
        </w:rPr>
      </w:pPr>
      <w:r>
        <w:rPr>
          <w:highlight w:val="none"/>
        </w:rPr>
        <w:t>4.2.4声环境质量现状评价</w:t>
      </w:r>
      <w:bookmarkEnd w:id="319"/>
      <w:bookmarkEnd w:id="320"/>
      <w:bookmarkEnd w:id="321"/>
    </w:p>
    <w:p w14:paraId="223DDDB5">
      <w:pPr>
        <w:pStyle w:val="6"/>
        <w:bidi w:val="0"/>
        <w:rPr>
          <w:highlight w:val="none"/>
        </w:rPr>
      </w:pPr>
      <w:r>
        <w:rPr>
          <w:highlight w:val="none"/>
        </w:rPr>
        <w:t>4.2.4.1声环境现状监测</w:t>
      </w:r>
    </w:p>
    <w:p w14:paraId="5A2D0EC6">
      <w:pPr>
        <w:bidi w:val="0"/>
        <w:rPr>
          <w:highlight w:val="none"/>
          <w:lang w:val="zh-CN"/>
        </w:rPr>
      </w:pPr>
      <w:r>
        <w:rPr>
          <w:highlight w:val="none"/>
          <w:lang w:val="zh-CN"/>
        </w:rPr>
        <w:t>（1）数据来源</w:t>
      </w:r>
    </w:p>
    <w:p w14:paraId="7D2F0C1E">
      <w:pPr>
        <w:bidi w:val="0"/>
        <w:rPr>
          <w:highlight w:val="none"/>
        </w:rPr>
      </w:pPr>
      <w:r>
        <w:rPr>
          <w:highlight w:val="none"/>
          <w:lang w:val="zh-CN"/>
        </w:rPr>
        <w:t>本项目声环境质量现状监测数据来自</w:t>
      </w:r>
      <w:r>
        <w:rPr>
          <w:highlight w:val="none"/>
        </w:rPr>
        <w:t>哈尔滨新巨环保科技有限公司。</w:t>
      </w:r>
    </w:p>
    <w:p w14:paraId="0A5D6C48">
      <w:pPr>
        <w:bidi w:val="0"/>
        <w:rPr>
          <w:highlight w:val="none"/>
          <w:lang w:val="zh-CN"/>
        </w:rPr>
      </w:pPr>
      <w:r>
        <w:rPr>
          <w:highlight w:val="none"/>
          <w:lang w:val="zh-CN"/>
        </w:rPr>
        <w:t>（2）监测点位</w:t>
      </w:r>
    </w:p>
    <w:p w14:paraId="46751186">
      <w:pPr>
        <w:bidi w:val="0"/>
        <w:rPr>
          <w:highlight w:val="none"/>
        </w:rPr>
      </w:pPr>
      <w:r>
        <w:rPr>
          <w:highlight w:val="none"/>
        </w:rPr>
        <w:t>具体布置见</w:t>
      </w:r>
      <w:r>
        <w:rPr>
          <w:rFonts w:hint="eastAsia"/>
          <w:highlight w:val="none"/>
          <w:lang w:val="en-US" w:eastAsia="zh-CN"/>
        </w:rPr>
        <w:t>下表、下图</w:t>
      </w:r>
      <w:r>
        <w:rPr>
          <w:highlight w:val="none"/>
        </w:rPr>
        <w:t>。</w:t>
      </w:r>
    </w:p>
    <w:p w14:paraId="56676F0C">
      <w:pPr>
        <w:pStyle w:val="7"/>
        <w:bidi w:val="0"/>
        <w:rPr>
          <w:highlight w:val="none"/>
        </w:rPr>
      </w:pPr>
      <w:r>
        <w:rPr>
          <w:highlight w:val="none"/>
        </w:rPr>
        <w:t>表4-2-</w:t>
      </w:r>
      <w:r>
        <w:rPr>
          <w:rFonts w:hint="eastAsia"/>
          <w:highlight w:val="none"/>
          <w:lang w:val="en-US" w:eastAsia="zh-CN"/>
        </w:rPr>
        <w:t>13</w:t>
      </w:r>
      <w:r>
        <w:rPr>
          <w:highlight w:val="none"/>
        </w:rPr>
        <w:t>声环境现状监测点位表</w:t>
      </w:r>
    </w:p>
    <w:tbl>
      <w:tblPr>
        <w:tblStyle w:val="4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75"/>
        <w:gridCol w:w="3640"/>
        <w:gridCol w:w="2557"/>
      </w:tblGrid>
      <w:tr w14:paraId="3ECB31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 w:hRule="atLeast"/>
          <w:jc w:val="center"/>
        </w:trPr>
        <w:tc>
          <w:tcPr>
            <w:tcW w:w="1775" w:type="dxa"/>
            <w:vAlign w:val="center"/>
          </w:tcPr>
          <w:p w14:paraId="3DCC0243">
            <w:pPr>
              <w:pStyle w:val="8"/>
              <w:suppressLineNumbers w:val="0"/>
              <w:bidi w:val="0"/>
              <w:spacing w:before="0" w:beforeAutospacing="0" w:after="0" w:afterAutospacing="0"/>
              <w:ind w:left="0" w:right="0"/>
              <w:rPr>
                <w:rFonts w:hint="default"/>
                <w:highlight w:val="none"/>
              </w:rPr>
            </w:pPr>
            <w:r>
              <w:rPr>
                <w:rFonts w:hint="default"/>
                <w:highlight w:val="none"/>
              </w:rPr>
              <w:t>监测点位</w:t>
            </w:r>
          </w:p>
        </w:tc>
        <w:tc>
          <w:tcPr>
            <w:tcW w:w="3640" w:type="dxa"/>
            <w:tcBorders>
              <w:right w:val="single" w:color="000000" w:sz="2" w:space="0"/>
            </w:tcBorders>
            <w:vAlign w:val="center"/>
          </w:tcPr>
          <w:p w14:paraId="795796EF">
            <w:pPr>
              <w:pStyle w:val="8"/>
              <w:suppressLineNumbers w:val="0"/>
              <w:bidi w:val="0"/>
              <w:spacing w:before="0" w:beforeAutospacing="0" w:after="0" w:afterAutospacing="0"/>
              <w:ind w:left="0" w:right="0"/>
              <w:rPr>
                <w:rFonts w:hint="default"/>
                <w:highlight w:val="none"/>
              </w:rPr>
            </w:pPr>
            <w:r>
              <w:rPr>
                <w:rFonts w:hint="default"/>
                <w:highlight w:val="none"/>
              </w:rPr>
              <w:t>监测项目</w:t>
            </w:r>
          </w:p>
        </w:tc>
        <w:tc>
          <w:tcPr>
            <w:tcW w:w="2557" w:type="dxa"/>
            <w:tcBorders>
              <w:left w:val="single" w:color="000000" w:sz="2" w:space="0"/>
            </w:tcBorders>
            <w:vAlign w:val="center"/>
          </w:tcPr>
          <w:p w14:paraId="0B5E09DC">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监测频次</w:t>
            </w:r>
          </w:p>
        </w:tc>
      </w:tr>
      <w:tr w14:paraId="21BF30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 w:hRule="atLeast"/>
          <w:jc w:val="center"/>
        </w:trPr>
        <w:tc>
          <w:tcPr>
            <w:tcW w:w="1775" w:type="dxa"/>
            <w:vAlign w:val="center"/>
          </w:tcPr>
          <w:p w14:paraId="0A084266">
            <w:pPr>
              <w:pStyle w:val="8"/>
              <w:suppressLineNumbers w:val="0"/>
              <w:bidi w:val="0"/>
              <w:spacing w:before="0" w:beforeAutospacing="0" w:after="0" w:afterAutospacing="0"/>
              <w:ind w:left="0" w:right="0"/>
              <w:rPr>
                <w:rFonts w:hint="default"/>
                <w:highlight w:val="none"/>
              </w:rPr>
            </w:pPr>
            <w:r>
              <w:rPr>
                <w:rFonts w:hint="default"/>
                <w:highlight w:val="none"/>
                <w:lang w:val="en-US" w:eastAsia="zh-CN"/>
              </w:rPr>
              <w:t>▲1</w:t>
            </w:r>
            <w:r>
              <w:rPr>
                <w:rFonts w:hint="eastAsia"/>
                <w:highlight w:val="none"/>
                <w:lang w:val="en-US" w:eastAsia="zh-CN"/>
              </w:rPr>
              <w:t>厂界东侧</w:t>
            </w:r>
          </w:p>
        </w:tc>
        <w:tc>
          <w:tcPr>
            <w:tcW w:w="3640" w:type="dxa"/>
            <w:tcBorders>
              <w:right w:val="single" w:color="000000" w:sz="2" w:space="0"/>
            </w:tcBorders>
            <w:vAlign w:val="center"/>
          </w:tcPr>
          <w:p w14:paraId="75975102">
            <w:pPr>
              <w:pStyle w:val="8"/>
              <w:suppressLineNumbers w:val="0"/>
              <w:bidi w:val="0"/>
              <w:spacing w:before="0" w:beforeAutospacing="0" w:after="0" w:afterAutospacing="0"/>
              <w:ind w:left="0" w:right="0"/>
              <w:rPr>
                <w:rFonts w:hint="eastAsia"/>
                <w:highlight w:val="none"/>
                <w:lang w:eastAsia="zh-CN"/>
              </w:rPr>
            </w:pPr>
            <w:r>
              <w:rPr>
                <w:rFonts w:hint="eastAsia"/>
                <w:highlight w:val="none"/>
                <w:lang w:val="en-US" w:eastAsia="zh-CN"/>
              </w:rPr>
              <w:t>噪声</w:t>
            </w:r>
          </w:p>
        </w:tc>
        <w:tc>
          <w:tcPr>
            <w:tcW w:w="2557" w:type="dxa"/>
            <w:vMerge w:val="restart"/>
            <w:tcBorders>
              <w:left w:val="single" w:color="000000" w:sz="2" w:space="0"/>
            </w:tcBorders>
            <w:vAlign w:val="center"/>
          </w:tcPr>
          <w:p w14:paraId="01333E1F">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监测两天，昼一夜一</w:t>
            </w:r>
          </w:p>
        </w:tc>
      </w:tr>
      <w:tr w14:paraId="5AC2F1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775" w:type="dxa"/>
            <w:vAlign w:val="center"/>
          </w:tcPr>
          <w:p w14:paraId="0A18A6AA">
            <w:pPr>
              <w:pStyle w:val="8"/>
              <w:suppressLineNumbers w:val="0"/>
              <w:bidi w:val="0"/>
              <w:spacing w:before="0" w:beforeAutospacing="0" w:after="0" w:afterAutospacing="0"/>
              <w:ind w:left="0" w:right="0"/>
              <w:rPr>
                <w:rFonts w:hint="default"/>
                <w:highlight w:val="none"/>
              </w:rPr>
            </w:pPr>
            <w:r>
              <w:rPr>
                <w:rFonts w:hint="default"/>
                <w:highlight w:val="none"/>
                <w:lang w:val="en-US" w:eastAsia="zh-CN"/>
              </w:rPr>
              <w:t>▲2</w:t>
            </w:r>
            <w:r>
              <w:rPr>
                <w:rFonts w:hint="eastAsia"/>
                <w:highlight w:val="none"/>
                <w:lang w:val="en-US" w:eastAsia="zh-CN"/>
              </w:rPr>
              <w:t>厂界南侧</w:t>
            </w:r>
          </w:p>
        </w:tc>
        <w:tc>
          <w:tcPr>
            <w:tcW w:w="3640" w:type="dxa"/>
            <w:tcBorders>
              <w:right w:val="single" w:color="000000" w:sz="2" w:space="0"/>
            </w:tcBorders>
            <w:vAlign w:val="center"/>
          </w:tcPr>
          <w:p w14:paraId="62153B66">
            <w:pPr>
              <w:pStyle w:val="8"/>
              <w:suppressLineNumbers w:val="0"/>
              <w:bidi w:val="0"/>
              <w:spacing w:before="0" w:beforeAutospacing="0" w:after="0" w:afterAutospacing="0"/>
              <w:ind w:left="0" w:right="0"/>
              <w:rPr>
                <w:rFonts w:hint="default"/>
                <w:highlight w:val="none"/>
              </w:rPr>
            </w:pPr>
            <w:r>
              <w:rPr>
                <w:rFonts w:hint="eastAsia"/>
                <w:highlight w:val="none"/>
                <w:lang w:val="en-US" w:eastAsia="zh-CN"/>
              </w:rPr>
              <w:t>噪声</w:t>
            </w:r>
          </w:p>
        </w:tc>
        <w:tc>
          <w:tcPr>
            <w:tcW w:w="2557" w:type="dxa"/>
            <w:vMerge w:val="continue"/>
            <w:tcBorders>
              <w:left w:val="single" w:color="000000" w:sz="2" w:space="0"/>
            </w:tcBorders>
            <w:vAlign w:val="center"/>
          </w:tcPr>
          <w:p w14:paraId="7A701B49">
            <w:pPr>
              <w:pStyle w:val="8"/>
              <w:suppressLineNumbers w:val="0"/>
              <w:bidi w:val="0"/>
              <w:spacing w:before="0" w:beforeAutospacing="0" w:after="0" w:afterAutospacing="0"/>
              <w:ind w:left="0" w:right="0"/>
              <w:rPr>
                <w:rFonts w:hint="eastAsia"/>
                <w:highlight w:val="none"/>
                <w:lang w:val="en-US" w:eastAsia="zh-CN"/>
              </w:rPr>
            </w:pPr>
          </w:p>
        </w:tc>
      </w:tr>
      <w:tr w14:paraId="1CD522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 w:hRule="atLeast"/>
          <w:jc w:val="center"/>
        </w:trPr>
        <w:tc>
          <w:tcPr>
            <w:tcW w:w="1775" w:type="dxa"/>
            <w:vAlign w:val="center"/>
          </w:tcPr>
          <w:p w14:paraId="14014210">
            <w:pPr>
              <w:pStyle w:val="8"/>
              <w:suppressLineNumbers w:val="0"/>
              <w:bidi w:val="0"/>
              <w:spacing w:before="0" w:beforeAutospacing="0" w:after="0" w:afterAutospacing="0"/>
              <w:ind w:left="0" w:right="0"/>
              <w:rPr>
                <w:rFonts w:hint="default"/>
                <w:highlight w:val="none"/>
              </w:rPr>
            </w:pPr>
            <w:r>
              <w:rPr>
                <w:rFonts w:hint="default"/>
                <w:highlight w:val="none"/>
                <w:lang w:val="en-US" w:eastAsia="zh-CN"/>
              </w:rPr>
              <w:t>▲3</w:t>
            </w:r>
            <w:r>
              <w:rPr>
                <w:rFonts w:hint="eastAsia"/>
                <w:highlight w:val="none"/>
                <w:lang w:val="en-US" w:eastAsia="zh-CN"/>
              </w:rPr>
              <w:t>厂界西侧</w:t>
            </w:r>
          </w:p>
        </w:tc>
        <w:tc>
          <w:tcPr>
            <w:tcW w:w="3640" w:type="dxa"/>
            <w:tcBorders>
              <w:right w:val="single" w:color="000000" w:sz="2" w:space="0"/>
            </w:tcBorders>
            <w:vAlign w:val="center"/>
          </w:tcPr>
          <w:p w14:paraId="1E5A7DB4">
            <w:pPr>
              <w:pStyle w:val="8"/>
              <w:suppressLineNumbers w:val="0"/>
              <w:bidi w:val="0"/>
              <w:spacing w:before="0" w:beforeAutospacing="0" w:after="0" w:afterAutospacing="0"/>
              <w:ind w:left="0" w:right="0"/>
              <w:rPr>
                <w:rFonts w:hint="default"/>
                <w:highlight w:val="none"/>
              </w:rPr>
            </w:pPr>
            <w:r>
              <w:rPr>
                <w:rFonts w:hint="eastAsia"/>
                <w:highlight w:val="none"/>
                <w:lang w:val="en-US" w:eastAsia="zh-CN"/>
              </w:rPr>
              <w:t>噪声</w:t>
            </w:r>
          </w:p>
        </w:tc>
        <w:tc>
          <w:tcPr>
            <w:tcW w:w="2557" w:type="dxa"/>
            <w:vMerge w:val="continue"/>
            <w:tcBorders>
              <w:left w:val="single" w:color="000000" w:sz="2" w:space="0"/>
            </w:tcBorders>
            <w:vAlign w:val="center"/>
          </w:tcPr>
          <w:p w14:paraId="3AE53BB4">
            <w:pPr>
              <w:pStyle w:val="8"/>
              <w:suppressLineNumbers w:val="0"/>
              <w:bidi w:val="0"/>
              <w:spacing w:before="0" w:beforeAutospacing="0" w:after="0" w:afterAutospacing="0"/>
              <w:ind w:left="0" w:right="0"/>
              <w:rPr>
                <w:rFonts w:hint="eastAsia"/>
                <w:highlight w:val="none"/>
                <w:lang w:val="en-US" w:eastAsia="zh-CN"/>
              </w:rPr>
            </w:pPr>
          </w:p>
        </w:tc>
      </w:tr>
      <w:tr w14:paraId="6ECFCA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1775" w:type="dxa"/>
            <w:vAlign w:val="center"/>
          </w:tcPr>
          <w:p w14:paraId="2177429F">
            <w:pPr>
              <w:pStyle w:val="8"/>
              <w:suppressLineNumbers w:val="0"/>
              <w:bidi w:val="0"/>
              <w:spacing w:before="0" w:beforeAutospacing="0" w:after="0" w:afterAutospacing="0"/>
              <w:ind w:left="0" w:right="0"/>
              <w:rPr>
                <w:rFonts w:hint="default"/>
                <w:highlight w:val="none"/>
              </w:rPr>
            </w:pPr>
            <w:r>
              <w:rPr>
                <w:rFonts w:hint="default"/>
                <w:highlight w:val="none"/>
                <w:lang w:val="en-US" w:eastAsia="zh-CN"/>
              </w:rPr>
              <w:t>▲4</w:t>
            </w:r>
            <w:r>
              <w:rPr>
                <w:rFonts w:hint="eastAsia"/>
                <w:highlight w:val="none"/>
                <w:lang w:val="en-US" w:eastAsia="zh-CN"/>
              </w:rPr>
              <w:t>厂界北侧</w:t>
            </w:r>
          </w:p>
        </w:tc>
        <w:tc>
          <w:tcPr>
            <w:tcW w:w="3640" w:type="dxa"/>
            <w:tcBorders>
              <w:right w:val="single" w:color="000000" w:sz="2" w:space="0"/>
            </w:tcBorders>
            <w:vAlign w:val="center"/>
          </w:tcPr>
          <w:p w14:paraId="6B77510C">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噪声</w:t>
            </w:r>
          </w:p>
        </w:tc>
        <w:tc>
          <w:tcPr>
            <w:tcW w:w="2557" w:type="dxa"/>
            <w:vMerge w:val="continue"/>
            <w:tcBorders>
              <w:left w:val="single" w:color="000000" w:sz="2" w:space="0"/>
            </w:tcBorders>
            <w:vAlign w:val="center"/>
          </w:tcPr>
          <w:p w14:paraId="2E0F3119">
            <w:pPr>
              <w:pStyle w:val="8"/>
              <w:suppressLineNumbers w:val="0"/>
              <w:bidi w:val="0"/>
              <w:spacing w:before="0" w:beforeAutospacing="0" w:after="0" w:afterAutospacing="0"/>
              <w:ind w:left="0" w:right="0"/>
              <w:rPr>
                <w:rFonts w:hint="eastAsia"/>
                <w:highlight w:val="none"/>
                <w:lang w:val="en-US" w:eastAsia="zh-CN"/>
              </w:rPr>
            </w:pPr>
          </w:p>
        </w:tc>
      </w:tr>
      <w:tr w14:paraId="2919A9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1775" w:type="dxa"/>
            <w:vAlign w:val="center"/>
          </w:tcPr>
          <w:p w14:paraId="7AA01078">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en-US"/>
              </w:rPr>
              <w:t>△</w:t>
            </w:r>
            <w:r>
              <w:rPr>
                <w:rFonts w:hint="default"/>
                <w:highlight w:val="none"/>
                <w:lang w:val="en-US" w:eastAsia="en-US"/>
              </w:rPr>
              <w:t>5</w:t>
            </w:r>
            <w:r>
              <w:rPr>
                <w:rFonts w:hint="eastAsia"/>
                <w:highlight w:val="none"/>
                <w:lang w:val="en-US" w:eastAsia="zh-CN"/>
              </w:rPr>
              <w:t>刘家村</w:t>
            </w:r>
          </w:p>
        </w:tc>
        <w:tc>
          <w:tcPr>
            <w:tcW w:w="3640" w:type="dxa"/>
            <w:tcBorders>
              <w:right w:val="single" w:color="000000" w:sz="2" w:space="0"/>
            </w:tcBorders>
            <w:vAlign w:val="center"/>
          </w:tcPr>
          <w:p w14:paraId="4E597EB2">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噪声</w:t>
            </w:r>
          </w:p>
        </w:tc>
        <w:tc>
          <w:tcPr>
            <w:tcW w:w="2557" w:type="dxa"/>
            <w:vMerge w:val="continue"/>
            <w:tcBorders>
              <w:left w:val="single" w:color="000000" w:sz="2" w:space="0"/>
            </w:tcBorders>
            <w:vAlign w:val="center"/>
          </w:tcPr>
          <w:p w14:paraId="22348464">
            <w:pPr>
              <w:pStyle w:val="8"/>
              <w:suppressLineNumbers w:val="0"/>
              <w:bidi w:val="0"/>
              <w:spacing w:before="0" w:beforeAutospacing="0" w:after="0" w:afterAutospacing="0"/>
              <w:ind w:left="0" w:right="0"/>
              <w:rPr>
                <w:rFonts w:hint="eastAsia"/>
                <w:highlight w:val="none"/>
                <w:lang w:val="en-US" w:eastAsia="zh-CN"/>
              </w:rPr>
            </w:pPr>
          </w:p>
        </w:tc>
      </w:tr>
    </w:tbl>
    <w:p w14:paraId="23C0169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eastAsiaTheme="minorEastAsia"/>
          <w:sz w:val="24"/>
          <w:highlight w:val="none"/>
          <w:lang w:val="zh-CN"/>
        </w:rPr>
      </w:pPr>
      <w:r>
        <w:rPr>
          <w:highlight w:val="none"/>
        </w:rPr>
        <w:drawing>
          <wp:inline distT="0" distB="0" distL="114300" distR="114300">
            <wp:extent cx="5269865" cy="2910205"/>
            <wp:effectExtent l="0" t="0" r="6985" b="444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55"/>
                    <a:stretch>
                      <a:fillRect/>
                    </a:stretch>
                  </pic:blipFill>
                  <pic:spPr>
                    <a:xfrm>
                      <a:off x="0" y="0"/>
                      <a:ext cx="5269865" cy="2910205"/>
                    </a:xfrm>
                    <a:prstGeom prst="rect">
                      <a:avLst/>
                    </a:prstGeom>
                    <a:noFill/>
                    <a:ln>
                      <a:noFill/>
                    </a:ln>
                  </pic:spPr>
                </pic:pic>
              </a:graphicData>
            </a:graphic>
          </wp:inline>
        </w:drawing>
      </w:r>
    </w:p>
    <w:p w14:paraId="4A89D3A2">
      <w:pPr>
        <w:pStyle w:val="7"/>
        <w:bidi w:val="0"/>
        <w:rPr>
          <w:highlight w:val="none"/>
        </w:rPr>
      </w:pPr>
      <w:r>
        <w:rPr>
          <w:highlight w:val="none"/>
        </w:rPr>
        <w:t>图4-2-</w:t>
      </w:r>
      <w:r>
        <w:rPr>
          <w:rFonts w:hint="eastAsia"/>
          <w:highlight w:val="none"/>
          <w:lang w:val="en-US" w:eastAsia="zh-CN"/>
        </w:rPr>
        <w:t>3</w:t>
      </w:r>
      <w:r>
        <w:rPr>
          <w:highlight w:val="none"/>
        </w:rPr>
        <w:t>声环境监测点位</w:t>
      </w:r>
    </w:p>
    <w:p w14:paraId="250B100B">
      <w:pPr>
        <w:bidi w:val="0"/>
        <w:rPr>
          <w:highlight w:val="none"/>
          <w:lang w:val="zh-CN"/>
        </w:rPr>
      </w:pPr>
      <w:r>
        <w:rPr>
          <w:highlight w:val="none"/>
          <w:lang w:val="zh-CN"/>
        </w:rPr>
        <w:t>（3）监测时间</w:t>
      </w:r>
    </w:p>
    <w:p w14:paraId="59D65839">
      <w:pPr>
        <w:bidi w:val="0"/>
        <w:rPr>
          <w:highlight w:val="none"/>
          <w:lang w:val="zh-CN"/>
        </w:rPr>
      </w:pPr>
      <w:r>
        <w:rPr>
          <w:highlight w:val="none"/>
          <w:lang w:val="zh-CN"/>
        </w:rPr>
        <w:t>202</w:t>
      </w:r>
      <w:r>
        <w:rPr>
          <w:rFonts w:hint="eastAsia"/>
          <w:highlight w:val="none"/>
          <w:lang w:val="en-US" w:eastAsia="zh-CN"/>
        </w:rPr>
        <w:t>5</w:t>
      </w:r>
      <w:r>
        <w:rPr>
          <w:highlight w:val="none"/>
          <w:lang w:val="zh-CN"/>
        </w:rPr>
        <w:t>年0</w:t>
      </w:r>
      <w:r>
        <w:rPr>
          <w:rFonts w:hint="eastAsia"/>
          <w:highlight w:val="none"/>
          <w:lang w:val="en-US" w:eastAsia="zh-CN"/>
        </w:rPr>
        <w:t>9</w:t>
      </w:r>
      <w:r>
        <w:rPr>
          <w:highlight w:val="none"/>
          <w:lang w:val="zh-CN"/>
        </w:rPr>
        <w:t>月</w:t>
      </w:r>
      <w:r>
        <w:rPr>
          <w:rFonts w:hint="eastAsia"/>
          <w:highlight w:val="none"/>
          <w:lang w:val="en-US" w:eastAsia="zh-CN"/>
        </w:rPr>
        <w:t>19</w:t>
      </w:r>
      <w:r>
        <w:rPr>
          <w:highlight w:val="none"/>
          <w:lang w:val="zh-CN"/>
        </w:rPr>
        <w:t>日~</w:t>
      </w:r>
      <w:r>
        <w:rPr>
          <w:rFonts w:hint="eastAsia"/>
          <w:highlight w:val="none"/>
          <w:lang w:val="en-US" w:eastAsia="zh-CN"/>
        </w:rPr>
        <w:t>20</w:t>
      </w:r>
      <w:r>
        <w:rPr>
          <w:highlight w:val="none"/>
          <w:lang w:val="zh-CN"/>
        </w:rPr>
        <w:t>日，连续两天。</w:t>
      </w:r>
    </w:p>
    <w:p w14:paraId="5DA63743">
      <w:pPr>
        <w:bidi w:val="0"/>
        <w:rPr>
          <w:highlight w:val="none"/>
          <w:lang w:val="zh-CN"/>
        </w:rPr>
      </w:pPr>
      <w:r>
        <w:rPr>
          <w:highlight w:val="none"/>
          <w:lang w:val="zh-CN"/>
        </w:rPr>
        <w:t>（4）监测结果</w:t>
      </w:r>
    </w:p>
    <w:p w14:paraId="2FBEF344">
      <w:pPr>
        <w:bidi w:val="0"/>
        <w:rPr>
          <w:rFonts w:hAnsiTheme="minorEastAsia" w:eastAsiaTheme="minorEastAsia"/>
          <w:highlight w:val="none"/>
          <w:lang w:val="zh-CN"/>
        </w:rPr>
      </w:pPr>
      <w:r>
        <w:rPr>
          <w:highlight w:val="none"/>
          <w:lang w:val="zh-CN"/>
        </w:rPr>
        <w:t>监测结果见</w:t>
      </w:r>
      <w:r>
        <w:rPr>
          <w:rFonts w:hint="eastAsia"/>
          <w:highlight w:val="none"/>
          <w:lang w:val="en-US" w:eastAsia="zh-CN"/>
        </w:rPr>
        <w:t>下表</w:t>
      </w:r>
      <w:r>
        <w:rPr>
          <w:rFonts w:hAnsiTheme="minorEastAsia" w:eastAsiaTheme="minorEastAsia"/>
          <w:highlight w:val="none"/>
          <w:lang w:val="zh-CN"/>
        </w:rPr>
        <w:t>。</w:t>
      </w:r>
    </w:p>
    <w:p w14:paraId="07E54002">
      <w:pPr>
        <w:pStyle w:val="7"/>
        <w:bidi w:val="0"/>
        <w:rPr>
          <w:highlight w:val="none"/>
          <w:lang w:val="zh-CN"/>
        </w:rPr>
      </w:pPr>
      <w:r>
        <w:rPr>
          <w:highlight w:val="none"/>
        </w:rPr>
        <w:t>表4-2-</w:t>
      </w:r>
      <w:r>
        <w:rPr>
          <w:rFonts w:hint="eastAsia"/>
          <w:highlight w:val="none"/>
          <w:lang w:val="en-US" w:eastAsia="zh-CN"/>
        </w:rPr>
        <w:t>14</w:t>
      </w:r>
      <w:r>
        <w:rPr>
          <w:highlight w:val="none"/>
        </w:rPr>
        <w:t>声环境现状监测结果</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469"/>
        <w:gridCol w:w="1410"/>
        <w:gridCol w:w="1421"/>
        <w:gridCol w:w="1387"/>
        <w:gridCol w:w="1390"/>
      </w:tblGrid>
      <w:tr w14:paraId="255B0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48" w:type="pct"/>
            <w:vMerge w:val="restart"/>
            <w:noWrap w:val="0"/>
            <w:vAlign w:val="center"/>
          </w:tcPr>
          <w:p w14:paraId="66281F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sz w:val="21"/>
                <w:szCs w:val="21"/>
              </w:rPr>
            </w:pPr>
            <w:r>
              <w:rPr>
                <w:rFonts w:hint="default" w:ascii="Times New Roman" w:hAnsi="宋体" w:cs="Times New Roman"/>
                <w:b w:val="0"/>
                <w:bCs/>
                <w:sz w:val="21"/>
                <w:szCs w:val="21"/>
              </w:rPr>
              <w:t>检测日期</w:t>
            </w:r>
          </w:p>
        </w:tc>
        <w:tc>
          <w:tcPr>
            <w:tcW w:w="862" w:type="pct"/>
            <w:vMerge w:val="restart"/>
            <w:noWrap w:val="0"/>
            <w:vAlign w:val="center"/>
          </w:tcPr>
          <w:p w14:paraId="3BEEC0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sz w:val="21"/>
                <w:szCs w:val="21"/>
              </w:rPr>
            </w:pPr>
            <w:r>
              <w:rPr>
                <w:rFonts w:hint="default" w:ascii="Times New Roman" w:hAnsi="宋体" w:cs="Times New Roman"/>
                <w:b w:val="0"/>
                <w:bCs/>
                <w:sz w:val="21"/>
                <w:szCs w:val="21"/>
              </w:rPr>
              <w:t>检测地点</w:t>
            </w:r>
          </w:p>
        </w:tc>
        <w:tc>
          <w:tcPr>
            <w:tcW w:w="1661" w:type="pct"/>
            <w:gridSpan w:val="2"/>
            <w:noWrap w:val="0"/>
            <w:vAlign w:val="center"/>
          </w:tcPr>
          <w:p w14:paraId="2BD6CD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cs="Times New Roman"/>
                <w:b w:val="0"/>
                <w:bCs/>
                <w:sz w:val="21"/>
                <w:szCs w:val="21"/>
              </w:rPr>
            </w:pPr>
            <w:r>
              <w:rPr>
                <w:rFonts w:hint="default" w:ascii="Times New Roman" w:hAnsi="宋体" w:cs="Times New Roman"/>
                <w:b w:val="0"/>
                <w:bCs/>
                <w:sz w:val="21"/>
                <w:szCs w:val="21"/>
              </w:rPr>
              <w:t>昼</w:t>
            </w:r>
            <w:r>
              <w:rPr>
                <w:rFonts w:hint="default" w:ascii="Times New Roman" w:hAnsi="Times New Roman" w:cs="Times New Roman"/>
                <w:b w:val="0"/>
                <w:bCs/>
                <w:sz w:val="21"/>
                <w:szCs w:val="21"/>
              </w:rPr>
              <w:t>L</w:t>
            </w:r>
            <w:r>
              <w:rPr>
                <w:rFonts w:hint="default" w:ascii="Times New Roman" w:hAnsi="Times New Roman" w:cs="Times New Roman"/>
                <w:b w:val="0"/>
                <w:bCs/>
                <w:sz w:val="21"/>
                <w:szCs w:val="21"/>
                <w:vertAlign w:val="subscript"/>
              </w:rPr>
              <w:t>eq</w:t>
            </w:r>
          </w:p>
        </w:tc>
        <w:tc>
          <w:tcPr>
            <w:tcW w:w="1629" w:type="pct"/>
            <w:gridSpan w:val="2"/>
            <w:noWrap w:val="0"/>
            <w:vAlign w:val="center"/>
          </w:tcPr>
          <w:p w14:paraId="09E4600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sz w:val="21"/>
                <w:szCs w:val="21"/>
              </w:rPr>
            </w:pPr>
            <w:r>
              <w:rPr>
                <w:rFonts w:hint="default" w:ascii="Times New Roman" w:hAnsi="宋体" w:cs="Times New Roman"/>
                <w:b w:val="0"/>
                <w:bCs/>
                <w:sz w:val="21"/>
                <w:szCs w:val="21"/>
              </w:rPr>
              <w:t>夜</w:t>
            </w:r>
            <w:r>
              <w:rPr>
                <w:rFonts w:hint="default" w:ascii="Times New Roman" w:hAnsi="Times New Roman" w:cs="Times New Roman"/>
                <w:b w:val="0"/>
                <w:bCs/>
                <w:sz w:val="21"/>
                <w:szCs w:val="21"/>
              </w:rPr>
              <w:t>L</w:t>
            </w:r>
            <w:r>
              <w:rPr>
                <w:rFonts w:hint="default" w:ascii="Times New Roman" w:hAnsi="Times New Roman" w:cs="Times New Roman"/>
                <w:b w:val="0"/>
                <w:bCs/>
                <w:sz w:val="21"/>
                <w:szCs w:val="21"/>
                <w:vertAlign w:val="subscript"/>
              </w:rPr>
              <w:t>eq</w:t>
            </w:r>
          </w:p>
        </w:tc>
      </w:tr>
      <w:tr w14:paraId="506A5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48" w:type="pct"/>
            <w:vMerge w:val="continue"/>
            <w:noWrap w:val="0"/>
            <w:vAlign w:val="center"/>
          </w:tcPr>
          <w:p w14:paraId="4CBB25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sz w:val="21"/>
                <w:szCs w:val="21"/>
              </w:rPr>
            </w:pPr>
          </w:p>
        </w:tc>
        <w:tc>
          <w:tcPr>
            <w:tcW w:w="862" w:type="pct"/>
            <w:vMerge w:val="continue"/>
            <w:noWrap w:val="0"/>
            <w:vAlign w:val="center"/>
          </w:tcPr>
          <w:p w14:paraId="49C007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sz w:val="21"/>
                <w:szCs w:val="21"/>
              </w:rPr>
            </w:pPr>
          </w:p>
        </w:tc>
        <w:tc>
          <w:tcPr>
            <w:tcW w:w="827" w:type="pct"/>
            <w:noWrap w:val="0"/>
            <w:vAlign w:val="center"/>
          </w:tcPr>
          <w:p w14:paraId="25EAF0A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sz w:val="21"/>
                <w:szCs w:val="21"/>
              </w:rPr>
            </w:pPr>
            <w:r>
              <w:rPr>
                <w:rFonts w:hint="default" w:ascii="Times New Roman" w:hAnsi="宋体" w:cs="Times New Roman"/>
                <w:b w:val="0"/>
                <w:bCs/>
                <w:sz w:val="21"/>
                <w:szCs w:val="21"/>
              </w:rPr>
              <w:t>时间</w:t>
            </w:r>
          </w:p>
        </w:tc>
        <w:tc>
          <w:tcPr>
            <w:tcW w:w="834" w:type="pct"/>
            <w:noWrap w:val="0"/>
            <w:vAlign w:val="center"/>
          </w:tcPr>
          <w:p w14:paraId="69C149F2">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宋体" w:cs="Times New Roman"/>
                <w:b w:val="0"/>
                <w:bCs/>
                <w:sz w:val="21"/>
                <w:szCs w:val="21"/>
              </w:rPr>
            </w:pPr>
            <w:r>
              <w:rPr>
                <w:rFonts w:hint="default" w:ascii="Times New Roman" w:hAnsi="宋体" w:cs="Times New Roman"/>
                <w:b w:val="0"/>
                <w:bCs/>
                <w:sz w:val="21"/>
                <w:szCs w:val="21"/>
              </w:rPr>
              <w:t>结果</w:t>
            </w:r>
          </w:p>
        </w:tc>
        <w:tc>
          <w:tcPr>
            <w:tcW w:w="814" w:type="pct"/>
            <w:noWrap w:val="0"/>
            <w:vAlign w:val="center"/>
          </w:tcPr>
          <w:p w14:paraId="6836342C">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sz w:val="21"/>
                <w:szCs w:val="21"/>
              </w:rPr>
            </w:pPr>
            <w:r>
              <w:rPr>
                <w:rFonts w:hint="default" w:ascii="Times New Roman" w:hAnsi="宋体" w:cs="Times New Roman"/>
                <w:b w:val="0"/>
                <w:bCs/>
                <w:sz w:val="21"/>
                <w:szCs w:val="21"/>
              </w:rPr>
              <w:t>时间</w:t>
            </w:r>
          </w:p>
        </w:tc>
        <w:tc>
          <w:tcPr>
            <w:tcW w:w="815" w:type="pct"/>
            <w:noWrap w:val="0"/>
            <w:vAlign w:val="center"/>
          </w:tcPr>
          <w:p w14:paraId="6A051DA0">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sz w:val="21"/>
                <w:szCs w:val="21"/>
              </w:rPr>
            </w:pPr>
            <w:r>
              <w:rPr>
                <w:rFonts w:hint="default" w:ascii="Times New Roman" w:hAnsi="宋体" w:cs="Times New Roman"/>
                <w:b w:val="0"/>
                <w:bCs/>
                <w:sz w:val="21"/>
                <w:szCs w:val="21"/>
              </w:rPr>
              <w:t>结果</w:t>
            </w:r>
          </w:p>
        </w:tc>
      </w:tr>
      <w:tr w14:paraId="48B9B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48" w:type="pct"/>
            <w:vMerge w:val="restart"/>
            <w:noWrap w:val="0"/>
            <w:vAlign w:val="center"/>
          </w:tcPr>
          <w:p w14:paraId="235841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bookmarkStart w:id="322" w:name="OLE_LINK15" w:colFirst="1" w:colLast="65"/>
            <w:bookmarkStart w:id="323" w:name="OLE_LINK14" w:colFirst="1" w:colLast="65"/>
            <w:bookmarkStart w:id="324" w:name="_Hlk224906551"/>
            <w:r>
              <w:rPr>
                <w:rFonts w:hint="eastAsia" w:ascii="Times New Roman" w:hAnsi="Times New Roman" w:cs="Times New Roman"/>
                <w:b w:val="0"/>
                <w:bCs/>
                <w:color w:val="000000"/>
                <w:sz w:val="21"/>
                <w:szCs w:val="21"/>
              </w:rPr>
              <w:t>2026.02.24</w:t>
            </w:r>
          </w:p>
        </w:tc>
        <w:tc>
          <w:tcPr>
            <w:tcW w:w="862" w:type="pct"/>
            <w:noWrap w:val="0"/>
            <w:vAlign w:val="center"/>
          </w:tcPr>
          <w:p w14:paraId="61D8DBD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default" w:ascii="宋体" w:hAnsi="宋体" w:cs="Times New Roman"/>
                <w:b w:val="0"/>
                <w:bCs/>
                <w:color w:val="000000"/>
                <w:sz w:val="21"/>
                <w:szCs w:val="21"/>
              </w:rPr>
              <w:t>▲</w:t>
            </w:r>
            <w:r>
              <w:rPr>
                <w:rFonts w:hint="default" w:ascii="Times New Roman" w:hAnsi="Times New Roman" w:cs="Times New Roman"/>
                <w:b w:val="0"/>
                <w:bCs/>
                <w:color w:val="000000"/>
                <w:sz w:val="21"/>
                <w:szCs w:val="21"/>
              </w:rPr>
              <w:t>1</w:t>
            </w:r>
            <w:r>
              <w:rPr>
                <w:rFonts w:hint="default" w:ascii="Times New Roman" w:hAnsi="宋体" w:cs="Times New Roman"/>
                <w:b w:val="0"/>
                <w:bCs/>
                <w:color w:val="000000"/>
                <w:sz w:val="21"/>
                <w:szCs w:val="21"/>
              </w:rPr>
              <w:t>厂界</w:t>
            </w:r>
            <w:r>
              <w:rPr>
                <w:rFonts w:hint="eastAsia" w:ascii="Times New Roman" w:hAnsi="宋体" w:cs="Times New Roman"/>
                <w:b w:val="0"/>
                <w:bCs/>
                <w:color w:val="000000"/>
                <w:sz w:val="21"/>
                <w:szCs w:val="21"/>
              </w:rPr>
              <w:t>东</w:t>
            </w:r>
            <w:r>
              <w:rPr>
                <w:rFonts w:hint="default" w:ascii="Times New Roman" w:hAnsi="宋体" w:cs="Times New Roman"/>
                <w:b w:val="0"/>
                <w:bCs/>
                <w:color w:val="000000"/>
                <w:sz w:val="21"/>
                <w:szCs w:val="21"/>
              </w:rPr>
              <w:t>侧</w:t>
            </w:r>
          </w:p>
        </w:tc>
        <w:tc>
          <w:tcPr>
            <w:tcW w:w="827" w:type="pct"/>
            <w:noWrap w:val="0"/>
            <w:vAlign w:val="center"/>
          </w:tcPr>
          <w:p w14:paraId="4B4F7784">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rPr>
            </w:pPr>
            <w:r>
              <w:rPr>
                <w:rFonts w:hint="eastAsia" w:ascii="Times New Roman" w:hAnsi="Times New Roman"/>
                <w:b w:val="0"/>
                <w:bCs/>
                <w:color w:val="000000"/>
                <w:sz w:val="21"/>
                <w:szCs w:val="21"/>
              </w:rPr>
              <w:t>08</w:t>
            </w:r>
            <w:r>
              <w:rPr>
                <w:rFonts w:hint="default" w:ascii="Times New Roman" w:hAnsi="Times New Roman"/>
                <w:b w:val="0"/>
                <w:bCs/>
                <w:color w:val="000000"/>
                <w:sz w:val="21"/>
                <w:szCs w:val="21"/>
              </w:rPr>
              <w:t>:</w:t>
            </w:r>
            <w:r>
              <w:rPr>
                <w:rFonts w:hint="eastAsia" w:ascii="Times New Roman" w:hAnsi="Times New Roman"/>
                <w:b w:val="0"/>
                <w:bCs/>
                <w:color w:val="000000"/>
                <w:sz w:val="21"/>
                <w:szCs w:val="21"/>
              </w:rPr>
              <w:t>00</w:t>
            </w:r>
          </w:p>
        </w:tc>
        <w:tc>
          <w:tcPr>
            <w:tcW w:w="834" w:type="pct"/>
            <w:noWrap w:val="0"/>
            <w:vAlign w:val="center"/>
          </w:tcPr>
          <w:p w14:paraId="4B7EC8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52</w:t>
            </w:r>
          </w:p>
        </w:tc>
        <w:tc>
          <w:tcPr>
            <w:tcW w:w="814" w:type="pct"/>
            <w:noWrap w:val="0"/>
            <w:vAlign w:val="center"/>
          </w:tcPr>
          <w:p w14:paraId="133679F5">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rPr>
            </w:pPr>
            <w:r>
              <w:rPr>
                <w:rFonts w:hint="eastAsia" w:ascii="Times New Roman" w:hAnsi="Times New Roman"/>
                <w:b w:val="0"/>
                <w:bCs/>
                <w:color w:val="000000"/>
                <w:sz w:val="21"/>
                <w:szCs w:val="21"/>
              </w:rPr>
              <w:t>22</w:t>
            </w:r>
            <w:r>
              <w:rPr>
                <w:rFonts w:hint="default" w:ascii="Times New Roman" w:hAnsi="Times New Roman"/>
                <w:b w:val="0"/>
                <w:bCs/>
                <w:color w:val="000000"/>
                <w:sz w:val="21"/>
                <w:szCs w:val="21"/>
              </w:rPr>
              <w:t>:</w:t>
            </w:r>
            <w:r>
              <w:rPr>
                <w:rFonts w:hint="eastAsia" w:ascii="Times New Roman" w:hAnsi="Times New Roman"/>
                <w:b w:val="0"/>
                <w:bCs/>
                <w:color w:val="000000"/>
                <w:sz w:val="21"/>
                <w:szCs w:val="21"/>
              </w:rPr>
              <w:t>00</w:t>
            </w:r>
          </w:p>
        </w:tc>
        <w:tc>
          <w:tcPr>
            <w:tcW w:w="815" w:type="pct"/>
            <w:noWrap w:val="0"/>
            <w:vAlign w:val="center"/>
          </w:tcPr>
          <w:p w14:paraId="3E3005A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40</w:t>
            </w:r>
          </w:p>
        </w:tc>
      </w:tr>
      <w:tr w14:paraId="55068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8" w:type="pct"/>
            <w:vMerge w:val="continue"/>
            <w:shd w:val="clear" w:color="auto" w:fill="auto"/>
            <w:noWrap w:val="0"/>
            <w:vAlign w:val="center"/>
          </w:tcPr>
          <w:p w14:paraId="5B7494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p>
        </w:tc>
        <w:tc>
          <w:tcPr>
            <w:tcW w:w="862" w:type="pct"/>
            <w:shd w:val="clear" w:color="auto" w:fill="auto"/>
            <w:noWrap w:val="0"/>
            <w:vAlign w:val="center"/>
          </w:tcPr>
          <w:p w14:paraId="0BD6A4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default" w:ascii="宋体" w:hAnsi="宋体" w:cs="Times New Roman"/>
                <w:b w:val="0"/>
                <w:bCs/>
                <w:color w:val="000000"/>
                <w:sz w:val="21"/>
                <w:szCs w:val="21"/>
              </w:rPr>
              <w:t>▲</w:t>
            </w:r>
            <w:r>
              <w:rPr>
                <w:rFonts w:hint="eastAsia" w:ascii="Times New Roman" w:hAnsi="Times New Roman" w:cs="Times New Roman"/>
                <w:b w:val="0"/>
                <w:bCs/>
                <w:color w:val="000000"/>
                <w:sz w:val="21"/>
                <w:szCs w:val="21"/>
              </w:rPr>
              <w:t>2</w:t>
            </w:r>
            <w:r>
              <w:rPr>
                <w:rFonts w:hint="default" w:ascii="Times New Roman" w:hAnsi="宋体" w:cs="Times New Roman"/>
                <w:b w:val="0"/>
                <w:bCs/>
                <w:color w:val="000000"/>
                <w:sz w:val="21"/>
                <w:szCs w:val="21"/>
              </w:rPr>
              <w:t>厂界</w:t>
            </w:r>
            <w:r>
              <w:rPr>
                <w:rFonts w:hint="eastAsia" w:ascii="Times New Roman" w:hAnsi="宋体" w:cs="Times New Roman"/>
                <w:b w:val="0"/>
                <w:bCs/>
                <w:color w:val="000000"/>
                <w:sz w:val="21"/>
                <w:szCs w:val="21"/>
              </w:rPr>
              <w:t>南</w:t>
            </w:r>
            <w:r>
              <w:rPr>
                <w:rFonts w:hint="default" w:ascii="Times New Roman" w:hAnsi="宋体" w:cs="Times New Roman"/>
                <w:b w:val="0"/>
                <w:bCs/>
                <w:color w:val="000000"/>
                <w:sz w:val="21"/>
                <w:szCs w:val="21"/>
              </w:rPr>
              <w:t>侧</w:t>
            </w:r>
          </w:p>
        </w:tc>
        <w:tc>
          <w:tcPr>
            <w:tcW w:w="827" w:type="pct"/>
            <w:shd w:val="clear" w:color="auto" w:fill="FFFFFF"/>
            <w:noWrap w:val="0"/>
            <w:vAlign w:val="center"/>
          </w:tcPr>
          <w:p w14:paraId="3BD06542">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lang w:eastAsia="zh-CN"/>
              </w:rPr>
            </w:pPr>
            <w:r>
              <w:rPr>
                <w:rFonts w:hint="eastAsia" w:ascii="Times New Roman" w:hAnsi="Times New Roman"/>
                <w:b w:val="0"/>
                <w:bCs/>
                <w:color w:val="000000"/>
                <w:sz w:val="21"/>
                <w:szCs w:val="21"/>
              </w:rPr>
              <w:t>08</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20</w:t>
            </w:r>
          </w:p>
        </w:tc>
        <w:tc>
          <w:tcPr>
            <w:tcW w:w="834" w:type="pct"/>
            <w:shd w:val="clear" w:color="auto" w:fill="FFFFFF"/>
            <w:noWrap w:val="0"/>
            <w:vAlign w:val="center"/>
          </w:tcPr>
          <w:p w14:paraId="023373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50</w:t>
            </w:r>
          </w:p>
        </w:tc>
        <w:tc>
          <w:tcPr>
            <w:tcW w:w="814" w:type="pct"/>
            <w:noWrap w:val="0"/>
            <w:vAlign w:val="center"/>
          </w:tcPr>
          <w:p w14:paraId="0FF407B9">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lang w:eastAsia="zh-CN"/>
              </w:rPr>
            </w:pPr>
            <w:r>
              <w:rPr>
                <w:rFonts w:hint="eastAsia" w:ascii="Times New Roman" w:hAnsi="Times New Roman"/>
                <w:b w:val="0"/>
                <w:bCs/>
                <w:color w:val="000000"/>
                <w:sz w:val="21"/>
                <w:szCs w:val="21"/>
              </w:rPr>
              <w:t>22</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20</w:t>
            </w:r>
          </w:p>
        </w:tc>
        <w:tc>
          <w:tcPr>
            <w:tcW w:w="815" w:type="pct"/>
            <w:noWrap w:val="0"/>
            <w:vAlign w:val="center"/>
          </w:tcPr>
          <w:p w14:paraId="4F3D79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39</w:t>
            </w:r>
          </w:p>
        </w:tc>
      </w:tr>
      <w:tr w14:paraId="5EE09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48" w:type="pct"/>
            <w:vMerge w:val="continue"/>
            <w:shd w:val="clear" w:color="auto" w:fill="auto"/>
            <w:noWrap w:val="0"/>
            <w:vAlign w:val="center"/>
          </w:tcPr>
          <w:p w14:paraId="6A4686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p>
        </w:tc>
        <w:tc>
          <w:tcPr>
            <w:tcW w:w="862" w:type="pct"/>
            <w:shd w:val="clear" w:color="auto" w:fill="auto"/>
            <w:noWrap w:val="0"/>
            <w:vAlign w:val="center"/>
          </w:tcPr>
          <w:p w14:paraId="60F970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default" w:ascii="宋体" w:hAnsi="宋体" w:cs="Times New Roman"/>
                <w:b w:val="0"/>
                <w:bCs/>
                <w:color w:val="000000"/>
                <w:sz w:val="21"/>
                <w:szCs w:val="21"/>
              </w:rPr>
              <w:t>▲</w:t>
            </w:r>
            <w:r>
              <w:rPr>
                <w:rFonts w:hint="default" w:ascii="Times New Roman" w:hAnsi="Times New Roman" w:cs="Times New Roman"/>
                <w:b w:val="0"/>
                <w:bCs/>
                <w:color w:val="000000"/>
                <w:sz w:val="21"/>
                <w:szCs w:val="21"/>
              </w:rPr>
              <w:t>3</w:t>
            </w:r>
            <w:r>
              <w:rPr>
                <w:rFonts w:hint="default" w:ascii="Times New Roman" w:hAnsi="宋体" w:cs="Times New Roman"/>
                <w:b w:val="0"/>
                <w:bCs/>
                <w:color w:val="000000"/>
                <w:sz w:val="21"/>
                <w:szCs w:val="21"/>
              </w:rPr>
              <w:t>厂界</w:t>
            </w:r>
            <w:r>
              <w:rPr>
                <w:rFonts w:hint="eastAsia" w:ascii="Times New Roman" w:hAnsi="宋体" w:cs="Times New Roman"/>
                <w:b w:val="0"/>
                <w:bCs/>
                <w:color w:val="000000"/>
                <w:sz w:val="21"/>
                <w:szCs w:val="21"/>
              </w:rPr>
              <w:t>西</w:t>
            </w:r>
            <w:r>
              <w:rPr>
                <w:rFonts w:hint="default" w:ascii="Times New Roman" w:hAnsi="宋体" w:cs="Times New Roman"/>
                <w:b w:val="0"/>
                <w:bCs/>
                <w:color w:val="000000"/>
                <w:sz w:val="21"/>
                <w:szCs w:val="21"/>
              </w:rPr>
              <w:t>侧</w:t>
            </w:r>
          </w:p>
        </w:tc>
        <w:tc>
          <w:tcPr>
            <w:tcW w:w="827" w:type="pct"/>
            <w:shd w:val="clear" w:color="auto" w:fill="FFFFFF"/>
            <w:noWrap w:val="0"/>
            <w:vAlign w:val="center"/>
          </w:tcPr>
          <w:p w14:paraId="0FE6C024">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lang w:eastAsia="zh-CN"/>
              </w:rPr>
            </w:pPr>
            <w:r>
              <w:rPr>
                <w:rFonts w:hint="eastAsia" w:ascii="Times New Roman" w:hAnsi="Times New Roman"/>
                <w:b w:val="0"/>
                <w:bCs/>
                <w:color w:val="000000"/>
                <w:sz w:val="21"/>
                <w:szCs w:val="21"/>
              </w:rPr>
              <w:t>08</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40</w:t>
            </w:r>
          </w:p>
        </w:tc>
        <w:tc>
          <w:tcPr>
            <w:tcW w:w="834" w:type="pct"/>
            <w:shd w:val="clear" w:color="auto" w:fill="FFFFFF"/>
            <w:noWrap w:val="0"/>
            <w:vAlign w:val="center"/>
          </w:tcPr>
          <w:p w14:paraId="034E74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51</w:t>
            </w:r>
          </w:p>
        </w:tc>
        <w:tc>
          <w:tcPr>
            <w:tcW w:w="814" w:type="pct"/>
            <w:noWrap w:val="0"/>
            <w:vAlign w:val="center"/>
          </w:tcPr>
          <w:p w14:paraId="48C89600">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rPr>
            </w:pPr>
            <w:r>
              <w:rPr>
                <w:rFonts w:hint="eastAsia" w:ascii="Times New Roman" w:hAnsi="Times New Roman"/>
                <w:b w:val="0"/>
                <w:bCs/>
                <w:color w:val="000000"/>
                <w:sz w:val="21"/>
                <w:szCs w:val="21"/>
              </w:rPr>
              <w:t>22</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40</w:t>
            </w:r>
          </w:p>
        </w:tc>
        <w:tc>
          <w:tcPr>
            <w:tcW w:w="815" w:type="pct"/>
            <w:noWrap w:val="0"/>
            <w:vAlign w:val="center"/>
          </w:tcPr>
          <w:p w14:paraId="1D6284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39</w:t>
            </w:r>
          </w:p>
        </w:tc>
      </w:tr>
      <w:tr w14:paraId="1B5FE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48" w:type="pct"/>
            <w:vMerge w:val="continue"/>
            <w:shd w:val="clear" w:color="auto" w:fill="auto"/>
            <w:noWrap w:val="0"/>
            <w:vAlign w:val="center"/>
          </w:tcPr>
          <w:p w14:paraId="1C0634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p>
        </w:tc>
        <w:tc>
          <w:tcPr>
            <w:tcW w:w="862" w:type="pct"/>
            <w:shd w:val="clear" w:color="auto" w:fill="auto"/>
            <w:noWrap w:val="0"/>
            <w:vAlign w:val="center"/>
          </w:tcPr>
          <w:p w14:paraId="20D052D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default" w:ascii="宋体" w:hAnsi="宋体" w:cs="Times New Roman"/>
                <w:b w:val="0"/>
                <w:bCs/>
                <w:color w:val="000000"/>
                <w:sz w:val="21"/>
                <w:szCs w:val="21"/>
              </w:rPr>
              <w:t>▲</w:t>
            </w:r>
            <w:r>
              <w:rPr>
                <w:rFonts w:hint="default" w:ascii="Times New Roman" w:hAnsi="Times New Roman" w:cs="Times New Roman"/>
                <w:b w:val="0"/>
                <w:bCs/>
                <w:color w:val="000000"/>
                <w:sz w:val="21"/>
                <w:szCs w:val="21"/>
              </w:rPr>
              <w:t>4</w:t>
            </w:r>
            <w:r>
              <w:rPr>
                <w:rFonts w:hint="default" w:ascii="Times New Roman" w:hAnsi="宋体" w:cs="Times New Roman"/>
                <w:b w:val="0"/>
                <w:bCs/>
                <w:color w:val="000000"/>
                <w:sz w:val="21"/>
                <w:szCs w:val="21"/>
              </w:rPr>
              <w:t>厂界</w:t>
            </w:r>
            <w:r>
              <w:rPr>
                <w:rFonts w:hint="eastAsia" w:ascii="Times New Roman" w:hAnsi="宋体" w:cs="Times New Roman"/>
                <w:b w:val="0"/>
                <w:bCs/>
                <w:color w:val="000000"/>
                <w:sz w:val="21"/>
                <w:szCs w:val="21"/>
              </w:rPr>
              <w:t>北</w:t>
            </w:r>
            <w:r>
              <w:rPr>
                <w:rFonts w:hint="default" w:ascii="Times New Roman" w:hAnsi="宋体" w:cs="Times New Roman"/>
                <w:b w:val="0"/>
                <w:bCs/>
                <w:color w:val="000000"/>
                <w:sz w:val="21"/>
                <w:szCs w:val="21"/>
              </w:rPr>
              <w:t>侧</w:t>
            </w:r>
          </w:p>
        </w:tc>
        <w:tc>
          <w:tcPr>
            <w:tcW w:w="827" w:type="pct"/>
            <w:shd w:val="clear" w:color="auto" w:fill="FFFFFF"/>
            <w:noWrap w:val="0"/>
            <w:vAlign w:val="center"/>
          </w:tcPr>
          <w:p w14:paraId="6C5CCE4E">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rPr>
            </w:pPr>
            <w:r>
              <w:rPr>
                <w:rFonts w:hint="eastAsia" w:ascii="Times New Roman" w:hAnsi="Times New Roman"/>
                <w:b w:val="0"/>
                <w:bCs/>
                <w:color w:val="000000"/>
                <w:sz w:val="21"/>
                <w:szCs w:val="21"/>
              </w:rPr>
              <w:t>0</w:t>
            </w:r>
            <w:r>
              <w:rPr>
                <w:rFonts w:hint="eastAsia" w:ascii="Times New Roman" w:hAnsi="Times New Roman"/>
                <w:b w:val="0"/>
                <w:bCs/>
                <w:color w:val="000000"/>
                <w:sz w:val="21"/>
                <w:szCs w:val="21"/>
                <w:lang w:eastAsia="zh-CN"/>
              </w:rPr>
              <w:t>9</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00</w:t>
            </w:r>
          </w:p>
        </w:tc>
        <w:tc>
          <w:tcPr>
            <w:tcW w:w="834" w:type="pct"/>
            <w:shd w:val="clear" w:color="auto" w:fill="FFFFFF"/>
            <w:noWrap w:val="0"/>
            <w:vAlign w:val="center"/>
          </w:tcPr>
          <w:p w14:paraId="6BCD13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52</w:t>
            </w:r>
          </w:p>
        </w:tc>
        <w:tc>
          <w:tcPr>
            <w:tcW w:w="814" w:type="pct"/>
            <w:noWrap w:val="0"/>
            <w:vAlign w:val="center"/>
          </w:tcPr>
          <w:p w14:paraId="50B5CAA3">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lang w:eastAsia="zh-CN"/>
              </w:rPr>
            </w:pPr>
            <w:r>
              <w:rPr>
                <w:rFonts w:hint="eastAsia" w:ascii="Times New Roman" w:hAnsi="Times New Roman"/>
                <w:b w:val="0"/>
                <w:bCs/>
                <w:color w:val="000000"/>
                <w:sz w:val="21"/>
                <w:szCs w:val="21"/>
              </w:rPr>
              <w:t>2</w:t>
            </w:r>
            <w:r>
              <w:rPr>
                <w:rFonts w:hint="eastAsia" w:ascii="Times New Roman" w:hAnsi="Times New Roman"/>
                <w:b w:val="0"/>
                <w:bCs/>
                <w:color w:val="000000"/>
                <w:sz w:val="21"/>
                <w:szCs w:val="21"/>
                <w:lang w:eastAsia="zh-CN"/>
              </w:rPr>
              <w:t>3</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00</w:t>
            </w:r>
          </w:p>
        </w:tc>
        <w:tc>
          <w:tcPr>
            <w:tcW w:w="815" w:type="pct"/>
            <w:noWrap w:val="0"/>
            <w:vAlign w:val="center"/>
          </w:tcPr>
          <w:p w14:paraId="22E49C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40</w:t>
            </w:r>
          </w:p>
        </w:tc>
      </w:tr>
      <w:bookmarkEnd w:id="322"/>
      <w:bookmarkEnd w:id="323"/>
      <w:bookmarkEnd w:id="324"/>
      <w:tr w14:paraId="01186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48" w:type="pct"/>
            <w:vMerge w:val="restart"/>
            <w:noWrap w:val="0"/>
            <w:vAlign w:val="center"/>
          </w:tcPr>
          <w:p w14:paraId="2631F54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eastAsia" w:ascii="Times New Roman" w:hAnsi="Times New Roman" w:cs="Times New Roman"/>
                <w:b w:val="0"/>
                <w:bCs/>
                <w:color w:val="000000"/>
                <w:sz w:val="21"/>
                <w:szCs w:val="21"/>
              </w:rPr>
              <w:t>2026.02.25</w:t>
            </w:r>
          </w:p>
        </w:tc>
        <w:tc>
          <w:tcPr>
            <w:tcW w:w="862" w:type="pct"/>
            <w:noWrap w:val="0"/>
            <w:vAlign w:val="center"/>
          </w:tcPr>
          <w:p w14:paraId="19A274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eastAsia" w:ascii="宋体" w:hAnsi="宋体" w:cs="Times New Roman"/>
                <w:b w:val="0"/>
                <w:bCs/>
                <w:color w:val="000000"/>
                <w:sz w:val="21"/>
                <w:szCs w:val="21"/>
              </w:rPr>
              <w:t>▲</w:t>
            </w:r>
            <w:r>
              <w:rPr>
                <w:rFonts w:hint="default" w:ascii="Times New Roman" w:hAnsi="Times New Roman" w:cs="Times New Roman"/>
                <w:b w:val="0"/>
                <w:bCs/>
                <w:color w:val="000000"/>
                <w:sz w:val="21"/>
                <w:szCs w:val="21"/>
              </w:rPr>
              <w:t>1</w:t>
            </w:r>
            <w:r>
              <w:rPr>
                <w:rFonts w:hint="eastAsia" w:ascii="Times New Roman" w:hAnsi="宋体" w:cs="Times New Roman"/>
                <w:b w:val="0"/>
                <w:bCs/>
                <w:color w:val="000000"/>
                <w:sz w:val="21"/>
                <w:szCs w:val="21"/>
              </w:rPr>
              <w:t>厂界东侧</w:t>
            </w:r>
          </w:p>
        </w:tc>
        <w:tc>
          <w:tcPr>
            <w:tcW w:w="827" w:type="pct"/>
            <w:noWrap w:val="0"/>
            <w:vAlign w:val="center"/>
          </w:tcPr>
          <w:p w14:paraId="46342660">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rPr>
            </w:pPr>
            <w:r>
              <w:rPr>
                <w:rFonts w:hint="eastAsia" w:ascii="Times New Roman" w:hAnsi="Times New Roman"/>
                <w:b w:val="0"/>
                <w:bCs/>
                <w:color w:val="000000"/>
                <w:sz w:val="21"/>
                <w:szCs w:val="21"/>
              </w:rPr>
              <w:t>08</w:t>
            </w:r>
            <w:r>
              <w:rPr>
                <w:rFonts w:hint="default" w:ascii="Times New Roman" w:hAnsi="Times New Roman"/>
                <w:b w:val="0"/>
                <w:bCs/>
                <w:color w:val="000000"/>
                <w:sz w:val="21"/>
                <w:szCs w:val="21"/>
              </w:rPr>
              <w:t>:</w:t>
            </w:r>
            <w:r>
              <w:rPr>
                <w:rFonts w:hint="eastAsia" w:ascii="Times New Roman" w:hAnsi="Times New Roman"/>
                <w:b w:val="0"/>
                <w:bCs/>
                <w:color w:val="000000"/>
                <w:sz w:val="21"/>
                <w:szCs w:val="21"/>
              </w:rPr>
              <w:t>00</w:t>
            </w:r>
          </w:p>
        </w:tc>
        <w:tc>
          <w:tcPr>
            <w:tcW w:w="834" w:type="pct"/>
            <w:noWrap w:val="0"/>
            <w:vAlign w:val="center"/>
          </w:tcPr>
          <w:p w14:paraId="754CA3A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51</w:t>
            </w:r>
          </w:p>
        </w:tc>
        <w:tc>
          <w:tcPr>
            <w:tcW w:w="814" w:type="pct"/>
            <w:noWrap w:val="0"/>
            <w:vAlign w:val="center"/>
          </w:tcPr>
          <w:p w14:paraId="5F5659F4">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rPr>
            </w:pPr>
            <w:r>
              <w:rPr>
                <w:rFonts w:hint="eastAsia" w:ascii="Times New Roman" w:hAnsi="Times New Roman"/>
                <w:b w:val="0"/>
                <w:bCs/>
                <w:color w:val="000000"/>
                <w:sz w:val="21"/>
                <w:szCs w:val="21"/>
              </w:rPr>
              <w:t>22</w:t>
            </w:r>
            <w:r>
              <w:rPr>
                <w:rFonts w:hint="default" w:ascii="Times New Roman" w:hAnsi="Times New Roman"/>
                <w:b w:val="0"/>
                <w:bCs/>
                <w:color w:val="000000"/>
                <w:sz w:val="21"/>
                <w:szCs w:val="21"/>
              </w:rPr>
              <w:t>:</w:t>
            </w:r>
            <w:r>
              <w:rPr>
                <w:rFonts w:hint="eastAsia" w:ascii="Times New Roman" w:hAnsi="Times New Roman"/>
                <w:b w:val="0"/>
                <w:bCs/>
                <w:color w:val="000000"/>
                <w:sz w:val="21"/>
                <w:szCs w:val="21"/>
              </w:rPr>
              <w:t>00</w:t>
            </w:r>
          </w:p>
        </w:tc>
        <w:tc>
          <w:tcPr>
            <w:tcW w:w="815" w:type="pct"/>
            <w:noWrap w:val="0"/>
            <w:vAlign w:val="center"/>
          </w:tcPr>
          <w:p w14:paraId="22EE55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39</w:t>
            </w:r>
          </w:p>
        </w:tc>
      </w:tr>
      <w:tr w14:paraId="4827F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8" w:type="pct"/>
            <w:vMerge w:val="continue"/>
            <w:shd w:val="clear" w:color="auto" w:fill="auto"/>
            <w:noWrap w:val="0"/>
            <w:vAlign w:val="center"/>
          </w:tcPr>
          <w:p w14:paraId="5C1910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p>
        </w:tc>
        <w:tc>
          <w:tcPr>
            <w:tcW w:w="862" w:type="pct"/>
            <w:shd w:val="clear" w:color="auto" w:fill="auto"/>
            <w:noWrap w:val="0"/>
            <w:vAlign w:val="center"/>
          </w:tcPr>
          <w:p w14:paraId="6BB429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eastAsia" w:ascii="宋体" w:hAnsi="宋体" w:cs="Times New Roman"/>
                <w:b w:val="0"/>
                <w:bCs/>
                <w:color w:val="000000"/>
                <w:sz w:val="21"/>
                <w:szCs w:val="21"/>
              </w:rPr>
              <w:t>▲</w:t>
            </w:r>
            <w:r>
              <w:rPr>
                <w:rFonts w:hint="default" w:ascii="Times New Roman" w:hAnsi="Times New Roman" w:cs="Times New Roman"/>
                <w:b w:val="0"/>
                <w:bCs/>
                <w:color w:val="000000"/>
                <w:sz w:val="21"/>
                <w:szCs w:val="21"/>
              </w:rPr>
              <w:t>2</w:t>
            </w:r>
            <w:r>
              <w:rPr>
                <w:rFonts w:hint="eastAsia" w:ascii="Times New Roman" w:hAnsi="宋体" w:cs="Times New Roman"/>
                <w:b w:val="0"/>
                <w:bCs/>
                <w:color w:val="000000"/>
                <w:sz w:val="21"/>
                <w:szCs w:val="21"/>
              </w:rPr>
              <w:t>厂界南侧</w:t>
            </w:r>
          </w:p>
        </w:tc>
        <w:tc>
          <w:tcPr>
            <w:tcW w:w="827" w:type="pct"/>
            <w:shd w:val="clear" w:color="auto" w:fill="FFFFFF"/>
            <w:noWrap w:val="0"/>
            <w:vAlign w:val="center"/>
          </w:tcPr>
          <w:p w14:paraId="0EDCFFE8">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lang w:eastAsia="zh-CN"/>
              </w:rPr>
            </w:pPr>
            <w:r>
              <w:rPr>
                <w:rFonts w:hint="eastAsia" w:ascii="Times New Roman" w:hAnsi="Times New Roman"/>
                <w:b w:val="0"/>
                <w:bCs/>
                <w:color w:val="000000"/>
                <w:sz w:val="21"/>
                <w:szCs w:val="21"/>
              </w:rPr>
              <w:t>08</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20</w:t>
            </w:r>
          </w:p>
        </w:tc>
        <w:tc>
          <w:tcPr>
            <w:tcW w:w="834" w:type="pct"/>
            <w:shd w:val="clear" w:color="auto" w:fill="FFFFFF"/>
            <w:noWrap w:val="0"/>
            <w:vAlign w:val="center"/>
          </w:tcPr>
          <w:p w14:paraId="0921F0E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50</w:t>
            </w:r>
          </w:p>
        </w:tc>
        <w:tc>
          <w:tcPr>
            <w:tcW w:w="814" w:type="pct"/>
            <w:noWrap w:val="0"/>
            <w:vAlign w:val="center"/>
          </w:tcPr>
          <w:p w14:paraId="009E14A2">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lang w:eastAsia="zh-CN"/>
              </w:rPr>
            </w:pPr>
            <w:r>
              <w:rPr>
                <w:rFonts w:hint="eastAsia" w:ascii="Times New Roman" w:hAnsi="Times New Roman"/>
                <w:b w:val="0"/>
                <w:bCs/>
                <w:color w:val="000000"/>
                <w:sz w:val="21"/>
                <w:szCs w:val="21"/>
              </w:rPr>
              <w:t>22</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20</w:t>
            </w:r>
          </w:p>
        </w:tc>
        <w:tc>
          <w:tcPr>
            <w:tcW w:w="815" w:type="pct"/>
            <w:noWrap w:val="0"/>
            <w:vAlign w:val="center"/>
          </w:tcPr>
          <w:p w14:paraId="4B67A3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39</w:t>
            </w:r>
          </w:p>
        </w:tc>
      </w:tr>
      <w:tr w14:paraId="1C609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48" w:type="pct"/>
            <w:vMerge w:val="continue"/>
            <w:shd w:val="clear" w:color="auto" w:fill="auto"/>
            <w:noWrap w:val="0"/>
            <w:vAlign w:val="center"/>
          </w:tcPr>
          <w:p w14:paraId="1475FE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p>
        </w:tc>
        <w:tc>
          <w:tcPr>
            <w:tcW w:w="862" w:type="pct"/>
            <w:shd w:val="clear" w:color="auto" w:fill="auto"/>
            <w:noWrap w:val="0"/>
            <w:vAlign w:val="center"/>
          </w:tcPr>
          <w:p w14:paraId="3F4509C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eastAsia" w:ascii="宋体" w:hAnsi="宋体" w:cs="Times New Roman"/>
                <w:b w:val="0"/>
                <w:bCs/>
                <w:color w:val="000000"/>
                <w:sz w:val="21"/>
                <w:szCs w:val="21"/>
              </w:rPr>
              <w:t>▲</w:t>
            </w:r>
            <w:r>
              <w:rPr>
                <w:rFonts w:hint="default" w:ascii="Times New Roman" w:hAnsi="Times New Roman" w:cs="Times New Roman"/>
                <w:b w:val="0"/>
                <w:bCs/>
                <w:color w:val="000000"/>
                <w:sz w:val="21"/>
                <w:szCs w:val="21"/>
              </w:rPr>
              <w:t>3</w:t>
            </w:r>
            <w:r>
              <w:rPr>
                <w:rFonts w:hint="eastAsia" w:ascii="Times New Roman" w:hAnsi="宋体" w:cs="Times New Roman"/>
                <w:b w:val="0"/>
                <w:bCs/>
                <w:color w:val="000000"/>
                <w:sz w:val="21"/>
                <w:szCs w:val="21"/>
              </w:rPr>
              <w:t>厂界西侧</w:t>
            </w:r>
          </w:p>
        </w:tc>
        <w:tc>
          <w:tcPr>
            <w:tcW w:w="827" w:type="pct"/>
            <w:shd w:val="clear" w:color="auto" w:fill="FFFFFF"/>
            <w:noWrap w:val="0"/>
            <w:vAlign w:val="center"/>
          </w:tcPr>
          <w:p w14:paraId="469DF940">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lang w:eastAsia="zh-CN"/>
              </w:rPr>
            </w:pPr>
            <w:r>
              <w:rPr>
                <w:rFonts w:hint="eastAsia" w:ascii="Times New Roman" w:hAnsi="Times New Roman"/>
                <w:b w:val="0"/>
                <w:bCs/>
                <w:color w:val="000000"/>
                <w:sz w:val="21"/>
                <w:szCs w:val="21"/>
              </w:rPr>
              <w:t>08</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40</w:t>
            </w:r>
          </w:p>
        </w:tc>
        <w:tc>
          <w:tcPr>
            <w:tcW w:w="834" w:type="pct"/>
            <w:shd w:val="clear" w:color="auto" w:fill="FFFFFF"/>
            <w:noWrap w:val="0"/>
            <w:vAlign w:val="center"/>
          </w:tcPr>
          <w:p w14:paraId="44EF5D5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50</w:t>
            </w:r>
          </w:p>
        </w:tc>
        <w:tc>
          <w:tcPr>
            <w:tcW w:w="814" w:type="pct"/>
            <w:noWrap w:val="0"/>
            <w:vAlign w:val="center"/>
          </w:tcPr>
          <w:p w14:paraId="17334079">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rPr>
            </w:pPr>
            <w:r>
              <w:rPr>
                <w:rFonts w:hint="eastAsia" w:ascii="Times New Roman" w:hAnsi="Times New Roman"/>
                <w:b w:val="0"/>
                <w:bCs/>
                <w:color w:val="000000"/>
                <w:sz w:val="21"/>
                <w:szCs w:val="21"/>
              </w:rPr>
              <w:t>22</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40</w:t>
            </w:r>
          </w:p>
        </w:tc>
        <w:tc>
          <w:tcPr>
            <w:tcW w:w="815" w:type="pct"/>
            <w:noWrap w:val="0"/>
            <w:vAlign w:val="center"/>
          </w:tcPr>
          <w:p w14:paraId="45B1282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40</w:t>
            </w:r>
          </w:p>
        </w:tc>
      </w:tr>
      <w:tr w14:paraId="36271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48" w:type="pct"/>
            <w:vMerge w:val="continue"/>
            <w:shd w:val="clear" w:color="auto" w:fill="auto"/>
            <w:noWrap w:val="0"/>
            <w:vAlign w:val="center"/>
          </w:tcPr>
          <w:p w14:paraId="5145D0E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p>
        </w:tc>
        <w:tc>
          <w:tcPr>
            <w:tcW w:w="862" w:type="pct"/>
            <w:shd w:val="clear" w:color="auto" w:fill="auto"/>
            <w:noWrap w:val="0"/>
            <w:vAlign w:val="center"/>
          </w:tcPr>
          <w:p w14:paraId="356FA0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eastAsia" w:ascii="宋体" w:hAnsi="宋体" w:cs="Times New Roman"/>
                <w:b w:val="0"/>
                <w:bCs/>
                <w:color w:val="000000"/>
                <w:sz w:val="21"/>
                <w:szCs w:val="21"/>
              </w:rPr>
              <w:t>▲</w:t>
            </w:r>
            <w:r>
              <w:rPr>
                <w:rFonts w:hint="default" w:ascii="Times New Roman" w:hAnsi="Times New Roman" w:cs="Times New Roman"/>
                <w:b w:val="0"/>
                <w:bCs/>
                <w:color w:val="000000"/>
                <w:sz w:val="21"/>
                <w:szCs w:val="21"/>
              </w:rPr>
              <w:t>4</w:t>
            </w:r>
            <w:r>
              <w:rPr>
                <w:rFonts w:hint="eastAsia" w:ascii="Times New Roman" w:hAnsi="宋体" w:cs="Times New Roman"/>
                <w:b w:val="0"/>
                <w:bCs/>
                <w:color w:val="000000"/>
                <w:sz w:val="21"/>
                <w:szCs w:val="21"/>
              </w:rPr>
              <w:t>厂界北侧</w:t>
            </w:r>
          </w:p>
        </w:tc>
        <w:tc>
          <w:tcPr>
            <w:tcW w:w="827" w:type="pct"/>
            <w:shd w:val="clear" w:color="auto" w:fill="FFFFFF"/>
            <w:noWrap w:val="0"/>
            <w:vAlign w:val="center"/>
          </w:tcPr>
          <w:p w14:paraId="069873FE">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rPr>
            </w:pPr>
            <w:r>
              <w:rPr>
                <w:rFonts w:hint="eastAsia" w:ascii="Times New Roman" w:hAnsi="Times New Roman"/>
                <w:b w:val="0"/>
                <w:bCs/>
                <w:color w:val="000000"/>
                <w:sz w:val="21"/>
                <w:szCs w:val="21"/>
              </w:rPr>
              <w:t>0</w:t>
            </w:r>
            <w:r>
              <w:rPr>
                <w:rFonts w:hint="eastAsia" w:ascii="Times New Roman" w:hAnsi="Times New Roman"/>
                <w:b w:val="0"/>
                <w:bCs/>
                <w:color w:val="000000"/>
                <w:sz w:val="21"/>
                <w:szCs w:val="21"/>
                <w:lang w:eastAsia="zh-CN"/>
              </w:rPr>
              <w:t>9</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00</w:t>
            </w:r>
          </w:p>
        </w:tc>
        <w:tc>
          <w:tcPr>
            <w:tcW w:w="834" w:type="pct"/>
            <w:shd w:val="clear" w:color="auto" w:fill="FFFFFF"/>
            <w:noWrap w:val="0"/>
            <w:vAlign w:val="center"/>
          </w:tcPr>
          <w:p w14:paraId="787B9B2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51</w:t>
            </w:r>
          </w:p>
        </w:tc>
        <w:tc>
          <w:tcPr>
            <w:tcW w:w="814" w:type="pct"/>
            <w:noWrap w:val="0"/>
            <w:vAlign w:val="center"/>
          </w:tcPr>
          <w:p w14:paraId="63667437">
            <w:pPr>
              <w:pStyle w:val="3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b w:val="0"/>
                <w:bCs/>
                <w:color w:val="000000"/>
                <w:sz w:val="21"/>
                <w:szCs w:val="21"/>
                <w:lang w:eastAsia="zh-CN"/>
              </w:rPr>
            </w:pPr>
            <w:r>
              <w:rPr>
                <w:rFonts w:hint="eastAsia" w:ascii="Times New Roman" w:hAnsi="Times New Roman"/>
                <w:b w:val="0"/>
                <w:bCs/>
                <w:color w:val="000000"/>
                <w:sz w:val="21"/>
                <w:szCs w:val="21"/>
              </w:rPr>
              <w:t>2</w:t>
            </w:r>
            <w:r>
              <w:rPr>
                <w:rFonts w:hint="eastAsia" w:ascii="Times New Roman" w:hAnsi="Times New Roman"/>
                <w:b w:val="0"/>
                <w:bCs/>
                <w:color w:val="000000"/>
                <w:sz w:val="21"/>
                <w:szCs w:val="21"/>
                <w:lang w:eastAsia="zh-CN"/>
              </w:rPr>
              <w:t>3</w:t>
            </w:r>
            <w:r>
              <w:rPr>
                <w:rFonts w:hint="default" w:ascii="Times New Roman" w:hAnsi="Times New Roman"/>
                <w:b w:val="0"/>
                <w:bCs/>
                <w:color w:val="000000"/>
                <w:sz w:val="21"/>
                <w:szCs w:val="21"/>
              </w:rPr>
              <w:t>:</w:t>
            </w:r>
            <w:r>
              <w:rPr>
                <w:rFonts w:hint="eastAsia" w:ascii="Times New Roman" w:hAnsi="Times New Roman"/>
                <w:b w:val="0"/>
                <w:bCs/>
                <w:color w:val="000000"/>
                <w:sz w:val="21"/>
                <w:szCs w:val="21"/>
                <w:lang w:eastAsia="zh-CN"/>
              </w:rPr>
              <w:t>00</w:t>
            </w:r>
          </w:p>
        </w:tc>
        <w:tc>
          <w:tcPr>
            <w:tcW w:w="815" w:type="pct"/>
            <w:noWrap w:val="0"/>
            <w:vAlign w:val="center"/>
          </w:tcPr>
          <w:p w14:paraId="2570F2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40</w:t>
            </w:r>
          </w:p>
        </w:tc>
      </w:tr>
      <w:tr w14:paraId="43249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710" w:type="pct"/>
            <w:gridSpan w:val="2"/>
            <w:shd w:val="clear" w:color="auto" w:fill="auto"/>
            <w:noWrap w:val="0"/>
            <w:vAlign w:val="center"/>
          </w:tcPr>
          <w:p w14:paraId="35A371E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000000"/>
                <w:sz w:val="21"/>
                <w:szCs w:val="21"/>
              </w:rPr>
            </w:pPr>
            <w:r>
              <w:rPr>
                <w:rFonts w:hint="eastAsia" w:ascii="Times New Roman" w:hAnsi="Times New Roman" w:cs="Times New Roman"/>
                <w:b w:val="0"/>
                <w:bCs/>
                <w:color w:val="000000"/>
                <w:sz w:val="21"/>
                <w:szCs w:val="21"/>
              </w:rPr>
              <w:t>标准限值</w:t>
            </w:r>
          </w:p>
        </w:tc>
        <w:tc>
          <w:tcPr>
            <w:tcW w:w="1661" w:type="pct"/>
            <w:gridSpan w:val="2"/>
            <w:shd w:val="clear" w:color="auto" w:fill="FFFFFF"/>
            <w:noWrap w:val="0"/>
            <w:vAlign w:val="center"/>
          </w:tcPr>
          <w:p w14:paraId="42609AF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60</w:t>
            </w:r>
          </w:p>
        </w:tc>
        <w:tc>
          <w:tcPr>
            <w:tcW w:w="1629" w:type="pct"/>
            <w:gridSpan w:val="2"/>
            <w:noWrap w:val="0"/>
            <w:vAlign w:val="center"/>
          </w:tcPr>
          <w:p w14:paraId="2C1CDD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kern w:val="0"/>
                <w:sz w:val="21"/>
                <w:szCs w:val="21"/>
              </w:rPr>
            </w:pPr>
            <w:r>
              <w:rPr>
                <w:rFonts w:hint="eastAsia" w:ascii="Times New Roman" w:hAnsi="Times New Roman" w:cs="Times New Roman"/>
                <w:b w:val="0"/>
                <w:bCs/>
                <w:kern w:val="0"/>
                <w:sz w:val="21"/>
                <w:szCs w:val="21"/>
              </w:rPr>
              <w:t>50</w:t>
            </w:r>
          </w:p>
        </w:tc>
      </w:tr>
    </w:tbl>
    <w:p w14:paraId="1AFEFB8D">
      <w:pPr>
        <w:pStyle w:val="6"/>
        <w:bidi w:val="0"/>
        <w:rPr>
          <w:highlight w:val="none"/>
        </w:rPr>
      </w:pPr>
      <w:r>
        <w:rPr>
          <w:highlight w:val="none"/>
        </w:rPr>
        <w:t>4.2.4.2声环境质量现状评价</w:t>
      </w:r>
    </w:p>
    <w:p w14:paraId="606893C4">
      <w:pPr>
        <w:bidi w:val="0"/>
        <w:rPr>
          <w:highlight w:val="none"/>
          <w:lang w:val="zh-CN"/>
        </w:rPr>
      </w:pPr>
      <w:r>
        <w:rPr>
          <w:highlight w:val="none"/>
          <w:lang w:val="zh-CN"/>
        </w:rPr>
        <w:t>（1）评价因子</w:t>
      </w:r>
    </w:p>
    <w:p w14:paraId="7F4D3A9E">
      <w:pPr>
        <w:bidi w:val="0"/>
        <w:rPr>
          <w:highlight w:val="none"/>
          <w:lang w:val="zh-CN"/>
        </w:rPr>
      </w:pPr>
      <w:r>
        <w:rPr>
          <w:highlight w:val="none"/>
          <w:lang w:val="zh-CN"/>
        </w:rPr>
        <w:t>选择等效连续A声级Leq（A）为本项目环境噪声的评价因子。</w:t>
      </w:r>
    </w:p>
    <w:p w14:paraId="7520EAC5">
      <w:pPr>
        <w:bidi w:val="0"/>
        <w:rPr>
          <w:highlight w:val="none"/>
          <w:lang w:val="zh-CN"/>
        </w:rPr>
      </w:pPr>
      <w:r>
        <w:rPr>
          <w:highlight w:val="none"/>
          <w:lang w:val="zh-CN"/>
        </w:rPr>
        <w:t>（2）评价方法</w:t>
      </w:r>
    </w:p>
    <w:p w14:paraId="5AEDD13E">
      <w:pPr>
        <w:bidi w:val="0"/>
        <w:rPr>
          <w:highlight w:val="none"/>
          <w:lang w:val="zh-CN"/>
        </w:rPr>
      </w:pPr>
      <w:r>
        <w:rPr>
          <w:highlight w:val="none"/>
          <w:lang w:val="zh-CN"/>
        </w:rPr>
        <w:t>直接比较法。</w:t>
      </w:r>
    </w:p>
    <w:p w14:paraId="5BE5AC83">
      <w:pPr>
        <w:bidi w:val="0"/>
        <w:rPr>
          <w:highlight w:val="none"/>
          <w:lang w:val="zh-CN"/>
        </w:rPr>
      </w:pPr>
      <w:r>
        <w:rPr>
          <w:highlight w:val="none"/>
          <w:lang w:val="zh-CN"/>
        </w:rPr>
        <w:t>（3）评价标准</w:t>
      </w:r>
    </w:p>
    <w:p w14:paraId="5F862241">
      <w:pPr>
        <w:bidi w:val="0"/>
        <w:rPr>
          <w:highlight w:val="none"/>
          <w:lang w:val="zh-CN"/>
        </w:rPr>
      </w:pPr>
      <w:r>
        <w:rPr>
          <w:highlight w:val="none"/>
          <w:lang w:val="zh-CN"/>
        </w:rPr>
        <w:t>评价标准采用厂界《声环境质量标准》（GB3096-2008）中的</w:t>
      </w:r>
      <w:r>
        <w:rPr>
          <w:rFonts w:hint="eastAsia"/>
          <w:highlight w:val="none"/>
          <w:lang w:val="en-US" w:eastAsia="zh-CN"/>
        </w:rPr>
        <w:t>2</w:t>
      </w:r>
      <w:r>
        <w:rPr>
          <w:highlight w:val="none"/>
          <w:lang w:val="zh-CN"/>
        </w:rPr>
        <w:t>类标准，即：昼间</w:t>
      </w:r>
      <w:r>
        <w:rPr>
          <w:rFonts w:hint="eastAsia"/>
          <w:highlight w:val="none"/>
          <w:lang w:val="en-US" w:eastAsia="zh-CN"/>
        </w:rPr>
        <w:t>60</w:t>
      </w:r>
      <w:r>
        <w:rPr>
          <w:highlight w:val="none"/>
          <w:lang w:val="zh-CN"/>
        </w:rPr>
        <w:t>dB</w:t>
      </w:r>
      <w:r>
        <w:rPr>
          <w:rFonts w:hint="eastAsia"/>
          <w:highlight w:val="none"/>
          <w:lang w:val="zh-CN"/>
        </w:rPr>
        <w:t>（</w:t>
      </w:r>
      <w:r>
        <w:rPr>
          <w:highlight w:val="none"/>
          <w:lang w:val="zh-CN"/>
        </w:rPr>
        <w:t>A</w:t>
      </w:r>
      <w:r>
        <w:rPr>
          <w:rFonts w:hint="eastAsia"/>
          <w:highlight w:val="none"/>
          <w:lang w:val="zh-CN"/>
        </w:rPr>
        <w:t>）</w:t>
      </w:r>
      <w:r>
        <w:rPr>
          <w:highlight w:val="none"/>
          <w:lang w:val="zh-CN"/>
        </w:rPr>
        <w:t>，夜间</w:t>
      </w:r>
      <w:r>
        <w:rPr>
          <w:rFonts w:hint="eastAsia"/>
          <w:highlight w:val="none"/>
          <w:lang w:val="en-US" w:eastAsia="zh-CN"/>
        </w:rPr>
        <w:t>50</w:t>
      </w:r>
      <w:r>
        <w:rPr>
          <w:highlight w:val="none"/>
          <w:lang w:val="zh-CN"/>
        </w:rPr>
        <w:t>dB</w:t>
      </w:r>
      <w:r>
        <w:rPr>
          <w:rFonts w:hint="eastAsia"/>
          <w:highlight w:val="none"/>
          <w:lang w:val="zh-CN"/>
        </w:rPr>
        <w:t>（</w:t>
      </w:r>
      <w:r>
        <w:rPr>
          <w:highlight w:val="none"/>
          <w:lang w:val="zh-CN"/>
        </w:rPr>
        <w:t>A</w:t>
      </w:r>
      <w:r>
        <w:rPr>
          <w:rFonts w:hint="eastAsia"/>
          <w:highlight w:val="none"/>
          <w:lang w:val="zh-CN"/>
        </w:rPr>
        <w:t>）</w:t>
      </w:r>
      <w:r>
        <w:rPr>
          <w:highlight w:val="none"/>
          <w:lang w:val="zh-CN"/>
        </w:rPr>
        <w:t>。</w:t>
      </w:r>
    </w:p>
    <w:p w14:paraId="2B90B6DA">
      <w:pPr>
        <w:bidi w:val="0"/>
        <w:rPr>
          <w:highlight w:val="none"/>
          <w:lang w:val="zh-CN"/>
        </w:rPr>
      </w:pPr>
      <w:r>
        <w:rPr>
          <w:highlight w:val="none"/>
          <w:lang w:val="zh-CN"/>
        </w:rPr>
        <w:t>（4）评价结论</w:t>
      </w:r>
    </w:p>
    <w:p w14:paraId="71A6AFA0">
      <w:pPr>
        <w:bidi w:val="0"/>
        <w:rPr>
          <w:highlight w:val="none"/>
          <w:lang w:val="zh-CN"/>
        </w:rPr>
      </w:pPr>
      <w:r>
        <w:rPr>
          <w:highlight w:val="none"/>
          <w:lang w:val="zh-CN"/>
        </w:rPr>
        <w:t>通过将环境噪声现状监测结果与标准比较，</w:t>
      </w:r>
      <w:r>
        <w:rPr>
          <w:rFonts w:hint="eastAsia"/>
          <w:highlight w:val="none"/>
          <w:lang w:val="en-US" w:eastAsia="zh-CN"/>
        </w:rPr>
        <w:t>厂界</w:t>
      </w:r>
      <w:r>
        <w:rPr>
          <w:highlight w:val="none"/>
          <w:lang w:val="zh-CN"/>
        </w:rPr>
        <w:t>监测点环境噪声昼夜值均满足《声环境质量标准》（GB3096-2008）中的</w:t>
      </w:r>
      <w:r>
        <w:rPr>
          <w:rFonts w:hint="eastAsia"/>
          <w:highlight w:val="none"/>
          <w:lang w:val="en-US" w:eastAsia="zh-CN"/>
        </w:rPr>
        <w:t>2</w:t>
      </w:r>
      <w:r>
        <w:rPr>
          <w:highlight w:val="none"/>
          <w:lang w:val="zh-CN"/>
        </w:rPr>
        <w:t>类标准。</w:t>
      </w:r>
    </w:p>
    <w:p w14:paraId="39590C6B">
      <w:pPr>
        <w:pStyle w:val="5"/>
        <w:bidi w:val="0"/>
        <w:rPr>
          <w:rFonts w:hint="default"/>
          <w:highlight w:val="none"/>
          <w:lang w:val="en-US"/>
        </w:rPr>
      </w:pPr>
      <w:bookmarkStart w:id="325" w:name="_Toc810"/>
      <w:bookmarkStart w:id="326" w:name="_Toc9225"/>
      <w:bookmarkStart w:id="327" w:name="_Toc11631"/>
      <w:r>
        <w:rPr>
          <w:rFonts w:hint="default"/>
          <w:highlight w:val="none"/>
          <w:lang w:val="en-US"/>
        </w:rPr>
        <w:t>4.2.5</w:t>
      </w:r>
      <w:r>
        <w:rPr>
          <w:highlight w:val="none"/>
          <w:lang w:eastAsia="zh-CN"/>
        </w:rPr>
        <w:t>土壤现状监测</w:t>
      </w:r>
      <w:bookmarkEnd w:id="325"/>
      <w:bookmarkEnd w:id="326"/>
      <w:bookmarkEnd w:id="327"/>
    </w:p>
    <w:p w14:paraId="412FFA91">
      <w:pPr>
        <w:pStyle w:val="6"/>
        <w:bidi w:val="0"/>
        <w:rPr>
          <w:rFonts w:hint="eastAsia"/>
          <w:highlight w:val="none"/>
          <w:lang w:val="en-US" w:eastAsia="zh-CN"/>
        </w:rPr>
      </w:pPr>
      <w:r>
        <w:rPr>
          <w:rFonts w:hint="default"/>
          <w:highlight w:val="none"/>
          <w:lang w:val="en-US" w:eastAsia="zh-CN"/>
        </w:rPr>
        <w:t>4.2.5.1</w:t>
      </w:r>
      <w:r>
        <w:rPr>
          <w:rFonts w:hint="eastAsia"/>
          <w:highlight w:val="none"/>
          <w:lang w:val="en-US" w:eastAsia="zh-CN"/>
        </w:rPr>
        <w:t>土壤现状监测</w:t>
      </w:r>
    </w:p>
    <w:p w14:paraId="199008DB">
      <w:pPr>
        <w:spacing w:line="360" w:lineRule="auto"/>
        <w:ind w:firstLine="480" w:firstLineChars="200"/>
        <w:rPr>
          <w:rFonts w:hint="eastAsia" w:cs="Times New Roman"/>
          <w:snapToGrid w:val="0"/>
          <w:spacing w:val="0"/>
          <w:kern w:val="24"/>
          <w:position w:val="0"/>
          <w:sz w:val="24"/>
          <w:highlight w:val="none"/>
          <w:lang w:val="en-US" w:eastAsia="zh-CN" w:bidi="ar"/>
        </w:rPr>
      </w:pPr>
      <w:bookmarkStart w:id="328" w:name="_Toc14306"/>
      <w:bookmarkStart w:id="329" w:name="_Toc25004"/>
      <w:r>
        <w:rPr>
          <w:rFonts w:hint="eastAsia" w:cs="Times New Roman"/>
          <w:snapToGrid w:val="0"/>
          <w:spacing w:val="0"/>
          <w:kern w:val="24"/>
          <w:position w:val="0"/>
          <w:sz w:val="24"/>
          <w:highlight w:val="none"/>
          <w:lang w:val="en-US" w:eastAsia="zh-CN" w:bidi="ar"/>
        </w:rPr>
        <w:t>（1）土壤理化性质调查</w:t>
      </w:r>
    </w:p>
    <w:bookmarkEnd w:id="328"/>
    <w:p w14:paraId="5232189B">
      <w:pPr>
        <w:bidi w:val="0"/>
        <w:rPr>
          <w:rFonts w:hint="default" w:ascii="Times New Roman" w:hAnsi="宋体" w:eastAsia="Times New Roman" w:cs="宋体"/>
          <w:spacing w:val="0"/>
          <w:position w:val="0"/>
          <w:highlight w:val="none"/>
          <w:lang w:eastAsia="zh-CN"/>
        </w:rPr>
      </w:pPr>
      <w:r>
        <w:rPr>
          <w:rFonts w:hint="eastAsia" w:ascii="宋体" w:hAnsi="宋体" w:eastAsia="宋体" w:cs="宋体"/>
          <w:spacing w:val="0"/>
          <w:kern w:val="0"/>
          <w:position w:val="0"/>
          <w:sz w:val="24"/>
          <w:szCs w:val="24"/>
          <w:highlight w:val="none"/>
          <w:lang w:val="en-US" w:eastAsia="zh-CN" w:bidi="ar"/>
        </w:rPr>
        <w:t>本项目所在区域土壤理化特性见</w:t>
      </w:r>
      <w:r>
        <w:rPr>
          <w:rFonts w:hint="eastAsia" w:ascii="宋体" w:hAnsi="宋体" w:cs="宋体"/>
          <w:spacing w:val="0"/>
          <w:kern w:val="0"/>
          <w:position w:val="0"/>
          <w:sz w:val="24"/>
          <w:szCs w:val="24"/>
          <w:highlight w:val="none"/>
          <w:lang w:val="en-US" w:eastAsia="zh-CN" w:bidi="ar"/>
        </w:rPr>
        <w:t>下</w:t>
      </w:r>
      <w:r>
        <w:rPr>
          <w:rFonts w:hint="eastAsia" w:ascii="宋体" w:hAnsi="宋体" w:eastAsia="宋体" w:cs="宋体"/>
          <w:spacing w:val="0"/>
          <w:kern w:val="0"/>
          <w:position w:val="0"/>
          <w:sz w:val="24"/>
          <w:szCs w:val="24"/>
          <w:highlight w:val="none"/>
          <w:lang w:val="en-US" w:eastAsia="zh-CN" w:bidi="ar"/>
        </w:rPr>
        <w:t>表。</w:t>
      </w:r>
    </w:p>
    <w:p w14:paraId="49C7359C">
      <w:pPr>
        <w:pStyle w:val="8"/>
        <w:bidi w:val="0"/>
        <w:rPr>
          <w:highlight w:val="none"/>
          <w:lang w:eastAsia="zh-CN"/>
        </w:rPr>
      </w:pPr>
    </w:p>
    <w:p w14:paraId="74B1ABAE">
      <w:pPr>
        <w:rPr>
          <w:highlight w:val="none"/>
          <w:lang w:eastAsia="zh-CN"/>
        </w:rPr>
      </w:pPr>
    </w:p>
    <w:p w14:paraId="45B1BFE7">
      <w:pPr>
        <w:pStyle w:val="7"/>
        <w:bidi w:val="0"/>
        <w:rPr>
          <w:highlight w:val="none"/>
        </w:rPr>
      </w:pPr>
      <w:r>
        <w:rPr>
          <w:highlight w:val="none"/>
          <w:lang w:eastAsia="zh-CN"/>
        </w:rPr>
        <w:t>表</w:t>
      </w:r>
      <w:r>
        <w:rPr>
          <w:rFonts w:hint="default"/>
          <w:highlight w:val="none"/>
          <w:lang w:eastAsia="zh-CN"/>
        </w:rPr>
        <w:t>4</w:t>
      </w:r>
      <w:r>
        <w:rPr>
          <w:rFonts w:hint="eastAsia"/>
          <w:highlight w:val="none"/>
          <w:lang w:val="en-US" w:eastAsia="zh-CN"/>
        </w:rPr>
        <w:t>-</w:t>
      </w:r>
      <w:r>
        <w:rPr>
          <w:rFonts w:hint="default"/>
          <w:highlight w:val="none"/>
          <w:lang w:eastAsia="zh-CN"/>
        </w:rPr>
        <w:t>2-1</w:t>
      </w:r>
      <w:r>
        <w:rPr>
          <w:rFonts w:hint="eastAsia"/>
          <w:highlight w:val="none"/>
          <w:lang w:val="en-US" w:eastAsia="zh-CN"/>
        </w:rPr>
        <w:t>5</w:t>
      </w:r>
      <w:r>
        <w:rPr>
          <w:highlight w:val="none"/>
          <w:lang w:eastAsia="zh-CN"/>
        </w:rPr>
        <w:t>土壤现场记录及理化性测定情况一览表</w:t>
      </w:r>
    </w:p>
    <w:tbl>
      <w:tblPr>
        <w:tblStyle w:val="74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562"/>
        <w:gridCol w:w="2313"/>
        <w:gridCol w:w="1871"/>
        <w:gridCol w:w="1964"/>
        <w:gridCol w:w="1596"/>
      </w:tblGrid>
      <w:tr w14:paraId="458261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875" w:type="dxa"/>
            <w:gridSpan w:val="2"/>
            <w:tcBorders>
              <w:tl2br w:val="nil"/>
              <w:tr2bl w:val="nil"/>
            </w:tcBorders>
            <w:shd w:val="clear" w:color="auto" w:fill="auto"/>
            <w:vAlign w:val="center"/>
          </w:tcPr>
          <w:p w14:paraId="45C042C8">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点号</w:t>
            </w:r>
          </w:p>
        </w:tc>
        <w:tc>
          <w:tcPr>
            <w:tcW w:w="1871" w:type="dxa"/>
            <w:tcBorders>
              <w:tl2br w:val="nil"/>
              <w:tr2bl w:val="nil"/>
            </w:tcBorders>
            <w:shd w:val="clear" w:color="auto" w:fill="auto"/>
            <w:vAlign w:val="center"/>
          </w:tcPr>
          <w:p w14:paraId="1635E4B9">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TR3-1</w:t>
            </w:r>
          </w:p>
        </w:tc>
        <w:tc>
          <w:tcPr>
            <w:tcW w:w="1964" w:type="dxa"/>
            <w:tcBorders>
              <w:tl2br w:val="nil"/>
              <w:tr2bl w:val="nil"/>
            </w:tcBorders>
            <w:shd w:val="clear" w:color="auto" w:fill="auto"/>
            <w:vAlign w:val="center"/>
          </w:tcPr>
          <w:p w14:paraId="7C29FCD7">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TR3-2</w:t>
            </w:r>
          </w:p>
        </w:tc>
        <w:tc>
          <w:tcPr>
            <w:tcW w:w="1596" w:type="dxa"/>
            <w:tcBorders>
              <w:tl2br w:val="nil"/>
              <w:tr2bl w:val="nil"/>
            </w:tcBorders>
            <w:shd w:val="clear" w:color="auto" w:fill="auto"/>
            <w:vAlign w:val="center"/>
          </w:tcPr>
          <w:p w14:paraId="5B942271">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TR3-3</w:t>
            </w:r>
          </w:p>
        </w:tc>
      </w:tr>
      <w:tr w14:paraId="336837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8" w:hRule="atLeast"/>
          <w:jc w:val="center"/>
        </w:trPr>
        <w:tc>
          <w:tcPr>
            <w:tcW w:w="2875" w:type="dxa"/>
            <w:gridSpan w:val="2"/>
            <w:tcBorders>
              <w:tl2br w:val="nil"/>
              <w:tr2bl w:val="nil"/>
            </w:tcBorders>
            <w:shd w:val="clear" w:color="auto" w:fill="auto"/>
            <w:vAlign w:val="center"/>
          </w:tcPr>
          <w:p w14:paraId="73E0D39D">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层次</w:t>
            </w:r>
          </w:p>
        </w:tc>
        <w:tc>
          <w:tcPr>
            <w:tcW w:w="1871" w:type="dxa"/>
            <w:tcBorders>
              <w:tl2br w:val="nil"/>
              <w:tr2bl w:val="nil"/>
            </w:tcBorders>
            <w:shd w:val="clear" w:color="auto" w:fill="auto"/>
            <w:vAlign w:val="center"/>
          </w:tcPr>
          <w:p w14:paraId="117D04DF">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0.2m</w:t>
            </w:r>
          </w:p>
        </w:tc>
        <w:tc>
          <w:tcPr>
            <w:tcW w:w="1964" w:type="dxa"/>
            <w:tcBorders>
              <w:tl2br w:val="nil"/>
              <w:tr2bl w:val="nil"/>
            </w:tcBorders>
            <w:shd w:val="clear" w:color="auto" w:fill="auto"/>
            <w:vAlign w:val="center"/>
          </w:tcPr>
          <w:p w14:paraId="0AD7D70F">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1.0m</w:t>
            </w:r>
          </w:p>
        </w:tc>
        <w:tc>
          <w:tcPr>
            <w:tcW w:w="1596" w:type="dxa"/>
            <w:tcBorders>
              <w:tl2br w:val="nil"/>
              <w:tr2bl w:val="nil"/>
            </w:tcBorders>
            <w:shd w:val="clear" w:color="auto" w:fill="auto"/>
            <w:vAlign w:val="center"/>
          </w:tcPr>
          <w:p w14:paraId="613B48BE">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2.0m</w:t>
            </w:r>
          </w:p>
        </w:tc>
      </w:tr>
      <w:tr w14:paraId="74A333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5" w:hRule="atLeast"/>
          <w:jc w:val="center"/>
        </w:trPr>
        <w:tc>
          <w:tcPr>
            <w:tcW w:w="562" w:type="dxa"/>
            <w:vMerge w:val="restart"/>
            <w:tcBorders>
              <w:tl2br w:val="nil"/>
              <w:tr2bl w:val="nil"/>
            </w:tcBorders>
            <w:shd w:val="clear" w:color="auto" w:fill="auto"/>
            <w:vAlign w:val="center"/>
          </w:tcPr>
          <w:p w14:paraId="7E9A79DA">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现场记录</w:t>
            </w:r>
          </w:p>
        </w:tc>
        <w:tc>
          <w:tcPr>
            <w:tcW w:w="2313" w:type="dxa"/>
            <w:tcBorders>
              <w:tl2br w:val="nil"/>
              <w:tr2bl w:val="nil"/>
            </w:tcBorders>
            <w:shd w:val="clear" w:color="auto" w:fill="auto"/>
            <w:vAlign w:val="center"/>
          </w:tcPr>
          <w:p w14:paraId="24FF7710">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颜色</w:t>
            </w:r>
          </w:p>
        </w:tc>
        <w:tc>
          <w:tcPr>
            <w:tcW w:w="1871" w:type="dxa"/>
            <w:tcBorders>
              <w:tl2br w:val="nil"/>
              <w:tr2bl w:val="nil"/>
            </w:tcBorders>
            <w:shd w:val="clear" w:color="auto" w:fill="auto"/>
            <w:vAlign w:val="center"/>
          </w:tcPr>
          <w:p w14:paraId="64F68B79">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zh-CN"/>
              </w:rPr>
              <w:t>棕色</w:t>
            </w:r>
          </w:p>
        </w:tc>
        <w:tc>
          <w:tcPr>
            <w:tcW w:w="1964" w:type="dxa"/>
            <w:tcBorders>
              <w:tl2br w:val="nil"/>
              <w:tr2bl w:val="nil"/>
            </w:tcBorders>
            <w:shd w:val="clear" w:color="auto" w:fill="auto"/>
            <w:vAlign w:val="center"/>
          </w:tcPr>
          <w:p w14:paraId="6D3AD7E9">
            <w:pPr>
              <w:pStyle w:val="8"/>
              <w:suppressLineNumbers w:val="0"/>
              <w:bidi w:val="0"/>
              <w:spacing w:before="0" w:beforeAutospacing="0" w:after="0" w:afterAutospacing="0"/>
              <w:ind w:left="0" w:right="0"/>
              <w:rPr>
                <w:rFonts w:hint="eastAsia"/>
                <w:snapToGrid w:val="0"/>
                <w:highlight w:val="none"/>
                <w:lang w:val="en-US" w:eastAsia="en-US"/>
              </w:rPr>
            </w:pPr>
            <w:r>
              <w:rPr>
                <w:rFonts w:hint="eastAsia"/>
                <w:snapToGrid w:val="0"/>
                <w:highlight w:val="none"/>
                <w:lang w:val="en-US" w:eastAsia="zh-CN"/>
              </w:rPr>
              <w:t>棕色</w:t>
            </w:r>
          </w:p>
        </w:tc>
        <w:tc>
          <w:tcPr>
            <w:tcW w:w="1596" w:type="dxa"/>
            <w:tcBorders>
              <w:tl2br w:val="nil"/>
              <w:tr2bl w:val="nil"/>
            </w:tcBorders>
            <w:shd w:val="clear" w:color="auto" w:fill="auto"/>
            <w:vAlign w:val="center"/>
          </w:tcPr>
          <w:p w14:paraId="474709B7">
            <w:pPr>
              <w:keepNext w:val="0"/>
              <w:keepLines w:val="0"/>
              <w:suppressLineNumbers w:val="0"/>
              <w:bidi w:val="0"/>
              <w:spacing w:before="0" w:beforeAutospacing="0" w:after="0" w:afterAutospacing="0"/>
              <w:ind w:left="0" w:right="0" w:firstLine="420" w:firstLineChars="200"/>
              <w:rPr>
                <w:rFonts w:hint="eastAsia" w:ascii="Times New Roman" w:hAnsi="Times New Roman" w:eastAsia="宋体" w:cs="Times New Roman"/>
                <w:snapToGrid w:val="0"/>
                <w:color w:val="000000"/>
                <w:kern w:val="0"/>
                <w:sz w:val="21"/>
                <w:szCs w:val="24"/>
                <w:highlight w:val="none"/>
                <w:lang w:val="en-US" w:eastAsia="en-US" w:bidi="ar-SA"/>
              </w:rPr>
            </w:pPr>
            <w:r>
              <w:rPr>
                <w:rFonts w:hint="eastAsia" w:ascii="Times New Roman" w:hAnsi="Times New Roman" w:eastAsia="宋体" w:cs="Times New Roman"/>
                <w:snapToGrid w:val="0"/>
                <w:color w:val="000000"/>
                <w:kern w:val="0"/>
                <w:sz w:val="21"/>
                <w:szCs w:val="24"/>
                <w:highlight w:val="none"/>
                <w:lang w:val="en-US" w:eastAsia="zh-CN" w:bidi="ar-SA"/>
              </w:rPr>
              <w:t>棕色</w:t>
            </w:r>
          </w:p>
        </w:tc>
      </w:tr>
      <w:tr w14:paraId="352825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7" w:hRule="atLeast"/>
          <w:jc w:val="center"/>
        </w:trPr>
        <w:tc>
          <w:tcPr>
            <w:tcW w:w="562" w:type="dxa"/>
            <w:vMerge w:val="continue"/>
            <w:tcBorders>
              <w:tl2br w:val="nil"/>
              <w:tr2bl w:val="nil"/>
            </w:tcBorders>
            <w:shd w:val="clear" w:color="auto" w:fill="auto"/>
            <w:vAlign w:val="center"/>
          </w:tcPr>
          <w:p w14:paraId="2351B10C">
            <w:pPr>
              <w:pStyle w:val="8"/>
              <w:suppressLineNumbers w:val="0"/>
              <w:bidi w:val="0"/>
              <w:spacing w:before="0" w:beforeAutospacing="0" w:after="0" w:afterAutospacing="0"/>
              <w:ind w:left="0" w:right="0"/>
              <w:rPr>
                <w:rFonts w:hint="default"/>
                <w:snapToGrid w:val="0"/>
                <w:highlight w:val="none"/>
                <w:lang w:eastAsia="en-US"/>
              </w:rPr>
            </w:pPr>
          </w:p>
        </w:tc>
        <w:tc>
          <w:tcPr>
            <w:tcW w:w="2313" w:type="dxa"/>
            <w:tcBorders>
              <w:tl2br w:val="nil"/>
              <w:tr2bl w:val="nil"/>
            </w:tcBorders>
            <w:shd w:val="clear" w:color="auto" w:fill="auto"/>
            <w:vAlign w:val="center"/>
          </w:tcPr>
          <w:p w14:paraId="29574146">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结构</w:t>
            </w:r>
          </w:p>
        </w:tc>
        <w:tc>
          <w:tcPr>
            <w:tcW w:w="1871" w:type="dxa"/>
            <w:tcBorders>
              <w:tl2br w:val="nil"/>
              <w:tr2bl w:val="nil"/>
            </w:tcBorders>
            <w:shd w:val="clear" w:color="auto" w:fill="auto"/>
            <w:vAlign w:val="center"/>
          </w:tcPr>
          <w:p w14:paraId="3D63E7AB">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团粒状</w:t>
            </w:r>
          </w:p>
        </w:tc>
        <w:tc>
          <w:tcPr>
            <w:tcW w:w="1964" w:type="dxa"/>
            <w:tcBorders>
              <w:tl2br w:val="nil"/>
              <w:tr2bl w:val="nil"/>
            </w:tcBorders>
            <w:shd w:val="clear" w:color="auto" w:fill="auto"/>
            <w:vAlign w:val="center"/>
          </w:tcPr>
          <w:p w14:paraId="4D32213F">
            <w:pPr>
              <w:pStyle w:val="8"/>
              <w:suppressLineNumbers w:val="0"/>
              <w:bidi w:val="0"/>
              <w:spacing w:before="0" w:beforeAutospacing="0" w:after="0" w:afterAutospacing="0"/>
              <w:ind w:left="0" w:right="0"/>
              <w:rPr>
                <w:rFonts w:hint="eastAsia"/>
                <w:snapToGrid w:val="0"/>
                <w:highlight w:val="none"/>
                <w:lang w:val="en-US" w:eastAsia="en-US"/>
              </w:rPr>
            </w:pPr>
            <w:r>
              <w:rPr>
                <w:rFonts w:hint="eastAsia"/>
                <w:snapToGrid w:val="0"/>
                <w:highlight w:val="none"/>
                <w:lang w:val="en-US" w:eastAsia="en-US"/>
              </w:rPr>
              <w:t>团粒状</w:t>
            </w:r>
          </w:p>
        </w:tc>
        <w:tc>
          <w:tcPr>
            <w:tcW w:w="1596" w:type="dxa"/>
            <w:tcBorders>
              <w:tl2br w:val="nil"/>
              <w:tr2bl w:val="nil"/>
            </w:tcBorders>
            <w:shd w:val="clear" w:color="auto" w:fill="auto"/>
            <w:vAlign w:val="center"/>
          </w:tcPr>
          <w:p w14:paraId="0FA3254E">
            <w:pPr>
              <w:pStyle w:val="8"/>
              <w:suppressLineNumbers w:val="0"/>
              <w:bidi w:val="0"/>
              <w:spacing w:before="0" w:beforeAutospacing="0" w:after="0" w:afterAutospacing="0"/>
              <w:ind w:left="0" w:right="0"/>
              <w:rPr>
                <w:rFonts w:hint="eastAsia"/>
                <w:snapToGrid w:val="0"/>
                <w:highlight w:val="none"/>
                <w:lang w:val="en-US" w:eastAsia="en-US"/>
              </w:rPr>
            </w:pPr>
            <w:r>
              <w:rPr>
                <w:rFonts w:hint="eastAsia"/>
                <w:snapToGrid w:val="0"/>
                <w:highlight w:val="none"/>
                <w:lang w:val="en-US" w:eastAsia="en-US"/>
              </w:rPr>
              <w:t>团粒状</w:t>
            </w:r>
          </w:p>
        </w:tc>
      </w:tr>
      <w:tr w14:paraId="2A6B62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7" w:hRule="atLeast"/>
          <w:jc w:val="center"/>
        </w:trPr>
        <w:tc>
          <w:tcPr>
            <w:tcW w:w="562" w:type="dxa"/>
            <w:vMerge w:val="continue"/>
            <w:tcBorders>
              <w:tl2br w:val="nil"/>
              <w:tr2bl w:val="nil"/>
            </w:tcBorders>
            <w:shd w:val="clear" w:color="auto" w:fill="auto"/>
            <w:vAlign w:val="center"/>
          </w:tcPr>
          <w:p w14:paraId="1E163965">
            <w:pPr>
              <w:pStyle w:val="8"/>
              <w:suppressLineNumbers w:val="0"/>
              <w:bidi w:val="0"/>
              <w:spacing w:before="0" w:beforeAutospacing="0" w:after="0" w:afterAutospacing="0"/>
              <w:ind w:left="0" w:right="0"/>
              <w:rPr>
                <w:rFonts w:hint="default"/>
                <w:snapToGrid w:val="0"/>
                <w:highlight w:val="none"/>
                <w:lang w:eastAsia="en-US"/>
              </w:rPr>
            </w:pPr>
          </w:p>
        </w:tc>
        <w:tc>
          <w:tcPr>
            <w:tcW w:w="2313" w:type="dxa"/>
            <w:tcBorders>
              <w:tl2br w:val="nil"/>
              <w:tr2bl w:val="nil"/>
            </w:tcBorders>
            <w:shd w:val="clear" w:color="auto" w:fill="auto"/>
            <w:vAlign w:val="center"/>
          </w:tcPr>
          <w:p w14:paraId="2EBF4529">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质地</w:t>
            </w:r>
          </w:p>
        </w:tc>
        <w:tc>
          <w:tcPr>
            <w:tcW w:w="1871" w:type="dxa"/>
            <w:tcBorders>
              <w:tl2br w:val="nil"/>
              <w:tr2bl w:val="nil"/>
            </w:tcBorders>
            <w:shd w:val="clear" w:color="auto" w:fill="auto"/>
            <w:vAlign w:val="center"/>
          </w:tcPr>
          <w:p w14:paraId="0E3FAE11">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zh-CN"/>
              </w:rPr>
              <w:t>壤土</w:t>
            </w:r>
          </w:p>
        </w:tc>
        <w:tc>
          <w:tcPr>
            <w:tcW w:w="1964" w:type="dxa"/>
            <w:tcBorders>
              <w:tl2br w:val="nil"/>
              <w:tr2bl w:val="nil"/>
            </w:tcBorders>
            <w:shd w:val="clear" w:color="auto" w:fill="auto"/>
            <w:vAlign w:val="center"/>
          </w:tcPr>
          <w:p w14:paraId="3A7EE4ED">
            <w:pPr>
              <w:pStyle w:val="8"/>
              <w:suppressLineNumbers w:val="0"/>
              <w:bidi w:val="0"/>
              <w:spacing w:before="0" w:beforeAutospacing="0" w:after="0" w:afterAutospacing="0"/>
              <w:ind w:left="0" w:right="0"/>
              <w:rPr>
                <w:rFonts w:hint="eastAsia"/>
                <w:snapToGrid w:val="0"/>
                <w:highlight w:val="none"/>
                <w:lang w:val="en-US" w:eastAsia="en-US"/>
              </w:rPr>
            </w:pPr>
            <w:r>
              <w:rPr>
                <w:rFonts w:hint="eastAsia"/>
                <w:snapToGrid w:val="0"/>
                <w:highlight w:val="none"/>
                <w:lang w:val="en-US" w:eastAsia="zh-CN"/>
              </w:rPr>
              <w:t>壤土</w:t>
            </w:r>
          </w:p>
        </w:tc>
        <w:tc>
          <w:tcPr>
            <w:tcW w:w="1596" w:type="dxa"/>
            <w:tcBorders>
              <w:tl2br w:val="nil"/>
              <w:tr2bl w:val="nil"/>
            </w:tcBorders>
            <w:shd w:val="clear" w:color="auto" w:fill="auto"/>
            <w:vAlign w:val="center"/>
          </w:tcPr>
          <w:p w14:paraId="3120E894">
            <w:pPr>
              <w:pStyle w:val="8"/>
              <w:suppressLineNumbers w:val="0"/>
              <w:bidi w:val="0"/>
              <w:spacing w:before="0" w:beforeAutospacing="0" w:after="0" w:afterAutospacing="0"/>
              <w:ind w:left="0" w:right="0"/>
              <w:rPr>
                <w:rFonts w:hint="eastAsia"/>
                <w:snapToGrid w:val="0"/>
                <w:highlight w:val="none"/>
                <w:lang w:val="en-US" w:eastAsia="en-US"/>
              </w:rPr>
            </w:pPr>
            <w:r>
              <w:rPr>
                <w:rFonts w:hint="eastAsia"/>
                <w:snapToGrid w:val="0"/>
                <w:highlight w:val="none"/>
                <w:lang w:val="en-US" w:eastAsia="zh-CN"/>
              </w:rPr>
              <w:t>壤土</w:t>
            </w:r>
          </w:p>
        </w:tc>
      </w:tr>
      <w:tr w14:paraId="5DE193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7" w:hRule="atLeast"/>
          <w:jc w:val="center"/>
        </w:trPr>
        <w:tc>
          <w:tcPr>
            <w:tcW w:w="562" w:type="dxa"/>
            <w:vMerge w:val="continue"/>
            <w:tcBorders>
              <w:tl2br w:val="nil"/>
              <w:tr2bl w:val="nil"/>
            </w:tcBorders>
            <w:shd w:val="clear" w:color="auto" w:fill="auto"/>
            <w:vAlign w:val="center"/>
          </w:tcPr>
          <w:p w14:paraId="59C8A0C9">
            <w:pPr>
              <w:pStyle w:val="8"/>
              <w:suppressLineNumbers w:val="0"/>
              <w:bidi w:val="0"/>
              <w:spacing w:before="0" w:beforeAutospacing="0" w:after="0" w:afterAutospacing="0"/>
              <w:ind w:left="0" w:right="0"/>
              <w:rPr>
                <w:rFonts w:hint="default"/>
                <w:snapToGrid w:val="0"/>
                <w:highlight w:val="none"/>
                <w:lang w:eastAsia="en-US"/>
              </w:rPr>
            </w:pPr>
          </w:p>
        </w:tc>
        <w:tc>
          <w:tcPr>
            <w:tcW w:w="2313" w:type="dxa"/>
            <w:tcBorders>
              <w:tl2br w:val="nil"/>
              <w:tr2bl w:val="nil"/>
            </w:tcBorders>
            <w:shd w:val="clear" w:color="auto" w:fill="auto"/>
            <w:vAlign w:val="center"/>
          </w:tcPr>
          <w:p w14:paraId="657E39DE">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其他异物</w:t>
            </w:r>
          </w:p>
        </w:tc>
        <w:tc>
          <w:tcPr>
            <w:tcW w:w="1871" w:type="dxa"/>
            <w:tcBorders>
              <w:tl2br w:val="nil"/>
              <w:tr2bl w:val="nil"/>
            </w:tcBorders>
            <w:shd w:val="clear" w:color="auto" w:fill="auto"/>
            <w:vAlign w:val="center"/>
          </w:tcPr>
          <w:p w14:paraId="05FF10E0">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杂草根、石块</w:t>
            </w:r>
          </w:p>
        </w:tc>
        <w:tc>
          <w:tcPr>
            <w:tcW w:w="1964" w:type="dxa"/>
            <w:tcBorders>
              <w:tl2br w:val="nil"/>
              <w:tr2bl w:val="nil"/>
            </w:tcBorders>
            <w:shd w:val="clear" w:color="auto" w:fill="auto"/>
            <w:vAlign w:val="center"/>
          </w:tcPr>
          <w:p w14:paraId="511A7A80">
            <w:pPr>
              <w:pStyle w:val="8"/>
              <w:suppressLineNumbers w:val="0"/>
              <w:bidi w:val="0"/>
              <w:spacing w:before="0" w:beforeAutospacing="0" w:after="0" w:afterAutospacing="0"/>
              <w:ind w:left="0" w:right="0"/>
              <w:rPr>
                <w:rFonts w:hint="eastAsia"/>
                <w:snapToGrid w:val="0"/>
                <w:highlight w:val="none"/>
                <w:lang w:val="en-US" w:eastAsia="en-US"/>
              </w:rPr>
            </w:pPr>
            <w:r>
              <w:rPr>
                <w:rFonts w:hint="eastAsia"/>
                <w:snapToGrid w:val="0"/>
                <w:highlight w:val="none"/>
                <w:lang w:val="en-US" w:eastAsia="zh-CN"/>
              </w:rPr>
              <w:t>杂草根</w:t>
            </w:r>
          </w:p>
        </w:tc>
        <w:tc>
          <w:tcPr>
            <w:tcW w:w="1596" w:type="dxa"/>
            <w:tcBorders>
              <w:tl2br w:val="nil"/>
              <w:tr2bl w:val="nil"/>
            </w:tcBorders>
            <w:shd w:val="clear" w:color="auto" w:fill="auto"/>
            <w:vAlign w:val="center"/>
          </w:tcPr>
          <w:p w14:paraId="33E7CF0C">
            <w:pPr>
              <w:pStyle w:val="8"/>
              <w:suppressLineNumbers w:val="0"/>
              <w:bidi w:val="0"/>
              <w:spacing w:before="0" w:beforeAutospacing="0" w:after="0" w:afterAutospacing="0"/>
              <w:ind w:left="0" w:right="0"/>
              <w:rPr>
                <w:rFonts w:hint="eastAsia"/>
                <w:snapToGrid w:val="0"/>
                <w:highlight w:val="none"/>
                <w:lang w:val="en-US" w:eastAsia="en-US"/>
              </w:rPr>
            </w:pPr>
            <w:r>
              <w:rPr>
                <w:rFonts w:hint="eastAsia"/>
                <w:snapToGrid w:val="0"/>
                <w:highlight w:val="none"/>
                <w:lang w:val="en-US" w:eastAsia="zh-CN"/>
              </w:rPr>
              <w:t>杂草根</w:t>
            </w:r>
          </w:p>
        </w:tc>
      </w:tr>
      <w:tr w14:paraId="4F878F5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86" w:hRule="atLeast"/>
          <w:jc w:val="center"/>
        </w:trPr>
        <w:tc>
          <w:tcPr>
            <w:tcW w:w="562" w:type="dxa"/>
            <w:vMerge w:val="restart"/>
            <w:tcBorders>
              <w:tl2br w:val="nil"/>
              <w:tr2bl w:val="nil"/>
            </w:tcBorders>
            <w:shd w:val="clear" w:color="auto" w:fill="auto"/>
            <w:vAlign w:val="center"/>
          </w:tcPr>
          <w:p w14:paraId="7F575AE5">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实验室测定</w:t>
            </w:r>
          </w:p>
        </w:tc>
        <w:tc>
          <w:tcPr>
            <w:tcW w:w="2313" w:type="dxa"/>
            <w:tcBorders>
              <w:tl2br w:val="nil"/>
              <w:tr2bl w:val="nil"/>
            </w:tcBorders>
            <w:shd w:val="clear" w:color="auto" w:fill="auto"/>
            <w:vAlign w:val="center"/>
          </w:tcPr>
          <w:p w14:paraId="06883B1D">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zh-CN"/>
              </w:rPr>
              <w:t>p</w:t>
            </w:r>
            <w:r>
              <w:rPr>
                <w:rFonts w:hint="default"/>
                <w:snapToGrid w:val="0"/>
                <w:highlight w:val="none"/>
                <w:lang w:val="en-US" w:eastAsia="en-US"/>
              </w:rPr>
              <w:t>H</w:t>
            </w:r>
            <w:r>
              <w:rPr>
                <w:rFonts w:hint="eastAsia"/>
                <w:snapToGrid w:val="0"/>
                <w:highlight w:val="none"/>
                <w:lang w:val="en-US" w:eastAsia="en-US"/>
              </w:rPr>
              <w:t>值</w:t>
            </w:r>
          </w:p>
        </w:tc>
        <w:tc>
          <w:tcPr>
            <w:tcW w:w="1871" w:type="dxa"/>
            <w:tcBorders>
              <w:tl2br w:val="nil"/>
              <w:tr2bl w:val="nil"/>
            </w:tcBorders>
            <w:shd w:val="clear" w:color="auto" w:fill="auto"/>
            <w:vAlign w:val="center"/>
          </w:tcPr>
          <w:p w14:paraId="42DCF2E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7.71</w:t>
            </w:r>
          </w:p>
        </w:tc>
        <w:tc>
          <w:tcPr>
            <w:tcW w:w="1964" w:type="dxa"/>
            <w:tcBorders>
              <w:tl2br w:val="nil"/>
              <w:tr2bl w:val="nil"/>
            </w:tcBorders>
            <w:shd w:val="clear" w:color="auto" w:fill="auto"/>
            <w:vAlign w:val="center"/>
          </w:tcPr>
          <w:p w14:paraId="544506F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7.40</w:t>
            </w:r>
          </w:p>
        </w:tc>
        <w:tc>
          <w:tcPr>
            <w:tcW w:w="1596" w:type="dxa"/>
            <w:tcBorders>
              <w:tl2br w:val="nil"/>
              <w:tr2bl w:val="nil"/>
            </w:tcBorders>
            <w:shd w:val="clear" w:color="auto" w:fill="auto"/>
            <w:vAlign w:val="center"/>
          </w:tcPr>
          <w:p w14:paraId="21F8B80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7.32</w:t>
            </w:r>
          </w:p>
        </w:tc>
      </w:tr>
      <w:tr w14:paraId="2CB1CCB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8" w:hRule="atLeast"/>
          <w:jc w:val="center"/>
        </w:trPr>
        <w:tc>
          <w:tcPr>
            <w:tcW w:w="562" w:type="dxa"/>
            <w:vMerge w:val="continue"/>
            <w:tcBorders>
              <w:tl2br w:val="nil"/>
              <w:tr2bl w:val="nil"/>
            </w:tcBorders>
            <w:shd w:val="clear" w:color="auto" w:fill="auto"/>
            <w:vAlign w:val="center"/>
          </w:tcPr>
          <w:p w14:paraId="1BE4B44B">
            <w:pPr>
              <w:pStyle w:val="8"/>
              <w:suppressLineNumbers w:val="0"/>
              <w:bidi w:val="0"/>
              <w:spacing w:before="0" w:beforeAutospacing="0" w:after="0" w:afterAutospacing="0"/>
              <w:ind w:left="0" w:right="0"/>
              <w:rPr>
                <w:rFonts w:hint="default"/>
                <w:snapToGrid w:val="0"/>
                <w:highlight w:val="none"/>
                <w:lang w:eastAsia="en-US"/>
              </w:rPr>
            </w:pPr>
          </w:p>
        </w:tc>
        <w:tc>
          <w:tcPr>
            <w:tcW w:w="2313" w:type="dxa"/>
            <w:tcBorders>
              <w:tl2br w:val="nil"/>
              <w:tr2bl w:val="nil"/>
            </w:tcBorders>
            <w:shd w:val="clear" w:color="auto" w:fill="auto"/>
            <w:vAlign w:val="center"/>
          </w:tcPr>
          <w:p w14:paraId="3200F4DF">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阳离子交换量（</w:t>
            </w:r>
            <w:r>
              <w:rPr>
                <w:rFonts w:hint="default"/>
                <w:snapToGrid w:val="0"/>
                <w:highlight w:val="none"/>
                <w:lang w:val="en-US" w:eastAsia="en-US"/>
              </w:rPr>
              <w:t>cmol/kg</w:t>
            </w:r>
            <w:r>
              <w:rPr>
                <w:rFonts w:hint="eastAsia"/>
                <w:snapToGrid w:val="0"/>
                <w:highlight w:val="none"/>
                <w:lang w:val="en-US" w:eastAsia="en-US"/>
              </w:rPr>
              <w:t>）</w:t>
            </w:r>
          </w:p>
        </w:tc>
        <w:tc>
          <w:tcPr>
            <w:tcW w:w="1871" w:type="dxa"/>
            <w:tcBorders>
              <w:tl2br w:val="nil"/>
              <w:tr2bl w:val="nil"/>
            </w:tcBorders>
            <w:shd w:val="clear" w:color="auto" w:fill="auto"/>
            <w:vAlign w:val="center"/>
          </w:tcPr>
          <w:p w14:paraId="17359D3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5.2</w:t>
            </w:r>
          </w:p>
        </w:tc>
        <w:tc>
          <w:tcPr>
            <w:tcW w:w="1964" w:type="dxa"/>
            <w:tcBorders>
              <w:tl2br w:val="nil"/>
              <w:tr2bl w:val="nil"/>
            </w:tcBorders>
            <w:shd w:val="clear" w:color="auto" w:fill="auto"/>
            <w:vAlign w:val="center"/>
          </w:tcPr>
          <w:p w14:paraId="1E51565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6.0</w:t>
            </w:r>
          </w:p>
        </w:tc>
        <w:tc>
          <w:tcPr>
            <w:tcW w:w="1596" w:type="dxa"/>
            <w:tcBorders>
              <w:tl2br w:val="nil"/>
              <w:tr2bl w:val="nil"/>
            </w:tcBorders>
            <w:shd w:val="clear" w:color="auto" w:fill="auto"/>
            <w:vAlign w:val="center"/>
          </w:tcPr>
          <w:p w14:paraId="591862B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6.8</w:t>
            </w:r>
          </w:p>
        </w:tc>
      </w:tr>
      <w:tr w14:paraId="516D28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7" w:hRule="atLeast"/>
          <w:jc w:val="center"/>
        </w:trPr>
        <w:tc>
          <w:tcPr>
            <w:tcW w:w="562" w:type="dxa"/>
            <w:vMerge w:val="continue"/>
            <w:tcBorders>
              <w:tl2br w:val="nil"/>
              <w:tr2bl w:val="nil"/>
            </w:tcBorders>
            <w:shd w:val="clear" w:color="auto" w:fill="auto"/>
            <w:vAlign w:val="center"/>
          </w:tcPr>
          <w:p w14:paraId="708EDF4A">
            <w:pPr>
              <w:pStyle w:val="8"/>
              <w:suppressLineNumbers w:val="0"/>
              <w:bidi w:val="0"/>
              <w:spacing w:before="0" w:beforeAutospacing="0" w:after="0" w:afterAutospacing="0"/>
              <w:ind w:left="0" w:right="0"/>
              <w:rPr>
                <w:rFonts w:hint="default"/>
                <w:snapToGrid w:val="0"/>
                <w:highlight w:val="none"/>
                <w:lang w:eastAsia="en-US"/>
              </w:rPr>
            </w:pPr>
          </w:p>
        </w:tc>
        <w:tc>
          <w:tcPr>
            <w:tcW w:w="2313" w:type="dxa"/>
            <w:tcBorders>
              <w:tl2br w:val="nil"/>
              <w:tr2bl w:val="nil"/>
            </w:tcBorders>
            <w:shd w:val="clear" w:color="auto" w:fill="auto"/>
            <w:vAlign w:val="center"/>
          </w:tcPr>
          <w:p w14:paraId="4EFE9822">
            <w:pPr>
              <w:pStyle w:val="8"/>
              <w:suppressLineNumbers w:val="0"/>
              <w:bidi w:val="0"/>
              <w:spacing w:before="0" w:beforeAutospacing="0" w:after="0" w:afterAutospacing="0"/>
              <w:ind w:left="0" w:right="0"/>
              <w:rPr>
                <w:rFonts w:hint="eastAsia" w:eastAsia="宋体"/>
                <w:snapToGrid w:val="0"/>
                <w:highlight w:val="none"/>
                <w:lang w:eastAsia="zh-CN"/>
              </w:rPr>
            </w:pPr>
            <w:r>
              <w:rPr>
                <w:rFonts w:hint="eastAsia"/>
                <w:snapToGrid w:val="0"/>
                <w:highlight w:val="none"/>
                <w:lang w:val="en-US" w:eastAsia="en-US"/>
              </w:rPr>
              <w:t>氧化还原电位</w:t>
            </w:r>
            <w:r>
              <w:rPr>
                <w:rFonts w:hint="eastAsia"/>
                <w:snapToGrid w:val="0"/>
                <w:highlight w:val="none"/>
                <w:lang w:val="en-US" w:eastAsia="zh-CN"/>
              </w:rPr>
              <w:t>（</w:t>
            </w:r>
            <w:r>
              <w:rPr>
                <w:rFonts w:hint="default"/>
                <w:snapToGrid w:val="0"/>
                <w:highlight w:val="none"/>
                <w:lang w:val="en-US" w:eastAsia="en-US"/>
              </w:rPr>
              <w:t>mv</w:t>
            </w:r>
            <w:r>
              <w:rPr>
                <w:rFonts w:hint="eastAsia"/>
                <w:snapToGrid w:val="0"/>
                <w:highlight w:val="none"/>
                <w:lang w:val="en-US" w:eastAsia="zh-CN"/>
              </w:rPr>
              <w:t>）</w:t>
            </w:r>
          </w:p>
        </w:tc>
        <w:tc>
          <w:tcPr>
            <w:tcW w:w="1871" w:type="dxa"/>
            <w:tcBorders>
              <w:tl2br w:val="nil"/>
              <w:tr2bl w:val="nil"/>
            </w:tcBorders>
            <w:shd w:val="clear" w:color="auto" w:fill="auto"/>
            <w:vAlign w:val="center"/>
          </w:tcPr>
          <w:p w14:paraId="142A9E6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142</w:t>
            </w:r>
          </w:p>
        </w:tc>
        <w:tc>
          <w:tcPr>
            <w:tcW w:w="1964" w:type="dxa"/>
            <w:tcBorders>
              <w:tl2br w:val="nil"/>
              <w:tr2bl w:val="nil"/>
            </w:tcBorders>
            <w:shd w:val="clear" w:color="auto" w:fill="auto"/>
            <w:vAlign w:val="center"/>
          </w:tcPr>
          <w:p w14:paraId="03E94D5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177</w:t>
            </w:r>
          </w:p>
        </w:tc>
        <w:tc>
          <w:tcPr>
            <w:tcW w:w="1596" w:type="dxa"/>
            <w:tcBorders>
              <w:tl2br w:val="nil"/>
              <w:tr2bl w:val="nil"/>
            </w:tcBorders>
            <w:shd w:val="clear" w:color="auto" w:fill="auto"/>
            <w:vAlign w:val="center"/>
          </w:tcPr>
          <w:p w14:paraId="20C2320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191</w:t>
            </w:r>
          </w:p>
        </w:tc>
      </w:tr>
      <w:tr w14:paraId="76DEAE1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7" w:hRule="atLeast"/>
          <w:jc w:val="center"/>
        </w:trPr>
        <w:tc>
          <w:tcPr>
            <w:tcW w:w="562" w:type="dxa"/>
            <w:vMerge w:val="continue"/>
            <w:tcBorders>
              <w:tl2br w:val="nil"/>
              <w:tr2bl w:val="nil"/>
            </w:tcBorders>
            <w:shd w:val="clear" w:color="auto" w:fill="auto"/>
            <w:vAlign w:val="center"/>
          </w:tcPr>
          <w:p w14:paraId="70E0391F">
            <w:pPr>
              <w:pStyle w:val="8"/>
              <w:suppressLineNumbers w:val="0"/>
              <w:bidi w:val="0"/>
              <w:spacing w:before="0" w:beforeAutospacing="0" w:after="0" w:afterAutospacing="0"/>
              <w:ind w:left="0" w:right="0"/>
              <w:rPr>
                <w:rFonts w:hint="default"/>
                <w:snapToGrid w:val="0"/>
                <w:highlight w:val="none"/>
                <w:lang w:eastAsia="en-US"/>
              </w:rPr>
            </w:pPr>
          </w:p>
        </w:tc>
        <w:tc>
          <w:tcPr>
            <w:tcW w:w="2313" w:type="dxa"/>
            <w:tcBorders>
              <w:tl2br w:val="nil"/>
              <w:tr2bl w:val="nil"/>
            </w:tcBorders>
            <w:shd w:val="clear" w:color="auto" w:fill="auto"/>
            <w:vAlign w:val="center"/>
          </w:tcPr>
          <w:p w14:paraId="5B23E409">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en-US"/>
              </w:rPr>
              <w:t>土壤容重</w:t>
            </w:r>
            <w:r>
              <w:rPr>
                <w:rFonts w:hint="default"/>
                <w:snapToGrid w:val="0"/>
                <w:highlight w:val="none"/>
                <w:lang w:val="en-US" w:eastAsia="en-US"/>
              </w:rPr>
              <w:t>/</w:t>
            </w:r>
            <w:r>
              <w:rPr>
                <w:rFonts w:hint="eastAsia"/>
                <w:snapToGrid w:val="0"/>
                <w:highlight w:val="none"/>
                <w:lang w:val="en-US" w:eastAsia="en-US"/>
              </w:rPr>
              <w:t>（</w:t>
            </w:r>
            <w:r>
              <w:rPr>
                <w:rFonts w:hint="default"/>
                <w:snapToGrid w:val="0"/>
                <w:highlight w:val="none"/>
                <w:lang w:val="en-US" w:eastAsia="en-US"/>
              </w:rPr>
              <w:t>g/</w:t>
            </w:r>
            <w:r>
              <w:rPr>
                <w:rFonts w:hint="eastAsia"/>
                <w:snapToGrid w:val="0"/>
                <w:highlight w:val="none"/>
                <w:lang w:val="en-US" w:eastAsia="zh-CN"/>
              </w:rPr>
              <w:t>c</w:t>
            </w:r>
            <w:r>
              <w:rPr>
                <w:rFonts w:hint="default"/>
                <w:snapToGrid w:val="0"/>
                <w:highlight w:val="none"/>
                <w:lang w:val="en-US" w:eastAsia="en-US"/>
              </w:rPr>
              <w:t>m</w:t>
            </w:r>
            <w:r>
              <w:rPr>
                <w:rFonts w:hint="default"/>
                <w:snapToGrid w:val="0"/>
                <w:highlight w:val="none"/>
                <w:vertAlign w:val="superscript"/>
                <w:lang w:val="en-US" w:eastAsia="en-US"/>
              </w:rPr>
              <w:t>3</w:t>
            </w:r>
            <w:r>
              <w:rPr>
                <w:rFonts w:hint="eastAsia"/>
                <w:snapToGrid w:val="0"/>
                <w:highlight w:val="none"/>
                <w:lang w:val="en-US" w:eastAsia="en-US"/>
              </w:rPr>
              <w:t>）</w:t>
            </w:r>
          </w:p>
        </w:tc>
        <w:tc>
          <w:tcPr>
            <w:tcW w:w="1871" w:type="dxa"/>
            <w:tcBorders>
              <w:tl2br w:val="nil"/>
              <w:tr2bl w:val="nil"/>
            </w:tcBorders>
            <w:shd w:val="clear" w:color="auto" w:fill="auto"/>
            <w:vAlign w:val="center"/>
          </w:tcPr>
          <w:p w14:paraId="4E8908B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1.33</w:t>
            </w:r>
          </w:p>
        </w:tc>
        <w:tc>
          <w:tcPr>
            <w:tcW w:w="1964" w:type="dxa"/>
            <w:tcBorders>
              <w:tl2br w:val="nil"/>
              <w:tr2bl w:val="nil"/>
            </w:tcBorders>
            <w:shd w:val="clear" w:color="auto" w:fill="auto"/>
            <w:vAlign w:val="center"/>
          </w:tcPr>
          <w:p w14:paraId="598116B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1.37</w:t>
            </w:r>
          </w:p>
        </w:tc>
        <w:tc>
          <w:tcPr>
            <w:tcW w:w="1596" w:type="dxa"/>
            <w:tcBorders>
              <w:tl2br w:val="nil"/>
              <w:tr2bl w:val="nil"/>
            </w:tcBorders>
            <w:shd w:val="clear" w:color="auto" w:fill="auto"/>
            <w:vAlign w:val="center"/>
          </w:tcPr>
          <w:p w14:paraId="2EBCCE8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kern w:val="0"/>
                <w:sz w:val="21"/>
                <w:szCs w:val="24"/>
                <w:highlight w:val="none"/>
                <w:lang w:val="en-US" w:eastAsia="en-US" w:bidi="ar-SA"/>
              </w:rPr>
            </w:pPr>
            <w:r>
              <w:rPr>
                <w:rFonts w:hint="default" w:ascii="Times New Roman" w:hAnsi="Times New Roman" w:eastAsia="宋体" w:cs="Times New Roman"/>
                <w:snapToGrid w:val="0"/>
                <w:color w:val="000000"/>
                <w:kern w:val="0"/>
                <w:sz w:val="21"/>
                <w:szCs w:val="24"/>
                <w:highlight w:val="none"/>
                <w:lang w:val="en-US" w:eastAsia="en-US" w:bidi="ar-SA"/>
              </w:rPr>
              <w:t>1.38</w:t>
            </w:r>
          </w:p>
        </w:tc>
      </w:tr>
    </w:tbl>
    <w:p w14:paraId="691B2FEB">
      <w:pPr>
        <w:pStyle w:val="7"/>
        <w:bidi w:val="0"/>
        <w:rPr>
          <w:highlight w:val="none"/>
          <w:lang w:eastAsia="zh-CN"/>
        </w:rPr>
      </w:pPr>
      <w:bookmarkStart w:id="330" w:name="_Toc167"/>
      <w:r>
        <w:rPr>
          <w:rFonts w:hint="eastAsia"/>
          <w:highlight w:val="none"/>
          <w:lang w:val="en-US" w:eastAsia="zh-CN"/>
        </w:rPr>
        <w:t>表</w:t>
      </w:r>
      <w:r>
        <w:rPr>
          <w:rFonts w:hint="default"/>
          <w:highlight w:val="none"/>
          <w:lang w:val="en-US" w:eastAsia="zh-CN"/>
        </w:rPr>
        <w:t>4</w:t>
      </w:r>
      <w:r>
        <w:rPr>
          <w:rFonts w:hint="eastAsia"/>
          <w:highlight w:val="none"/>
          <w:lang w:val="en-US" w:eastAsia="zh-CN"/>
        </w:rPr>
        <w:t>-</w:t>
      </w:r>
      <w:r>
        <w:rPr>
          <w:rFonts w:hint="default"/>
          <w:highlight w:val="none"/>
          <w:lang w:val="en-US" w:eastAsia="zh-CN"/>
        </w:rPr>
        <w:t>2-1</w:t>
      </w:r>
      <w:r>
        <w:rPr>
          <w:rFonts w:hint="eastAsia"/>
          <w:highlight w:val="none"/>
          <w:lang w:val="en-US" w:eastAsia="zh-CN"/>
        </w:rPr>
        <w:t>6</w:t>
      </w:r>
      <w:r>
        <w:rPr>
          <w:rFonts w:hint="default"/>
          <w:highlight w:val="none"/>
          <w:lang w:val="en-US" w:eastAsia="zh-CN"/>
        </w:rPr>
        <w:tab/>
      </w:r>
      <w:r>
        <w:rPr>
          <w:rFonts w:hint="eastAsia"/>
          <w:highlight w:val="none"/>
          <w:lang w:val="en-US" w:eastAsia="zh-CN"/>
        </w:rPr>
        <w:t>土壤构型（土壤剖面）调查表</w:t>
      </w:r>
    </w:p>
    <w:tbl>
      <w:tblPr>
        <w:tblStyle w:val="741"/>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Layout w:type="fixed"/>
        <w:tblCellMar>
          <w:top w:w="0" w:type="dxa"/>
          <w:left w:w="0" w:type="dxa"/>
          <w:bottom w:w="0" w:type="dxa"/>
          <w:right w:w="0" w:type="dxa"/>
        </w:tblCellMar>
      </w:tblPr>
      <w:tblGrid>
        <w:gridCol w:w="781"/>
        <w:gridCol w:w="2540"/>
        <w:gridCol w:w="3466"/>
        <w:gridCol w:w="1519"/>
      </w:tblGrid>
      <w:tr w14:paraId="63D782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9" w:hRule="atLeast"/>
          <w:jc w:val="center"/>
        </w:trPr>
        <w:tc>
          <w:tcPr>
            <w:tcW w:w="761" w:type="dxa"/>
            <w:tcBorders>
              <w:top w:val="single" w:color="000000" w:sz="12" w:space="0"/>
              <w:left w:val="nil"/>
              <w:bottom w:val="single" w:color="000000" w:sz="4" w:space="0"/>
              <w:right w:val="single" w:color="000000" w:sz="4" w:space="0"/>
            </w:tcBorders>
            <w:shd w:val="clear" w:color="auto" w:fill="auto"/>
            <w:vAlign w:val="center"/>
          </w:tcPr>
          <w:p w14:paraId="67055972">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val="en-US" w:eastAsia="zh-CN"/>
              </w:rPr>
            </w:pPr>
            <w:r>
              <w:rPr>
                <w:rFonts w:hint="eastAsia"/>
                <w:snapToGrid w:val="0"/>
                <w:highlight w:val="none"/>
                <w:lang w:val="en-US" w:eastAsia="zh-CN"/>
              </w:rPr>
              <w:t>点号</w:t>
            </w:r>
          </w:p>
        </w:tc>
        <w:tc>
          <w:tcPr>
            <w:tcW w:w="2475"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24AE5DB5">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r>
              <w:rPr>
                <w:rFonts w:hint="eastAsia"/>
                <w:snapToGrid w:val="0"/>
                <w:highlight w:val="none"/>
                <w:lang w:val="en-US" w:eastAsia="en-US"/>
              </w:rPr>
              <w:t>景观照片</w:t>
            </w:r>
          </w:p>
        </w:tc>
        <w:tc>
          <w:tcPr>
            <w:tcW w:w="3377"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2584C55B">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r>
              <w:rPr>
                <w:rFonts w:hint="eastAsia"/>
                <w:snapToGrid w:val="0"/>
                <w:highlight w:val="none"/>
                <w:lang w:val="en-US" w:eastAsia="en-US"/>
              </w:rPr>
              <w:t>土壤剖面照片</w:t>
            </w:r>
          </w:p>
        </w:tc>
        <w:tc>
          <w:tcPr>
            <w:tcW w:w="1479" w:type="dxa"/>
            <w:tcBorders>
              <w:top w:val="single" w:color="000000" w:sz="12" w:space="0"/>
              <w:left w:val="single" w:color="000000" w:sz="4" w:space="0"/>
              <w:bottom w:val="single" w:color="000000" w:sz="4" w:space="0"/>
              <w:right w:val="nil"/>
            </w:tcBorders>
            <w:shd w:val="clear" w:color="auto" w:fill="auto"/>
            <w:vAlign w:val="center"/>
          </w:tcPr>
          <w:p w14:paraId="63C7B42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r>
              <w:rPr>
                <w:rFonts w:hint="eastAsia"/>
                <w:snapToGrid w:val="0"/>
                <w:highlight w:val="none"/>
                <w:lang w:val="en-US" w:eastAsia="en-US"/>
              </w:rPr>
              <w:t>层次</w:t>
            </w:r>
          </w:p>
        </w:tc>
      </w:tr>
      <w:tr w14:paraId="028805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5" w:hRule="atLeast"/>
          <w:jc w:val="center"/>
        </w:trPr>
        <w:tc>
          <w:tcPr>
            <w:tcW w:w="761" w:type="dxa"/>
            <w:vMerge w:val="restart"/>
            <w:tcBorders>
              <w:top w:val="single" w:color="000000" w:sz="4" w:space="0"/>
              <w:left w:val="nil"/>
              <w:bottom w:val="single" w:color="000000" w:sz="12" w:space="0"/>
              <w:right w:val="single" w:color="000000" w:sz="4" w:space="0"/>
            </w:tcBorders>
            <w:shd w:val="clear" w:color="auto" w:fill="auto"/>
            <w:vAlign w:val="center"/>
          </w:tcPr>
          <w:p w14:paraId="56FF6A0D">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r>
              <w:rPr>
                <w:rFonts w:hint="eastAsia"/>
                <w:snapToGrid w:val="0"/>
                <w:highlight w:val="none"/>
                <w:lang w:val="en-US" w:eastAsia="zh-CN"/>
              </w:rPr>
              <w:t>TR2</w:t>
            </w:r>
          </w:p>
        </w:tc>
        <w:tc>
          <w:tcPr>
            <w:tcW w:w="2475" w:type="dxa"/>
            <w:vMerge w:val="restart"/>
            <w:tcBorders>
              <w:top w:val="single" w:color="000000" w:sz="4" w:space="0"/>
              <w:left w:val="single" w:color="000000" w:sz="4" w:space="0"/>
              <w:bottom w:val="single" w:color="000000" w:sz="12" w:space="0"/>
              <w:right w:val="single" w:color="000000" w:sz="4" w:space="0"/>
            </w:tcBorders>
            <w:shd w:val="clear" w:color="auto" w:fill="auto"/>
            <w:vAlign w:val="top"/>
          </w:tcPr>
          <w:p w14:paraId="2DCD5A0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eastAsia" w:eastAsia="宋体"/>
                <w:snapToGrid w:val="0"/>
                <w:highlight w:val="none"/>
                <w:lang w:eastAsia="zh-CN"/>
              </w:rPr>
            </w:pPr>
            <w:r>
              <w:rPr>
                <w:rFonts w:hint="eastAsia" w:eastAsia="宋体"/>
                <w:snapToGrid w:val="0"/>
                <w:highlight w:val="none"/>
                <w:lang w:eastAsia="zh-CN"/>
              </w:rPr>
              <w:drawing>
                <wp:inline distT="0" distB="0" distL="114300" distR="114300">
                  <wp:extent cx="1209040" cy="1612265"/>
                  <wp:effectExtent l="0" t="0" r="10160" b="6985"/>
                  <wp:docPr id="7" name="图片 7" descr="IMG_20240903_10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903_101622"/>
                          <pic:cNvPicPr>
                            <a:picLocks noChangeAspect="1"/>
                          </pic:cNvPicPr>
                        </pic:nvPicPr>
                        <pic:blipFill>
                          <a:blip r:embed="rId56"/>
                          <a:stretch>
                            <a:fillRect/>
                          </a:stretch>
                        </pic:blipFill>
                        <pic:spPr>
                          <a:xfrm>
                            <a:off x="0" y="0"/>
                            <a:ext cx="1209040" cy="1612265"/>
                          </a:xfrm>
                          <a:prstGeom prst="rect">
                            <a:avLst/>
                          </a:prstGeom>
                        </pic:spPr>
                      </pic:pic>
                    </a:graphicData>
                  </a:graphic>
                </wp:inline>
              </w:drawing>
            </w:r>
          </w:p>
          <w:p w14:paraId="078086F1">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eastAsia" w:eastAsia="宋体"/>
                <w:snapToGrid w:val="0"/>
                <w:highlight w:val="none"/>
                <w:lang w:eastAsia="zh-CN"/>
              </w:rPr>
            </w:pPr>
            <w:r>
              <w:rPr>
                <w:rFonts w:hint="eastAsia" w:eastAsia="宋体"/>
                <w:snapToGrid w:val="0"/>
                <w:highlight w:val="none"/>
                <w:lang w:eastAsia="zh-CN"/>
              </w:rPr>
              <w:drawing>
                <wp:inline distT="0" distB="0" distL="114300" distR="114300">
                  <wp:extent cx="1209040" cy="1612265"/>
                  <wp:effectExtent l="0" t="0" r="10160" b="6985"/>
                  <wp:docPr id="14" name="图片 14" descr="IMG_20240903_10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903_101616"/>
                          <pic:cNvPicPr>
                            <a:picLocks noChangeAspect="1"/>
                          </pic:cNvPicPr>
                        </pic:nvPicPr>
                        <pic:blipFill>
                          <a:blip r:embed="rId57"/>
                          <a:stretch>
                            <a:fillRect/>
                          </a:stretch>
                        </pic:blipFill>
                        <pic:spPr>
                          <a:xfrm>
                            <a:off x="0" y="0"/>
                            <a:ext cx="1209040" cy="1612265"/>
                          </a:xfrm>
                          <a:prstGeom prst="rect">
                            <a:avLst/>
                          </a:prstGeom>
                        </pic:spPr>
                      </pic:pic>
                    </a:graphicData>
                  </a:graphic>
                </wp:inline>
              </w:drawing>
            </w:r>
          </w:p>
        </w:tc>
        <w:tc>
          <w:tcPr>
            <w:tcW w:w="3377" w:type="dxa"/>
            <w:vMerge w:val="restart"/>
            <w:tcBorders>
              <w:top w:val="single" w:color="000000" w:sz="4" w:space="0"/>
              <w:left w:val="single" w:color="000000" w:sz="4" w:space="0"/>
              <w:bottom w:val="single" w:color="000000" w:sz="12" w:space="0"/>
              <w:right w:val="single" w:color="000000" w:sz="4" w:space="0"/>
            </w:tcBorders>
            <w:shd w:val="clear" w:color="auto" w:fill="auto"/>
            <w:vAlign w:val="center"/>
          </w:tcPr>
          <w:p w14:paraId="380E3C93">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snapToGrid w:val="0"/>
                <w:highlight w:val="none"/>
                <w:lang w:eastAsia="zh-CN"/>
              </w:rPr>
            </w:pPr>
            <w:r>
              <w:rPr>
                <w:rFonts w:hint="eastAsia" w:eastAsia="宋体"/>
                <w:snapToGrid w:val="0"/>
                <w:highlight w:val="none"/>
                <w:lang w:eastAsia="zh-CN"/>
              </w:rPr>
              <w:drawing>
                <wp:inline distT="0" distB="0" distL="114300" distR="114300">
                  <wp:extent cx="1851660" cy="3291840"/>
                  <wp:effectExtent l="0" t="0" r="15240" b="3810"/>
                  <wp:docPr id="21" name="图片 21" descr="27ccd62c7670e86787d9ab4fc6297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7ccd62c7670e86787d9ab4fc6297fa6"/>
                          <pic:cNvPicPr>
                            <a:picLocks noChangeAspect="1"/>
                          </pic:cNvPicPr>
                        </pic:nvPicPr>
                        <pic:blipFill>
                          <a:blip r:embed="rId58"/>
                          <a:stretch>
                            <a:fillRect/>
                          </a:stretch>
                        </pic:blipFill>
                        <pic:spPr>
                          <a:xfrm>
                            <a:off x="0" y="0"/>
                            <a:ext cx="1851660" cy="3291840"/>
                          </a:xfrm>
                          <a:prstGeom prst="rect">
                            <a:avLst/>
                          </a:prstGeom>
                        </pic:spPr>
                      </pic:pic>
                    </a:graphicData>
                  </a:graphic>
                </wp:inline>
              </w:drawing>
            </w:r>
          </w:p>
        </w:tc>
        <w:tc>
          <w:tcPr>
            <w:tcW w:w="1479" w:type="dxa"/>
            <w:tcBorders>
              <w:top w:val="single" w:color="000000" w:sz="4" w:space="0"/>
              <w:left w:val="single" w:color="000000" w:sz="4" w:space="0"/>
              <w:bottom w:val="single" w:color="000000" w:sz="4" w:space="0"/>
              <w:right w:val="nil"/>
            </w:tcBorders>
            <w:shd w:val="clear" w:color="auto" w:fill="auto"/>
            <w:vAlign w:val="center"/>
          </w:tcPr>
          <w:p w14:paraId="16D6D31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r>
              <w:rPr>
                <w:rFonts w:hint="eastAsia"/>
                <w:snapToGrid w:val="0"/>
                <w:highlight w:val="none"/>
                <w:lang w:val="en-US" w:eastAsia="zh-CN"/>
              </w:rPr>
              <w:t>20</w:t>
            </w:r>
            <w:r>
              <w:rPr>
                <w:rFonts w:hint="default"/>
                <w:snapToGrid w:val="0"/>
                <w:highlight w:val="none"/>
                <w:lang w:val="en-US" w:eastAsia="en-US"/>
              </w:rPr>
              <w:t>-</w:t>
            </w:r>
            <w:r>
              <w:rPr>
                <w:rFonts w:hint="eastAsia"/>
                <w:snapToGrid w:val="0"/>
                <w:highlight w:val="none"/>
                <w:lang w:val="en-US" w:eastAsia="zh-CN"/>
              </w:rPr>
              <w:t>5</w:t>
            </w:r>
            <w:r>
              <w:rPr>
                <w:rFonts w:hint="default"/>
                <w:snapToGrid w:val="0"/>
                <w:highlight w:val="none"/>
                <w:lang w:val="en-US" w:eastAsia="en-US"/>
              </w:rPr>
              <w:t>0</w:t>
            </w:r>
            <w:r>
              <w:rPr>
                <w:rFonts w:hint="eastAsia"/>
                <w:snapToGrid w:val="0"/>
                <w:highlight w:val="none"/>
                <w:lang w:val="en-US" w:eastAsia="zh-CN"/>
              </w:rPr>
              <w:t>0</w:t>
            </w:r>
            <w:r>
              <w:rPr>
                <w:rFonts w:hint="default"/>
                <w:snapToGrid w:val="0"/>
                <w:highlight w:val="none"/>
                <w:lang w:val="en-US" w:eastAsia="en-US"/>
              </w:rPr>
              <w:t>mm</w:t>
            </w:r>
          </w:p>
          <w:p w14:paraId="73F18735">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val="en-US" w:eastAsia="zh-CN"/>
              </w:rPr>
            </w:pPr>
            <w:r>
              <w:rPr>
                <w:rFonts w:hint="eastAsia"/>
                <w:snapToGrid w:val="0"/>
                <w:highlight w:val="none"/>
                <w:lang w:val="en-US" w:eastAsia="zh-CN"/>
              </w:rPr>
              <w:t>棕色壤土</w:t>
            </w:r>
          </w:p>
        </w:tc>
      </w:tr>
      <w:tr w14:paraId="120FB1F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36" w:hRule="atLeast"/>
          <w:jc w:val="center"/>
        </w:trPr>
        <w:tc>
          <w:tcPr>
            <w:tcW w:w="761" w:type="dxa"/>
            <w:vMerge w:val="continue"/>
            <w:tcBorders>
              <w:top w:val="single" w:color="000000" w:sz="4" w:space="0"/>
              <w:left w:val="nil"/>
              <w:bottom w:val="single" w:color="000000" w:sz="12" w:space="0"/>
              <w:right w:val="single" w:color="000000" w:sz="4" w:space="0"/>
            </w:tcBorders>
            <w:shd w:val="clear" w:color="auto" w:fill="auto"/>
            <w:vAlign w:val="top"/>
          </w:tcPr>
          <w:p w14:paraId="767254B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p>
        </w:tc>
        <w:tc>
          <w:tcPr>
            <w:tcW w:w="2475" w:type="dxa"/>
            <w:vMerge w:val="continue"/>
            <w:tcBorders>
              <w:top w:val="single" w:color="000000" w:sz="4" w:space="0"/>
              <w:left w:val="single" w:color="000000" w:sz="4" w:space="0"/>
              <w:bottom w:val="single" w:color="000000" w:sz="12" w:space="0"/>
              <w:right w:val="single" w:color="000000" w:sz="4" w:space="0"/>
            </w:tcBorders>
            <w:shd w:val="clear" w:color="auto" w:fill="auto"/>
            <w:vAlign w:val="top"/>
          </w:tcPr>
          <w:p w14:paraId="482FEFC1">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p>
        </w:tc>
        <w:tc>
          <w:tcPr>
            <w:tcW w:w="3377" w:type="dxa"/>
            <w:vMerge w:val="continue"/>
            <w:tcBorders>
              <w:top w:val="single" w:color="000000" w:sz="4" w:space="0"/>
              <w:left w:val="single" w:color="000000" w:sz="4" w:space="0"/>
              <w:bottom w:val="single" w:color="000000" w:sz="12" w:space="0"/>
              <w:right w:val="single" w:color="000000" w:sz="4" w:space="0"/>
            </w:tcBorders>
            <w:shd w:val="clear" w:color="auto" w:fill="auto"/>
            <w:vAlign w:val="top"/>
          </w:tcPr>
          <w:p w14:paraId="16FE715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p>
        </w:tc>
        <w:tc>
          <w:tcPr>
            <w:tcW w:w="1479" w:type="dxa"/>
            <w:tcBorders>
              <w:top w:val="single" w:color="000000" w:sz="4" w:space="0"/>
              <w:left w:val="single" w:color="000000" w:sz="4" w:space="0"/>
              <w:bottom w:val="single" w:color="000000" w:sz="4" w:space="0"/>
              <w:right w:val="nil"/>
            </w:tcBorders>
            <w:shd w:val="clear" w:color="auto" w:fill="auto"/>
            <w:vAlign w:val="center"/>
          </w:tcPr>
          <w:p w14:paraId="6EA38AF0">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val="en-US" w:eastAsia="en-US"/>
              </w:rPr>
            </w:pPr>
            <w:r>
              <w:rPr>
                <w:rFonts w:hint="eastAsia"/>
                <w:snapToGrid w:val="0"/>
                <w:highlight w:val="none"/>
                <w:lang w:val="en-US" w:eastAsia="zh-CN"/>
              </w:rPr>
              <w:t>1000</w:t>
            </w:r>
            <w:r>
              <w:rPr>
                <w:rFonts w:hint="default"/>
                <w:snapToGrid w:val="0"/>
                <w:highlight w:val="none"/>
                <w:lang w:val="en-US" w:eastAsia="en-US"/>
              </w:rPr>
              <w:t>mm</w:t>
            </w:r>
          </w:p>
          <w:p w14:paraId="54AA66DC">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val="en-US" w:eastAsia="zh-CN"/>
              </w:rPr>
            </w:pPr>
            <w:r>
              <w:rPr>
                <w:rFonts w:hint="eastAsia"/>
                <w:snapToGrid w:val="0"/>
                <w:highlight w:val="none"/>
                <w:lang w:val="en-US" w:eastAsia="zh-CN"/>
              </w:rPr>
              <w:t>棕色壤土</w:t>
            </w:r>
          </w:p>
        </w:tc>
      </w:tr>
      <w:tr w14:paraId="541EA6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7" w:hRule="atLeast"/>
          <w:jc w:val="center"/>
        </w:trPr>
        <w:tc>
          <w:tcPr>
            <w:tcW w:w="761" w:type="dxa"/>
            <w:vMerge w:val="continue"/>
            <w:tcBorders>
              <w:top w:val="single" w:color="000000" w:sz="4" w:space="0"/>
              <w:left w:val="nil"/>
              <w:bottom w:val="single" w:color="000000" w:sz="12" w:space="0"/>
              <w:right w:val="single" w:color="000000" w:sz="4" w:space="0"/>
            </w:tcBorders>
            <w:shd w:val="clear" w:color="auto" w:fill="auto"/>
            <w:vAlign w:val="top"/>
          </w:tcPr>
          <w:p w14:paraId="0B6759AF">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p>
        </w:tc>
        <w:tc>
          <w:tcPr>
            <w:tcW w:w="2475" w:type="dxa"/>
            <w:vMerge w:val="continue"/>
            <w:tcBorders>
              <w:top w:val="single" w:color="000000" w:sz="4" w:space="0"/>
              <w:left w:val="single" w:color="000000" w:sz="4" w:space="0"/>
              <w:bottom w:val="single" w:color="000000" w:sz="12" w:space="0"/>
              <w:right w:val="single" w:color="000000" w:sz="4" w:space="0"/>
            </w:tcBorders>
            <w:shd w:val="clear" w:color="auto" w:fill="auto"/>
            <w:vAlign w:val="top"/>
          </w:tcPr>
          <w:p w14:paraId="12796C32">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p>
        </w:tc>
        <w:tc>
          <w:tcPr>
            <w:tcW w:w="3377" w:type="dxa"/>
            <w:vMerge w:val="continue"/>
            <w:tcBorders>
              <w:top w:val="single" w:color="000000" w:sz="4" w:space="0"/>
              <w:left w:val="single" w:color="000000" w:sz="4" w:space="0"/>
              <w:bottom w:val="single" w:color="000000" w:sz="12" w:space="0"/>
              <w:right w:val="single" w:color="000000" w:sz="4" w:space="0"/>
            </w:tcBorders>
            <w:shd w:val="clear" w:color="auto" w:fill="auto"/>
            <w:vAlign w:val="top"/>
          </w:tcPr>
          <w:p w14:paraId="751FE69A">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eastAsia="en-US"/>
              </w:rPr>
            </w:pPr>
          </w:p>
        </w:tc>
        <w:tc>
          <w:tcPr>
            <w:tcW w:w="1479" w:type="dxa"/>
            <w:tcBorders>
              <w:top w:val="single" w:color="000000" w:sz="4" w:space="0"/>
              <w:left w:val="single" w:color="000000" w:sz="4" w:space="0"/>
              <w:bottom w:val="single" w:color="000000" w:sz="12" w:space="0"/>
              <w:right w:val="nil"/>
            </w:tcBorders>
            <w:shd w:val="clear" w:color="auto" w:fill="auto"/>
            <w:vAlign w:val="center"/>
          </w:tcPr>
          <w:p w14:paraId="3F00642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val="en-US" w:eastAsia="en-US"/>
              </w:rPr>
            </w:pPr>
            <w:r>
              <w:rPr>
                <w:rFonts w:hint="eastAsia"/>
                <w:snapToGrid w:val="0"/>
                <w:highlight w:val="none"/>
                <w:lang w:val="en-US" w:eastAsia="zh-CN"/>
              </w:rPr>
              <w:t>1000</w:t>
            </w:r>
            <w:r>
              <w:rPr>
                <w:rFonts w:hint="default"/>
                <w:snapToGrid w:val="0"/>
                <w:highlight w:val="none"/>
                <w:lang w:val="en-US" w:eastAsia="en-US"/>
              </w:rPr>
              <w:t>-</w:t>
            </w:r>
            <w:r>
              <w:rPr>
                <w:rFonts w:hint="eastAsia"/>
                <w:snapToGrid w:val="0"/>
                <w:highlight w:val="none"/>
                <w:lang w:val="en-US" w:eastAsia="zh-CN"/>
              </w:rPr>
              <w:t>2000</w:t>
            </w:r>
            <w:r>
              <w:rPr>
                <w:rFonts w:hint="default"/>
                <w:snapToGrid w:val="0"/>
                <w:highlight w:val="none"/>
                <w:lang w:val="en-US" w:eastAsia="en-US"/>
              </w:rPr>
              <w:t>mm</w:t>
            </w:r>
          </w:p>
          <w:p w14:paraId="1D9C1113">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textAlignment w:val="auto"/>
              <w:rPr>
                <w:rFonts w:hint="default"/>
                <w:snapToGrid w:val="0"/>
                <w:highlight w:val="none"/>
                <w:lang w:val="en-US" w:eastAsia="zh-CN"/>
              </w:rPr>
            </w:pPr>
            <w:r>
              <w:rPr>
                <w:rFonts w:hint="eastAsia"/>
                <w:snapToGrid w:val="0"/>
                <w:highlight w:val="none"/>
                <w:lang w:val="en-US" w:eastAsia="zh-CN"/>
              </w:rPr>
              <w:t>棕色壤土</w:t>
            </w:r>
          </w:p>
        </w:tc>
      </w:tr>
      <w:bookmarkEnd w:id="330"/>
    </w:tbl>
    <w:p w14:paraId="56AC7342">
      <w:pPr>
        <w:bidi w:val="0"/>
        <w:rPr>
          <w:rFonts w:hint="eastAsia"/>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lang w:val="en-US" w:eastAsia="zh-CN"/>
        </w:rPr>
        <w:t>土壤环境质量现状监测</w:t>
      </w:r>
    </w:p>
    <w:p w14:paraId="30EAB91A">
      <w:pPr>
        <w:bidi w:val="0"/>
        <w:rPr>
          <w:rFonts w:hint="default"/>
          <w:highlight w:val="none"/>
          <w:lang w:val="en-US" w:eastAsia="zh-CN"/>
        </w:rPr>
      </w:pPr>
      <w:r>
        <w:rPr>
          <w:rFonts w:hint="default" w:ascii="Times New Roman" w:hAnsi="Times New Roman" w:cs="Times New Roman"/>
          <w:highlight w:val="none"/>
          <w:lang w:val="en-US" w:eastAsia="zh-CN"/>
        </w:rPr>
        <w:t>①</w:t>
      </w:r>
      <w:r>
        <w:rPr>
          <w:rFonts w:hint="default"/>
          <w:highlight w:val="none"/>
          <w:lang w:val="en-US" w:eastAsia="zh-CN"/>
        </w:rPr>
        <w:t>监测布点</w:t>
      </w:r>
    </w:p>
    <w:p w14:paraId="71E4E26C">
      <w:pPr>
        <w:bidi w:val="0"/>
        <w:rPr>
          <w:rFonts w:hint="default"/>
          <w:highlight w:val="none"/>
        </w:rPr>
      </w:pPr>
      <w:bookmarkStart w:id="331" w:name="_Toc15170"/>
      <w:r>
        <w:rPr>
          <w:rFonts w:hint="default"/>
          <w:highlight w:val="none"/>
          <w:lang w:val="en-US" w:eastAsia="zh-CN"/>
        </w:rPr>
        <w:t>根据工程分析本次评价的等级为一级，根据《环境影响评价技术导则土壤环境（试行）》的布点原则，本项目属于一级污染影响型项目，在厂区占地范围内设置5个柱状样点，2个表层样点，占地范围外设置4个表层样点。</w:t>
      </w:r>
    </w:p>
    <w:p w14:paraId="252EEC28">
      <w:pPr>
        <w:pStyle w:val="8"/>
        <w:bidi w:val="0"/>
        <w:rPr>
          <w:rFonts w:hint="default"/>
          <w:highlight w:val="none"/>
          <w:lang w:val="en-US" w:eastAsia="zh-CN"/>
        </w:rPr>
      </w:pPr>
    </w:p>
    <w:p w14:paraId="7B9A15E1">
      <w:pPr>
        <w:pStyle w:val="8"/>
        <w:bidi w:val="0"/>
        <w:rPr>
          <w:rFonts w:hint="default"/>
          <w:highlight w:val="none"/>
          <w:lang w:val="en-US" w:eastAsia="zh-CN"/>
        </w:rPr>
      </w:pPr>
    </w:p>
    <w:p w14:paraId="4F01F1C0">
      <w:pPr>
        <w:rPr>
          <w:rFonts w:hint="default"/>
          <w:highlight w:val="none"/>
          <w:lang w:val="en-US" w:eastAsia="zh-CN"/>
        </w:rPr>
      </w:pPr>
    </w:p>
    <w:p w14:paraId="565C4EA1">
      <w:pPr>
        <w:pStyle w:val="8"/>
        <w:bidi w:val="0"/>
        <w:rPr>
          <w:rFonts w:hint="default"/>
          <w:highlight w:val="none"/>
          <w:lang w:val="en-US" w:eastAsia="zh-CN"/>
        </w:rPr>
      </w:pPr>
    </w:p>
    <w:p w14:paraId="4BBD6172">
      <w:pPr>
        <w:pStyle w:val="7"/>
        <w:bidi w:val="0"/>
        <w:rPr>
          <w:rFonts w:hint="default"/>
          <w:highlight w:val="none"/>
        </w:rPr>
      </w:pPr>
      <w:r>
        <w:rPr>
          <w:rFonts w:hint="default"/>
          <w:highlight w:val="none"/>
          <w:lang w:val="en-US" w:eastAsia="zh-CN"/>
        </w:rPr>
        <w:t>表4-2-</w:t>
      </w:r>
      <w:r>
        <w:rPr>
          <w:rFonts w:hint="eastAsia"/>
          <w:highlight w:val="none"/>
          <w:lang w:val="en-US" w:eastAsia="zh-CN"/>
        </w:rPr>
        <w:t>17</w:t>
      </w:r>
      <w:r>
        <w:rPr>
          <w:rFonts w:hint="default"/>
          <w:highlight w:val="none"/>
          <w:lang w:val="en-US" w:eastAsia="zh-CN"/>
        </w:rPr>
        <w:t>土壤监测点位布设情况一览表</w:t>
      </w:r>
    </w:p>
    <w:tbl>
      <w:tblPr>
        <w:tblStyle w:val="741"/>
        <w:tblW w:w="8533"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677"/>
        <w:gridCol w:w="567"/>
        <w:gridCol w:w="1155"/>
        <w:gridCol w:w="4995"/>
        <w:gridCol w:w="1139"/>
      </w:tblGrid>
      <w:tr w14:paraId="0C1E36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42" w:hRule="atLeast"/>
          <w:jc w:val="center"/>
        </w:trPr>
        <w:tc>
          <w:tcPr>
            <w:tcW w:w="677" w:type="dxa"/>
            <w:tcBorders>
              <w:tl2br w:val="nil"/>
              <w:tr2bl w:val="nil"/>
            </w:tcBorders>
            <w:shd w:val="clear" w:color="auto" w:fill="auto"/>
            <w:vAlign w:val="center"/>
          </w:tcPr>
          <w:p w14:paraId="042046AA">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区域</w:t>
            </w:r>
          </w:p>
        </w:tc>
        <w:tc>
          <w:tcPr>
            <w:tcW w:w="567" w:type="dxa"/>
            <w:tcBorders>
              <w:tl2br w:val="nil"/>
              <w:tr2bl w:val="nil"/>
            </w:tcBorders>
            <w:shd w:val="clear" w:color="auto" w:fill="auto"/>
            <w:vAlign w:val="center"/>
          </w:tcPr>
          <w:p w14:paraId="7A3468E0">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编号</w:t>
            </w:r>
          </w:p>
        </w:tc>
        <w:tc>
          <w:tcPr>
            <w:tcW w:w="1155" w:type="dxa"/>
            <w:tcBorders>
              <w:tl2br w:val="nil"/>
              <w:tr2bl w:val="nil"/>
            </w:tcBorders>
            <w:shd w:val="clear" w:color="auto" w:fill="auto"/>
            <w:vAlign w:val="center"/>
          </w:tcPr>
          <w:p w14:paraId="1E8B2373">
            <w:pPr>
              <w:pStyle w:val="8"/>
              <w:suppressLineNumbers w:val="0"/>
              <w:bidi w:val="0"/>
              <w:spacing w:before="0" w:beforeAutospacing="0" w:after="0" w:afterAutospacing="0"/>
              <w:ind w:left="0" w:right="0"/>
              <w:rPr>
                <w:rFonts w:hint="eastAsia"/>
                <w:snapToGrid w:val="0"/>
                <w:highlight w:val="none"/>
                <w:lang w:val="en-US" w:eastAsia="zh-CN"/>
              </w:rPr>
            </w:pPr>
            <w:r>
              <w:rPr>
                <w:rFonts w:hint="default"/>
                <w:snapToGrid w:val="0"/>
                <w:highlight w:val="none"/>
                <w:lang w:val="en-US" w:eastAsia="en-US"/>
              </w:rPr>
              <w:t>监测</w:t>
            </w:r>
            <w:r>
              <w:rPr>
                <w:rFonts w:hint="eastAsia"/>
                <w:snapToGrid w:val="0"/>
                <w:highlight w:val="none"/>
                <w:lang w:val="en-US" w:eastAsia="zh-CN"/>
              </w:rPr>
              <w:t>位置</w:t>
            </w:r>
          </w:p>
        </w:tc>
        <w:tc>
          <w:tcPr>
            <w:tcW w:w="4995" w:type="dxa"/>
            <w:tcBorders>
              <w:tl2br w:val="nil"/>
              <w:tr2bl w:val="nil"/>
            </w:tcBorders>
            <w:shd w:val="clear" w:color="auto" w:fill="auto"/>
            <w:vAlign w:val="center"/>
          </w:tcPr>
          <w:p w14:paraId="3DA30276">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监测项目</w:t>
            </w:r>
          </w:p>
        </w:tc>
        <w:tc>
          <w:tcPr>
            <w:tcW w:w="1139" w:type="dxa"/>
            <w:tcBorders>
              <w:tl2br w:val="nil"/>
              <w:tr2bl w:val="nil"/>
            </w:tcBorders>
            <w:shd w:val="clear" w:color="auto" w:fill="auto"/>
            <w:vAlign w:val="center"/>
          </w:tcPr>
          <w:p w14:paraId="7E1447CE">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取土类型</w:t>
            </w:r>
          </w:p>
        </w:tc>
      </w:tr>
      <w:tr w14:paraId="4F5FC8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81" w:hRule="atLeast"/>
          <w:jc w:val="center"/>
        </w:trPr>
        <w:tc>
          <w:tcPr>
            <w:tcW w:w="677" w:type="dxa"/>
            <w:vMerge w:val="restart"/>
            <w:tcBorders>
              <w:tl2br w:val="nil"/>
              <w:tr2bl w:val="nil"/>
            </w:tcBorders>
            <w:shd w:val="clear" w:color="auto" w:fill="auto"/>
            <w:vAlign w:val="center"/>
          </w:tcPr>
          <w:p w14:paraId="436B984F">
            <w:pPr>
              <w:pStyle w:val="8"/>
              <w:suppressLineNumbers w:val="0"/>
              <w:bidi w:val="0"/>
              <w:spacing w:before="0" w:beforeAutospacing="0" w:after="0" w:afterAutospacing="0"/>
              <w:ind w:left="0" w:right="0"/>
              <w:rPr>
                <w:rFonts w:hint="eastAsia" w:eastAsia="宋体"/>
                <w:snapToGrid w:val="0"/>
                <w:highlight w:val="none"/>
                <w:lang w:eastAsia="zh-CN"/>
              </w:rPr>
            </w:pPr>
            <w:r>
              <w:rPr>
                <w:rFonts w:hint="default"/>
                <w:snapToGrid w:val="0"/>
                <w:highlight w:val="none"/>
                <w:lang w:val="en-US" w:eastAsia="en-US"/>
              </w:rPr>
              <w:t>厂区</w:t>
            </w:r>
            <w:r>
              <w:rPr>
                <w:rFonts w:hint="eastAsia"/>
                <w:snapToGrid w:val="0"/>
                <w:highlight w:val="none"/>
                <w:lang w:val="en-US" w:eastAsia="zh-CN"/>
              </w:rPr>
              <w:t>内</w:t>
            </w:r>
          </w:p>
        </w:tc>
        <w:tc>
          <w:tcPr>
            <w:tcW w:w="567" w:type="dxa"/>
            <w:tcBorders>
              <w:tl2br w:val="nil"/>
              <w:tr2bl w:val="nil"/>
            </w:tcBorders>
            <w:shd w:val="clear" w:color="auto" w:fill="auto"/>
            <w:vAlign w:val="center"/>
          </w:tcPr>
          <w:p w14:paraId="6DFB919E">
            <w:pPr>
              <w:pStyle w:val="8"/>
              <w:suppressLineNumbers w:val="0"/>
              <w:bidi w:val="0"/>
              <w:spacing w:before="0" w:beforeAutospacing="0" w:after="0" w:afterAutospacing="0"/>
              <w:ind w:left="0" w:right="0"/>
              <w:rPr>
                <w:rFonts w:hint="default"/>
                <w:snapToGrid w:val="0"/>
                <w:highlight w:val="none"/>
                <w:lang w:val="en-US" w:eastAsia="zh-CN"/>
              </w:rPr>
            </w:pPr>
            <w:r>
              <w:rPr>
                <w:rFonts w:hint="default"/>
                <w:snapToGrid w:val="0"/>
                <w:highlight w:val="none"/>
                <w:lang w:val="en-US" w:eastAsia="zh-CN"/>
              </w:rPr>
              <w:t>TR</w:t>
            </w:r>
            <w:r>
              <w:rPr>
                <w:rFonts w:hint="eastAsia"/>
                <w:snapToGrid w:val="0"/>
                <w:highlight w:val="none"/>
                <w:lang w:val="en-US" w:eastAsia="zh-CN"/>
              </w:rPr>
              <w:t>1</w:t>
            </w:r>
          </w:p>
        </w:tc>
        <w:tc>
          <w:tcPr>
            <w:tcW w:w="1155" w:type="dxa"/>
            <w:tcBorders>
              <w:tl2br w:val="nil"/>
              <w:tr2bl w:val="nil"/>
            </w:tcBorders>
            <w:shd w:val="clear" w:color="auto" w:fill="auto"/>
            <w:vAlign w:val="center"/>
          </w:tcPr>
          <w:p w14:paraId="567C1D3D">
            <w:pPr>
              <w:pStyle w:val="8"/>
              <w:suppressLineNumbers w:val="0"/>
              <w:bidi w:val="0"/>
              <w:spacing w:before="0" w:beforeAutospacing="0" w:after="0" w:afterAutospacing="0"/>
              <w:ind w:left="0" w:right="0"/>
              <w:rPr>
                <w:rFonts w:hint="default"/>
                <w:snapToGrid w:val="0"/>
                <w:highlight w:val="none"/>
                <w:lang w:val="en-US" w:eastAsia="en-US"/>
              </w:rPr>
            </w:pPr>
            <w:r>
              <w:rPr>
                <w:rFonts w:hint="eastAsia"/>
                <w:snapToGrid w:val="0"/>
                <w:highlight w:val="none"/>
                <w:lang w:val="en-US" w:eastAsia="zh-CN"/>
              </w:rPr>
              <w:t>厂区内大门内</w:t>
            </w:r>
          </w:p>
        </w:tc>
        <w:tc>
          <w:tcPr>
            <w:tcW w:w="4995" w:type="dxa"/>
            <w:vMerge w:val="restart"/>
            <w:tcBorders>
              <w:tl2br w:val="nil"/>
              <w:tr2bl w:val="nil"/>
            </w:tcBorders>
            <w:shd w:val="clear" w:color="auto" w:fill="auto"/>
            <w:vAlign w:val="center"/>
          </w:tcPr>
          <w:p w14:paraId="1C4BE530">
            <w:pPr>
              <w:pStyle w:val="8"/>
              <w:suppressLineNumbers w:val="0"/>
              <w:bidi w:val="0"/>
              <w:spacing w:before="0" w:beforeAutospacing="0" w:after="0" w:afterAutospacing="0"/>
              <w:ind w:left="0" w:right="0"/>
              <w:rPr>
                <w:rFonts w:hint="default" w:eastAsia="宋体"/>
                <w:snapToGrid w:val="0"/>
                <w:highlight w:val="none"/>
                <w:lang w:val="en-US" w:eastAsia="zh-CN"/>
              </w:rPr>
            </w:pPr>
            <w:r>
              <w:rPr>
                <w:rFonts w:hint="eastAsia"/>
                <w:snapToGrid w:val="0"/>
                <w:highlight w:val="none"/>
                <w:lang w:val="en-US" w:eastAsia="zh-CN"/>
              </w:rPr>
              <w:t>pH、石油烃、阳离子交换量、氧化还原电位、容重</w:t>
            </w:r>
          </w:p>
        </w:tc>
        <w:tc>
          <w:tcPr>
            <w:tcW w:w="1139" w:type="dxa"/>
            <w:vMerge w:val="restart"/>
            <w:tcBorders>
              <w:tl2br w:val="nil"/>
              <w:tr2bl w:val="nil"/>
            </w:tcBorders>
            <w:shd w:val="clear" w:color="auto" w:fill="auto"/>
            <w:vAlign w:val="center"/>
          </w:tcPr>
          <w:p w14:paraId="25BF6ABB">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zh-CN"/>
              </w:rPr>
              <w:t>柱状样点，柱</w:t>
            </w:r>
            <w:r>
              <w:rPr>
                <w:rFonts w:hint="eastAsia"/>
                <w:snapToGrid w:val="0"/>
                <w:sz w:val="21"/>
                <w:szCs w:val="21"/>
                <w:highlight w:val="none"/>
                <w:lang w:val="en-US" w:eastAsia="zh-CN"/>
              </w:rPr>
              <w:t>状样点在</w:t>
            </w:r>
            <w:r>
              <w:rPr>
                <w:rFonts w:hint="eastAsia" w:ascii="Times New Roman" w:hAnsi="Perpetua" w:eastAsia="宋体" w:cs="Times New Roman"/>
                <w:snapToGrid w:val="0"/>
                <w:sz w:val="21"/>
                <w:szCs w:val="21"/>
                <w:highlight w:val="none"/>
                <w:lang w:val="en-US" w:eastAsia="zh-CN"/>
              </w:rPr>
              <w:t>0~0.5m、0.5~1.5m、1.5m~3m处取样</w:t>
            </w:r>
          </w:p>
        </w:tc>
      </w:tr>
      <w:tr w14:paraId="108CC67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69" w:hRule="atLeast"/>
          <w:jc w:val="center"/>
        </w:trPr>
        <w:tc>
          <w:tcPr>
            <w:tcW w:w="677" w:type="dxa"/>
            <w:vMerge w:val="continue"/>
            <w:tcBorders>
              <w:tl2br w:val="nil"/>
              <w:tr2bl w:val="nil"/>
            </w:tcBorders>
            <w:shd w:val="clear" w:color="auto" w:fill="auto"/>
            <w:vAlign w:val="center"/>
          </w:tcPr>
          <w:p w14:paraId="7A3B767B">
            <w:pPr>
              <w:pStyle w:val="8"/>
              <w:suppressLineNumbers w:val="0"/>
              <w:bidi w:val="0"/>
              <w:spacing w:before="0" w:beforeAutospacing="0" w:after="0" w:afterAutospacing="0"/>
              <w:ind w:left="0" w:right="0"/>
              <w:rPr>
                <w:rFonts w:hint="default"/>
                <w:snapToGrid w:val="0"/>
                <w:highlight w:val="none"/>
                <w:lang w:eastAsia="en-US"/>
              </w:rPr>
            </w:pPr>
          </w:p>
        </w:tc>
        <w:tc>
          <w:tcPr>
            <w:tcW w:w="567" w:type="dxa"/>
            <w:tcBorders>
              <w:tl2br w:val="nil"/>
              <w:tr2bl w:val="nil"/>
            </w:tcBorders>
            <w:shd w:val="clear" w:color="auto" w:fill="auto"/>
            <w:vAlign w:val="center"/>
          </w:tcPr>
          <w:p w14:paraId="48D16E85">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zh-CN"/>
              </w:rPr>
              <w:t>TR</w:t>
            </w:r>
            <w:r>
              <w:rPr>
                <w:rFonts w:hint="eastAsia"/>
                <w:snapToGrid w:val="0"/>
                <w:highlight w:val="none"/>
                <w:lang w:val="en-US" w:eastAsia="zh-CN"/>
              </w:rPr>
              <w:t>2</w:t>
            </w:r>
          </w:p>
        </w:tc>
        <w:tc>
          <w:tcPr>
            <w:tcW w:w="1155" w:type="dxa"/>
            <w:tcBorders>
              <w:tl2br w:val="nil"/>
              <w:tr2bl w:val="nil"/>
            </w:tcBorders>
            <w:shd w:val="clear" w:color="auto" w:fill="auto"/>
            <w:vAlign w:val="center"/>
          </w:tcPr>
          <w:p w14:paraId="79839762">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zh-CN"/>
              </w:rPr>
              <w:t>厂区内危险废物贮存库旁</w:t>
            </w:r>
          </w:p>
        </w:tc>
        <w:tc>
          <w:tcPr>
            <w:tcW w:w="4995" w:type="dxa"/>
            <w:vMerge w:val="continue"/>
            <w:tcBorders>
              <w:tl2br w:val="nil"/>
              <w:tr2bl w:val="nil"/>
            </w:tcBorders>
            <w:shd w:val="clear" w:color="auto" w:fill="auto"/>
            <w:vAlign w:val="center"/>
          </w:tcPr>
          <w:p w14:paraId="464391D9">
            <w:pPr>
              <w:pStyle w:val="8"/>
              <w:suppressLineNumbers w:val="0"/>
              <w:bidi w:val="0"/>
              <w:spacing w:before="0" w:beforeAutospacing="0" w:after="0" w:afterAutospacing="0"/>
              <w:ind w:left="0" w:right="0"/>
              <w:rPr>
                <w:rFonts w:hint="default" w:eastAsia="宋体"/>
                <w:snapToGrid w:val="0"/>
                <w:highlight w:val="none"/>
                <w:lang w:val="en-US" w:eastAsia="zh-CN"/>
              </w:rPr>
            </w:pPr>
          </w:p>
        </w:tc>
        <w:tc>
          <w:tcPr>
            <w:tcW w:w="1139" w:type="dxa"/>
            <w:vMerge w:val="continue"/>
            <w:tcBorders>
              <w:tl2br w:val="nil"/>
              <w:tr2bl w:val="nil"/>
            </w:tcBorders>
            <w:shd w:val="clear" w:color="auto" w:fill="auto"/>
            <w:vAlign w:val="center"/>
          </w:tcPr>
          <w:p w14:paraId="0048F6D0">
            <w:pPr>
              <w:pStyle w:val="8"/>
              <w:suppressLineNumbers w:val="0"/>
              <w:bidi w:val="0"/>
              <w:spacing w:before="0" w:beforeAutospacing="0" w:after="0" w:afterAutospacing="0"/>
              <w:ind w:left="0" w:right="0"/>
              <w:rPr>
                <w:rFonts w:hint="default"/>
                <w:snapToGrid w:val="0"/>
                <w:highlight w:val="none"/>
                <w:lang w:eastAsia="en-US"/>
              </w:rPr>
            </w:pPr>
          </w:p>
        </w:tc>
      </w:tr>
      <w:tr w14:paraId="4E14D9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98" w:hRule="atLeast"/>
          <w:jc w:val="center"/>
        </w:trPr>
        <w:tc>
          <w:tcPr>
            <w:tcW w:w="677" w:type="dxa"/>
            <w:vMerge w:val="continue"/>
            <w:tcBorders>
              <w:tl2br w:val="nil"/>
              <w:tr2bl w:val="nil"/>
            </w:tcBorders>
            <w:shd w:val="clear" w:color="auto" w:fill="auto"/>
            <w:vAlign w:val="center"/>
          </w:tcPr>
          <w:p w14:paraId="79E480FE">
            <w:pPr>
              <w:pStyle w:val="8"/>
              <w:suppressLineNumbers w:val="0"/>
              <w:bidi w:val="0"/>
              <w:spacing w:before="0" w:beforeAutospacing="0" w:after="0" w:afterAutospacing="0"/>
              <w:ind w:left="0" w:right="0"/>
              <w:rPr>
                <w:rFonts w:hint="default"/>
                <w:snapToGrid w:val="0"/>
                <w:highlight w:val="none"/>
                <w:lang w:eastAsia="en-US"/>
              </w:rPr>
            </w:pPr>
          </w:p>
        </w:tc>
        <w:tc>
          <w:tcPr>
            <w:tcW w:w="567" w:type="dxa"/>
            <w:tcBorders>
              <w:tl2br w:val="nil"/>
              <w:tr2bl w:val="nil"/>
            </w:tcBorders>
            <w:shd w:val="clear" w:color="auto" w:fill="auto"/>
            <w:vAlign w:val="center"/>
          </w:tcPr>
          <w:p w14:paraId="4EA12967">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zh-CN"/>
              </w:rPr>
              <w:t>TR</w:t>
            </w:r>
            <w:r>
              <w:rPr>
                <w:rFonts w:hint="eastAsia"/>
                <w:snapToGrid w:val="0"/>
                <w:highlight w:val="none"/>
                <w:lang w:val="en-US" w:eastAsia="zh-CN"/>
              </w:rPr>
              <w:t>3</w:t>
            </w:r>
          </w:p>
        </w:tc>
        <w:tc>
          <w:tcPr>
            <w:tcW w:w="1155" w:type="dxa"/>
            <w:tcBorders>
              <w:tl2br w:val="nil"/>
              <w:tr2bl w:val="nil"/>
            </w:tcBorders>
            <w:shd w:val="clear" w:color="auto" w:fill="auto"/>
            <w:vAlign w:val="center"/>
          </w:tcPr>
          <w:p w14:paraId="4E4EFA2D">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zh-CN"/>
              </w:rPr>
              <w:t>厂区内生产车间旁</w:t>
            </w:r>
          </w:p>
        </w:tc>
        <w:tc>
          <w:tcPr>
            <w:tcW w:w="4995" w:type="dxa"/>
            <w:tcBorders>
              <w:tl2br w:val="nil"/>
              <w:tr2bl w:val="nil"/>
            </w:tcBorders>
            <w:shd w:val="clear" w:color="auto" w:fill="auto"/>
            <w:vAlign w:val="center"/>
          </w:tcPr>
          <w:p w14:paraId="15A21798">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eastAsia"/>
                <w:snapToGrid w:val="0"/>
                <w:highlight w:val="none"/>
                <w:lang w:val="en-US" w:eastAsia="zh-CN"/>
              </w:rPr>
            </w:pPr>
            <w:r>
              <w:rPr>
                <w:rFonts w:hint="eastAsia"/>
                <w:snapToGrid w:val="0"/>
                <w:highlight w:val="none"/>
                <w:lang w:val="en-US" w:eastAsia="zh-CN"/>
              </w:rPr>
              <w:t>基本因子：砷、镉、铬（六价）、铜、铅、汞、镍、挥发性有机物四氯化碳、氯仿、氯甲烷、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二氯乙烷、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二氯乙烯、顺</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二氯乙烯、反</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二氯乙烯、二氯甲烷、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四氯乙烷、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四氯乙烷、四氯乙烯、</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三氯乙烷、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三氯乙烷、三氯乙烯、</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w:t>
            </w:r>
            <w:r>
              <w:rPr>
                <w:rFonts w:hint="default"/>
                <w:snapToGrid w:val="0"/>
                <w:highlight w:val="none"/>
                <w:lang w:val="en-US" w:eastAsia="zh-CN"/>
              </w:rPr>
              <w:t>3-</w:t>
            </w:r>
            <w:r>
              <w:rPr>
                <w:rFonts w:hint="eastAsia"/>
                <w:snapToGrid w:val="0"/>
                <w:highlight w:val="none"/>
                <w:lang w:val="en-US" w:eastAsia="zh-CN"/>
              </w:rPr>
              <w:t>三氯丙烷、氯乙烯、苯、氯苯、</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二氯苯、</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4-</w:t>
            </w:r>
            <w:r>
              <w:rPr>
                <w:rFonts w:hint="eastAsia"/>
                <w:snapToGrid w:val="0"/>
                <w:highlight w:val="none"/>
                <w:lang w:val="en-US" w:eastAsia="zh-CN"/>
              </w:rPr>
              <w:t>二氯苯、乙苯、苯乙烯、甲苯、间二甲苯</w:t>
            </w:r>
            <w:r>
              <w:rPr>
                <w:rFonts w:hint="default"/>
                <w:snapToGrid w:val="0"/>
                <w:highlight w:val="none"/>
                <w:lang w:val="en-US" w:eastAsia="zh-CN"/>
              </w:rPr>
              <w:t>+</w:t>
            </w:r>
            <w:r>
              <w:rPr>
                <w:rFonts w:hint="eastAsia"/>
                <w:snapToGrid w:val="0"/>
                <w:highlight w:val="none"/>
                <w:lang w:val="en-US" w:eastAsia="zh-CN"/>
              </w:rPr>
              <w:t>对二甲苯、邻二甲苯、半挥发性有机物：硝基苯、苯胺、</w:t>
            </w:r>
            <w:r>
              <w:rPr>
                <w:rFonts w:hint="default"/>
                <w:snapToGrid w:val="0"/>
                <w:highlight w:val="none"/>
                <w:lang w:val="en-US" w:eastAsia="zh-CN"/>
              </w:rPr>
              <w:t>2-</w:t>
            </w:r>
            <w:r>
              <w:rPr>
                <w:rFonts w:hint="eastAsia"/>
                <w:snapToGrid w:val="0"/>
                <w:highlight w:val="none"/>
                <w:lang w:val="en-US" w:eastAsia="zh-CN"/>
              </w:rPr>
              <w:t>氯酚、苯并</w:t>
            </w:r>
            <w:r>
              <w:rPr>
                <w:rFonts w:hint="default"/>
                <w:snapToGrid w:val="0"/>
                <w:highlight w:val="none"/>
                <w:lang w:val="en-US" w:eastAsia="zh-CN"/>
              </w:rPr>
              <w:t>[a]</w:t>
            </w:r>
            <w:r>
              <w:rPr>
                <w:rFonts w:hint="eastAsia"/>
                <w:snapToGrid w:val="0"/>
                <w:highlight w:val="none"/>
                <w:lang w:val="en-US" w:eastAsia="zh-CN"/>
              </w:rPr>
              <w:t>蒽、苯并</w:t>
            </w:r>
            <w:r>
              <w:rPr>
                <w:rFonts w:hint="default"/>
                <w:snapToGrid w:val="0"/>
                <w:highlight w:val="none"/>
                <w:lang w:val="en-US" w:eastAsia="zh-CN"/>
              </w:rPr>
              <w:t>[a]</w:t>
            </w:r>
            <w:r>
              <w:rPr>
                <w:rFonts w:hint="eastAsia"/>
                <w:snapToGrid w:val="0"/>
                <w:highlight w:val="none"/>
                <w:lang w:val="en-US" w:eastAsia="zh-CN"/>
              </w:rPr>
              <w:t>芘、苯并</w:t>
            </w:r>
            <w:r>
              <w:rPr>
                <w:rFonts w:hint="default"/>
                <w:snapToGrid w:val="0"/>
                <w:highlight w:val="none"/>
                <w:lang w:val="en-US" w:eastAsia="zh-CN"/>
              </w:rPr>
              <w:t>[b]</w:t>
            </w:r>
            <w:r>
              <w:rPr>
                <w:rFonts w:hint="eastAsia"/>
                <w:snapToGrid w:val="0"/>
                <w:highlight w:val="none"/>
                <w:lang w:val="en-US" w:eastAsia="zh-CN"/>
              </w:rPr>
              <w:t>荧蒽、苯并</w:t>
            </w:r>
            <w:r>
              <w:rPr>
                <w:rFonts w:hint="default"/>
                <w:snapToGrid w:val="0"/>
                <w:highlight w:val="none"/>
                <w:lang w:val="en-US" w:eastAsia="zh-CN"/>
              </w:rPr>
              <w:t>[k]</w:t>
            </w:r>
            <w:r>
              <w:rPr>
                <w:rFonts w:hint="eastAsia"/>
                <w:snapToGrid w:val="0"/>
                <w:highlight w:val="none"/>
                <w:lang w:val="en-US" w:eastAsia="zh-CN"/>
              </w:rPr>
              <w:t>荧蒽、䓛、二苯并</w:t>
            </w:r>
            <w:r>
              <w:rPr>
                <w:rFonts w:hint="default"/>
                <w:snapToGrid w:val="0"/>
                <w:highlight w:val="none"/>
                <w:lang w:val="en-US" w:eastAsia="zh-CN"/>
              </w:rPr>
              <w:t>[a</w:t>
            </w:r>
            <w:r>
              <w:rPr>
                <w:rFonts w:hint="eastAsia"/>
                <w:snapToGrid w:val="0"/>
                <w:highlight w:val="none"/>
                <w:lang w:val="en-US" w:eastAsia="zh-CN"/>
              </w:rPr>
              <w:t>，</w:t>
            </w:r>
            <w:r>
              <w:rPr>
                <w:rFonts w:hint="default"/>
                <w:snapToGrid w:val="0"/>
                <w:highlight w:val="none"/>
                <w:lang w:val="en-US" w:eastAsia="zh-CN"/>
              </w:rPr>
              <w:t>h]</w:t>
            </w:r>
            <w:r>
              <w:rPr>
                <w:rFonts w:hint="eastAsia"/>
                <w:snapToGrid w:val="0"/>
                <w:highlight w:val="none"/>
                <w:lang w:val="en-US" w:eastAsia="zh-CN"/>
              </w:rPr>
              <w:t>蒽、茚并</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w:t>
            </w:r>
            <w:r>
              <w:rPr>
                <w:rFonts w:hint="default"/>
                <w:snapToGrid w:val="0"/>
                <w:highlight w:val="none"/>
                <w:lang w:val="en-US" w:eastAsia="zh-CN"/>
              </w:rPr>
              <w:t>3-cd]</w:t>
            </w:r>
            <w:r>
              <w:rPr>
                <w:rFonts w:hint="eastAsia"/>
                <w:snapToGrid w:val="0"/>
                <w:highlight w:val="none"/>
                <w:lang w:val="en-US" w:eastAsia="zh-CN"/>
              </w:rPr>
              <w:t>芘、萘</w:t>
            </w:r>
          </w:p>
          <w:p w14:paraId="53031631">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特征因子：石油烃</w:t>
            </w:r>
          </w:p>
        </w:tc>
        <w:tc>
          <w:tcPr>
            <w:tcW w:w="1139" w:type="dxa"/>
            <w:vMerge w:val="continue"/>
            <w:tcBorders>
              <w:tl2br w:val="nil"/>
              <w:tr2bl w:val="nil"/>
            </w:tcBorders>
            <w:shd w:val="clear" w:color="auto" w:fill="auto"/>
            <w:vAlign w:val="center"/>
          </w:tcPr>
          <w:p w14:paraId="09BA4DC2">
            <w:pPr>
              <w:pStyle w:val="8"/>
              <w:suppressLineNumbers w:val="0"/>
              <w:bidi w:val="0"/>
              <w:spacing w:before="0" w:beforeAutospacing="0" w:after="0" w:afterAutospacing="0"/>
              <w:ind w:left="0" w:right="0"/>
              <w:rPr>
                <w:rFonts w:hint="default"/>
                <w:snapToGrid w:val="0"/>
                <w:highlight w:val="none"/>
                <w:lang w:eastAsia="en-US"/>
              </w:rPr>
            </w:pPr>
          </w:p>
        </w:tc>
      </w:tr>
      <w:tr w14:paraId="3172D1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677" w:type="dxa"/>
            <w:vMerge w:val="continue"/>
            <w:tcBorders>
              <w:tl2br w:val="nil"/>
              <w:tr2bl w:val="nil"/>
            </w:tcBorders>
            <w:shd w:val="clear" w:color="auto" w:fill="auto"/>
            <w:vAlign w:val="center"/>
          </w:tcPr>
          <w:p w14:paraId="69025DAF">
            <w:pPr>
              <w:pStyle w:val="8"/>
              <w:suppressLineNumbers w:val="0"/>
              <w:bidi w:val="0"/>
              <w:spacing w:before="0" w:beforeAutospacing="0" w:after="0" w:afterAutospacing="0"/>
              <w:ind w:left="0" w:right="0"/>
              <w:rPr>
                <w:rFonts w:hint="default"/>
                <w:snapToGrid w:val="0"/>
                <w:highlight w:val="none"/>
                <w:lang w:eastAsia="en-US"/>
              </w:rPr>
            </w:pPr>
          </w:p>
        </w:tc>
        <w:tc>
          <w:tcPr>
            <w:tcW w:w="567" w:type="dxa"/>
            <w:tcBorders>
              <w:tl2br w:val="nil"/>
              <w:tr2bl w:val="nil"/>
            </w:tcBorders>
            <w:shd w:val="clear" w:color="auto" w:fill="auto"/>
            <w:vAlign w:val="center"/>
          </w:tcPr>
          <w:p w14:paraId="0E3C9396">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zh-CN"/>
              </w:rPr>
              <w:t>TR</w:t>
            </w:r>
            <w:r>
              <w:rPr>
                <w:rFonts w:hint="eastAsia"/>
                <w:snapToGrid w:val="0"/>
                <w:highlight w:val="none"/>
                <w:lang w:val="en-US" w:eastAsia="zh-CN"/>
              </w:rPr>
              <w:t>4</w:t>
            </w:r>
          </w:p>
        </w:tc>
        <w:tc>
          <w:tcPr>
            <w:tcW w:w="1155" w:type="dxa"/>
            <w:tcBorders>
              <w:tl2br w:val="nil"/>
              <w:tr2bl w:val="nil"/>
            </w:tcBorders>
            <w:shd w:val="clear" w:color="auto" w:fill="auto"/>
            <w:vAlign w:val="center"/>
          </w:tcPr>
          <w:p w14:paraId="23F11D26">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zh-CN"/>
              </w:rPr>
              <w:t>厂区内东南角</w:t>
            </w:r>
          </w:p>
        </w:tc>
        <w:tc>
          <w:tcPr>
            <w:tcW w:w="4995" w:type="dxa"/>
            <w:vMerge w:val="restart"/>
            <w:tcBorders>
              <w:tl2br w:val="nil"/>
              <w:tr2bl w:val="nil"/>
            </w:tcBorders>
            <w:shd w:val="clear" w:color="auto" w:fill="auto"/>
            <w:vAlign w:val="center"/>
          </w:tcPr>
          <w:p w14:paraId="5783C2C1">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zh-CN"/>
              </w:rPr>
              <w:t>pH、石油烃、阳离子交换量、氧化还原电位、容重</w:t>
            </w:r>
          </w:p>
        </w:tc>
        <w:tc>
          <w:tcPr>
            <w:tcW w:w="1139" w:type="dxa"/>
            <w:vMerge w:val="continue"/>
            <w:tcBorders>
              <w:tl2br w:val="nil"/>
              <w:tr2bl w:val="nil"/>
            </w:tcBorders>
            <w:shd w:val="clear" w:color="auto" w:fill="auto"/>
            <w:vAlign w:val="center"/>
          </w:tcPr>
          <w:p w14:paraId="36691B0E">
            <w:pPr>
              <w:pStyle w:val="8"/>
              <w:suppressLineNumbers w:val="0"/>
              <w:bidi w:val="0"/>
              <w:spacing w:before="0" w:beforeAutospacing="0" w:after="0" w:afterAutospacing="0"/>
              <w:ind w:left="0" w:right="0"/>
              <w:rPr>
                <w:rFonts w:hint="default"/>
                <w:snapToGrid w:val="0"/>
                <w:highlight w:val="none"/>
                <w:lang w:eastAsia="en-US"/>
              </w:rPr>
            </w:pPr>
          </w:p>
        </w:tc>
      </w:tr>
      <w:tr w14:paraId="669CC3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677" w:type="dxa"/>
            <w:vMerge w:val="continue"/>
            <w:tcBorders>
              <w:tl2br w:val="nil"/>
              <w:tr2bl w:val="nil"/>
            </w:tcBorders>
            <w:shd w:val="clear" w:color="auto" w:fill="auto"/>
            <w:vAlign w:val="center"/>
          </w:tcPr>
          <w:p w14:paraId="195EEDCA">
            <w:pPr>
              <w:pStyle w:val="8"/>
              <w:suppressLineNumbers w:val="0"/>
              <w:bidi w:val="0"/>
              <w:spacing w:before="0" w:beforeAutospacing="0" w:after="0" w:afterAutospacing="0"/>
              <w:ind w:left="0" w:right="0"/>
              <w:rPr>
                <w:rFonts w:hint="eastAsia" w:eastAsia="宋体"/>
                <w:snapToGrid w:val="0"/>
                <w:highlight w:val="none"/>
                <w:lang w:val="en-US" w:eastAsia="zh-CN"/>
              </w:rPr>
            </w:pPr>
          </w:p>
        </w:tc>
        <w:tc>
          <w:tcPr>
            <w:tcW w:w="567" w:type="dxa"/>
            <w:tcBorders>
              <w:tl2br w:val="nil"/>
              <w:tr2bl w:val="nil"/>
            </w:tcBorders>
            <w:shd w:val="clear" w:color="auto" w:fill="auto"/>
            <w:vAlign w:val="center"/>
          </w:tcPr>
          <w:p w14:paraId="33EC4260">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TR5</w:t>
            </w:r>
          </w:p>
        </w:tc>
        <w:tc>
          <w:tcPr>
            <w:tcW w:w="1155" w:type="dxa"/>
            <w:tcBorders>
              <w:tl2br w:val="nil"/>
              <w:tr2bl w:val="nil"/>
            </w:tcBorders>
            <w:shd w:val="clear" w:color="auto" w:fill="auto"/>
            <w:vAlign w:val="center"/>
          </w:tcPr>
          <w:p w14:paraId="61042D0E">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厂区内西南角</w:t>
            </w:r>
          </w:p>
        </w:tc>
        <w:tc>
          <w:tcPr>
            <w:tcW w:w="4995" w:type="dxa"/>
            <w:vMerge w:val="continue"/>
            <w:tcBorders>
              <w:tl2br w:val="nil"/>
              <w:tr2bl w:val="nil"/>
            </w:tcBorders>
            <w:shd w:val="clear" w:color="auto" w:fill="auto"/>
            <w:vAlign w:val="center"/>
          </w:tcPr>
          <w:p w14:paraId="26883E89">
            <w:pPr>
              <w:pStyle w:val="8"/>
              <w:suppressLineNumbers w:val="0"/>
              <w:bidi w:val="0"/>
              <w:spacing w:before="0" w:beforeAutospacing="0" w:after="0" w:afterAutospacing="0"/>
              <w:ind w:left="0" w:right="0"/>
              <w:rPr>
                <w:rFonts w:hint="default"/>
                <w:snapToGrid w:val="0"/>
                <w:highlight w:val="none"/>
                <w:lang w:eastAsia="en-US"/>
              </w:rPr>
            </w:pPr>
          </w:p>
        </w:tc>
        <w:tc>
          <w:tcPr>
            <w:tcW w:w="1139" w:type="dxa"/>
            <w:vMerge w:val="continue"/>
            <w:tcBorders>
              <w:tl2br w:val="nil"/>
              <w:tr2bl w:val="nil"/>
            </w:tcBorders>
            <w:shd w:val="clear" w:color="auto" w:fill="auto"/>
            <w:vAlign w:val="center"/>
          </w:tcPr>
          <w:p w14:paraId="5D5B4A96">
            <w:pPr>
              <w:pStyle w:val="8"/>
              <w:suppressLineNumbers w:val="0"/>
              <w:bidi w:val="0"/>
              <w:spacing w:before="0" w:beforeAutospacing="0" w:after="0" w:afterAutospacing="0"/>
              <w:ind w:left="0" w:right="0"/>
              <w:rPr>
                <w:rFonts w:hint="default" w:eastAsia="宋体"/>
                <w:snapToGrid w:val="0"/>
                <w:highlight w:val="none"/>
                <w:lang w:val="en-US" w:eastAsia="zh-CN"/>
              </w:rPr>
            </w:pPr>
          </w:p>
        </w:tc>
      </w:tr>
      <w:tr w14:paraId="6D35356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677" w:type="dxa"/>
            <w:vMerge w:val="continue"/>
            <w:tcBorders>
              <w:tl2br w:val="nil"/>
              <w:tr2bl w:val="nil"/>
            </w:tcBorders>
            <w:shd w:val="clear" w:color="auto" w:fill="auto"/>
            <w:vAlign w:val="center"/>
          </w:tcPr>
          <w:p w14:paraId="5DE96F93">
            <w:pPr>
              <w:pStyle w:val="8"/>
              <w:suppressLineNumbers w:val="0"/>
              <w:bidi w:val="0"/>
              <w:spacing w:before="0" w:beforeAutospacing="0" w:after="0" w:afterAutospacing="0"/>
              <w:ind w:left="0" w:right="0"/>
              <w:rPr>
                <w:rFonts w:hint="default"/>
                <w:snapToGrid w:val="0"/>
                <w:highlight w:val="none"/>
                <w:lang w:eastAsia="en-US"/>
              </w:rPr>
            </w:pPr>
          </w:p>
        </w:tc>
        <w:tc>
          <w:tcPr>
            <w:tcW w:w="567" w:type="dxa"/>
            <w:tcBorders>
              <w:tl2br w:val="nil"/>
              <w:tr2bl w:val="nil"/>
            </w:tcBorders>
            <w:shd w:val="clear" w:color="auto" w:fill="auto"/>
            <w:vAlign w:val="center"/>
          </w:tcPr>
          <w:p w14:paraId="2A1C64DF">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TR6</w:t>
            </w:r>
          </w:p>
        </w:tc>
        <w:tc>
          <w:tcPr>
            <w:tcW w:w="1155" w:type="dxa"/>
            <w:tcBorders>
              <w:tl2br w:val="nil"/>
              <w:tr2bl w:val="nil"/>
            </w:tcBorders>
            <w:shd w:val="clear" w:color="auto" w:fill="auto"/>
            <w:vAlign w:val="center"/>
          </w:tcPr>
          <w:p w14:paraId="73CAF69F">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厂区内中央</w:t>
            </w:r>
          </w:p>
        </w:tc>
        <w:tc>
          <w:tcPr>
            <w:tcW w:w="4995" w:type="dxa"/>
            <w:vMerge w:val="continue"/>
            <w:tcBorders>
              <w:tl2br w:val="nil"/>
              <w:tr2bl w:val="nil"/>
            </w:tcBorders>
            <w:shd w:val="clear" w:color="auto" w:fill="auto"/>
            <w:vAlign w:val="center"/>
          </w:tcPr>
          <w:p w14:paraId="70DA30D6">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snapToGrid w:val="0"/>
                <w:highlight w:val="none"/>
                <w:lang w:eastAsia="en-US"/>
              </w:rPr>
            </w:pPr>
          </w:p>
        </w:tc>
        <w:tc>
          <w:tcPr>
            <w:tcW w:w="1139" w:type="dxa"/>
            <w:vMerge w:val="restart"/>
            <w:tcBorders>
              <w:tl2br w:val="nil"/>
              <w:tr2bl w:val="nil"/>
            </w:tcBorders>
            <w:shd w:val="clear" w:color="auto" w:fill="auto"/>
            <w:vAlign w:val="center"/>
          </w:tcPr>
          <w:p w14:paraId="0B75D533">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表层样点，表层样点在0~0.2m取样</w:t>
            </w:r>
          </w:p>
        </w:tc>
      </w:tr>
      <w:tr w14:paraId="715199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677" w:type="dxa"/>
            <w:vMerge w:val="continue"/>
            <w:tcBorders>
              <w:tl2br w:val="nil"/>
              <w:tr2bl w:val="nil"/>
            </w:tcBorders>
            <w:shd w:val="clear" w:color="auto" w:fill="auto"/>
            <w:vAlign w:val="center"/>
          </w:tcPr>
          <w:p w14:paraId="5B1DC38C">
            <w:pPr>
              <w:pStyle w:val="8"/>
              <w:suppressLineNumbers w:val="0"/>
              <w:bidi w:val="0"/>
              <w:spacing w:before="0" w:beforeAutospacing="0" w:after="0" w:afterAutospacing="0"/>
              <w:ind w:left="0" w:right="0"/>
              <w:rPr>
                <w:rFonts w:hint="default"/>
                <w:snapToGrid w:val="0"/>
                <w:highlight w:val="none"/>
                <w:lang w:eastAsia="en-US"/>
              </w:rPr>
            </w:pPr>
          </w:p>
        </w:tc>
        <w:tc>
          <w:tcPr>
            <w:tcW w:w="567" w:type="dxa"/>
            <w:tcBorders>
              <w:tl2br w:val="nil"/>
              <w:tr2bl w:val="nil"/>
            </w:tcBorders>
            <w:shd w:val="clear" w:color="auto" w:fill="auto"/>
            <w:vAlign w:val="center"/>
          </w:tcPr>
          <w:p w14:paraId="26F008B1">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TR7</w:t>
            </w:r>
          </w:p>
        </w:tc>
        <w:tc>
          <w:tcPr>
            <w:tcW w:w="1155" w:type="dxa"/>
            <w:tcBorders>
              <w:tl2br w:val="nil"/>
              <w:tr2bl w:val="nil"/>
            </w:tcBorders>
            <w:shd w:val="clear" w:color="auto" w:fill="auto"/>
            <w:vAlign w:val="center"/>
          </w:tcPr>
          <w:p w14:paraId="27694426">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厂区内生产车间南侧</w:t>
            </w:r>
          </w:p>
        </w:tc>
        <w:tc>
          <w:tcPr>
            <w:tcW w:w="4995" w:type="dxa"/>
            <w:vMerge w:val="continue"/>
            <w:tcBorders>
              <w:tl2br w:val="nil"/>
              <w:tr2bl w:val="nil"/>
            </w:tcBorders>
            <w:shd w:val="clear" w:color="auto" w:fill="auto"/>
            <w:vAlign w:val="center"/>
          </w:tcPr>
          <w:p w14:paraId="36EF2C1E">
            <w:pPr>
              <w:pStyle w:val="8"/>
              <w:suppressLineNumbers w:val="0"/>
              <w:bidi w:val="0"/>
              <w:spacing w:before="0" w:beforeAutospacing="0" w:after="0" w:afterAutospacing="0"/>
              <w:ind w:left="0" w:right="0"/>
              <w:rPr>
                <w:rFonts w:hint="default"/>
                <w:snapToGrid w:val="0"/>
                <w:highlight w:val="none"/>
                <w:lang w:eastAsia="en-US"/>
              </w:rPr>
            </w:pPr>
          </w:p>
        </w:tc>
        <w:tc>
          <w:tcPr>
            <w:tcW w:w="1139" w:type="dxa"/>
            <w:vMerge w:val="continue"/>
            <w:tcBorders>
              <w:tl2br w:val="nil"/>
              <w:tr2bl w:val="nil"/>
            </w:tcBorders>
            <w:shd w:val="clear" w:color="auto" w:fill="auto"/>
            <w:vAlign w:val="center"/>
          </w:tcPr>
          <w:p w14:paraId="57B7617D">
            <w:pPr>
              <w:pStyle w:val="8"/>
              <w:suppressLineNumbers w:val="0"/>
              <w:bidi w:val="0"/>
              <w:spacing w:before="0" w:beforeAutospacing="0" w:after="0" w:afterAutospacing="0"/>
              <w:ind w:left="0" w:right="0"/>
              <w:rPr>
                <w:rFonts w:hint="default"/>
                <w:snapToGrid w:val="0"/>
                <w:highlight w:val="none"/>
                <w:lang w:eastAsia="en-US"/>
              </w:rPr>
            </w:pPr>
          </w:p>
        </w:tc>
      </w:tr>
      <w:tr w14:paraId="5EB7CC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677" w:type="dxa"/>
            <w:tcBorders>
              <w:tl2br w:val="nil"/>
              <w:tr2bl w:val="nil"/>
            </w:tcBorders>
            <w:shd w:val="clear" w:color="auto" w:fill="auto"/>
            <w:vAlign w:val="center"/>
          </w:tcPr>
          <w:p w14:paraId="6A61D5B1">
            <w:pPr>
              <w:pStyle w:val="8"/>
              <w:suppressLineNumbers w:val="0"/>
              <w:bidi w:val="0"/>
              <w:spacing w:before="0" w:beforeAutospacing="0" w:after="0" w:afterAutospacing="0"/>
              <w:ind w:left="0" w:right="0"/>
              <w:rPr>
                <w:rFonts w:hint="eastAsia" w:eastAsia="宋体"/>
                <w:snapToGrid w:val="0"/>
                <w:highlight w:val="none"/>
                <w:lang w:eastAsia="zh-CN"/>
              </w:rPr>
            </w:pPr>
            <w:r>
              <w:rPr>
                <w:rFonts w:hint="eastAsia"/>
                <w:snapToGrid w:val="0"/>
                <w:highlight w:val="none"/>
                <w:lang w:eastAsia="zh-CN"/>
              </w:rPr>
              <w:t>厂区外</w:t>
            </w:r>
          </w:p>
        </w:tc>
        <w:tc>
          <w:tcPr>
            <w:tcW w:w="567" w:type="dxa"/>
            <w:tcBorders>
              <w:tl2br w:val="nil"/>
              <w:tr2bl w:val="nil"/>
            </w:tcBorders>
            <w:shd w:val="clear" w:color="auto" w:fill="auto"/>
            <w:vAlign w:val="center"/>
          </w:tcPr>
          <w:p w14:paraId="0C92D37D">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TR8</w:t>
            </w:r>
          </w:p>
        </w:tc>
        <w:tc>
          <w:tcPr>
            <w:tcW w:w="1155" w:type="dxa"/>
            <w:tcBorders>
              <w:tl2br w:val="nil"/>
              <w:tr2bl w:val="nil"/>
            </w:tcBorders>
            <w:shd w:val="clear" w:color="auto" w:fill="auto"/>
            <w:vAlign w:val="center"/>
          </w:tcPr>
          <w:p w14:paraId="7BD95AAA">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厂区外东南侧</w:t>
            </w:r>
          </w:p>
        </w:tc>
        <w:tc>
          <w:tcPr>
            <w:tcW w:w="4995" w:type="dxa"/>
            <w:tcBorders>
              <w:tl2br w:val="nil"/>
              <w:tr2bl w:val="nil"/>
            </w:tcBorders>
            <w:shd w:val="clear" w:color="auto" w:fill="auto"/>
            <w:vAlign w:val="center"/>
          </w:tcPr>
          <w:p w14:paraId="0F972893">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ind w:left="0" w:right="0" w:firstLine="420" w:firstLineChars="200"/>
              <w:textAlignment w:val="auto"/>
              <w:rPr>
                <w:rFonts w:hint="eastAsia"/>
                <w:snapToGrid w:val="0"/>
                <w:highlight w:val="none"/>
                <w:lang w:val="en-US" w:eastAsia="zh-CN"/>
              </w:rPr>
            </w:pPr>
            <w:r>
              <w:rPr>
                <w:rFonts w:hint="eastAsia"/>
                <w:snapToGrid w:val="0"/>
                <w:highlight w:val="none"/>
                <w:lang w:val="en-US" w:eastAsia="zh-CN"/>
              </w:rPr>
              <w:t>基本因子：砷、镉、铬（六价）、铜、铅、汞、镍、挥发性有机物四氯化碳、氯仿、氯甲烷、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二氯乙烷、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二氯乙烯、顺</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二氯乙烯、反</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二氯乙烯、二氯甲烷、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四氯乙烷、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四氯乙烷、四氯乙烯、</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三氯乙烷、</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三氯乙烷、三氯乙烯、</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w:t>
            </w:r>
            <w:r>
              <w:rPr>
                <w:rFonts w:hint="default"/>
                <w:snapToGrid w:val="0"/>
                <w:highlight w:val="none"/>
                <w:lang w:val="en-US" w:eastAsia="zh-CN"/>
              </w:rPr>
              <w:t>3-</w:t>
            </w:r>
            <w:r>
              <w:rPr>
                <w:rFonts w:hint="eastAsia"/>
                <w:snapToGrid w:val="0"/>
                <w:highlight w:val="none"/>
                <w:lang w:val="en-US" w:eastAsia="zh-CN"/>
              </w:rPr>
              <w:t>三氯丙烷、氯乙烯、苯、氯苯、</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二氯苯、</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4-</w:t>
            </w:r>
            <w:r>
              <w:rPr>
                <w:rFonts w:hint="eastAsia"/>
                <w:snapToGrid w:val="0"/>
                <w:highlight w:val="none"/>
                <w:lang w:val="en-US" w:eastAsia="zh-CN"/>
              </w:rPr>
              <w:t>二氯苯、乙苯、苯乙烯、甲苯、间二甲苯</w:t>
            </w:r>
            <w:r>
              <w:rPr>
                <w:rFonts w:hint="default"/>
                <w:snapToGrid w:val="0"/>
                <w:highlight w:val="none"/>
                <w:lang w:val="en-US" w:eastAsia="zh-CN"/>
              </w:rPr>
              <w:t>+</w:t>
            </w:r>
            <w:r>
              <w:rPr>
                <w:rFonts w:hint="eastAsia"/>
                <w:snapToGrid w:val="0"/>
                <w:highlight w:val="none"/>
                <w:lang w:val="en-US" w:eastAsia="zh-CN"/>
              </w:rPr>
              <w:t>对二甲苯、邻二甲苯、半挥发性有机物：硝基苯、苯胺、</w:t>
            </w:r>
            <w:r>
              <w:rPr>
                <w:rFonts w:hint="default"/>
                <w:snapToGrid w:val="0"/>
                <w:highlight w:val="none"/>
                <w:lang w:val="en-US" w:eastAsia="zh-CN"/>
              </w:rPr>
              <w:t>2-</w:t>
            </w:r>
            <w:r>
              <w:rPr>
                <w:rFonts w:hint="eastAsia"/>
                <w:snapToGrid w:val="0"/>
                <w:highlight w:val="none"/>
                <w:lang w:val="en-US" w:eastAsia="zh-CN"/>
              </w:rPr>
              <w:t>氯酚、苯并</w:t>
            </w:r>
            <w:r>
              <w:rPr>
                <w:rFonts w:hint="default"/>
                <w:snapToGrid w:val="0"/>
                <w:highlight w:val="none"/>
                <w:lang w:val="en-US" w:eastAsia="zh-CN"/>
              </w:rPr>
              <w:t>[a]</w:t>
            </w:r>
            <w:r>
              <w:rPr>
                <w:rFonts w:hint="eastAsia"/>
                <w:snapToGrid w:val="0"/>
                <w:highlight w:val="none"/>
                <w:lang w:val="en-US" w:eastAsia="zh-CN"/>
              </w:rPr>
              <w:t>蒽、苯并</w:t>
            </w:r>
            <w:r>
              <w:rPr>
                <w:rFonts w:hint="default"/>
                <w:snapToGrid w:val="0"/>
                <w:highlight w:val="none"/>
                <w:lang w:val="en-US" w:eastAsia="zh-CN"/>
              </w:rPr>
              <w:t>[a]</w:t>
            </w:r>
            <w:r>
              <w:rPr>
                <w:rFonts w:hint="eastAsia"/>
                <w:snapToGrid w:val="0"/>
                <w:highlight w:val="none"/>
                <w:lang w:val="en-US" w:eastAsia="zh-CN"/>
              </w:rPr>
              <w:t>芘、苯并</w:t>
            </w:r>
            <w:r>
              <w:rPr>
                <w:rFonts w:hint="default"/>
                <w:snapToGrid w:val="0"/>
                <w:highlight w:val="none"/>
                <w:lang w:val="en-US" w:eastAsia="zh-CN"/>
              </w:rPr>
              <w:t>[b]</w:t>
            </w:r>
            <w:r>
              <w:rPr>
                <w:rFonts w:hint="eastAsia"/>
                <w:snapToGrid w:val="0"/>
                <w:highlight w:val="none"/>
                <w:lang w:val="en-US" w:eastAsia="zh-CN"/>
              </w:rPr>
              <w:t>荧蒽、苯并</w:t>
            </w:r>
            <w:r>
              <w:rPr>
                <w:rFonts w:hint="default"/>
                <w:snapToGrid w:val="0"/>
                <w:highlight w:val="none"/>
                <w:lang w:val="en-US" w:eastAsia="zh-CN"/>
              </w:rPr>
              <w:t>[k]</w:t>
            </w:r>
            <w:r>
              <w:rPr>
                <w:rFonts w:hint="eastAsia"/>
                <w:snapToGrid w:val="0"/>
                <w:highlight w:val="none"/>
                <w:lang w:val="en-US" w:eastAsia="zh-CN"/>
              </w:rPr>
              <w:t>荧蒽、䓛、二苯并</w:t>
            </w:r>
            <w:r>
              <w:rPr>
                <w:rFonts w:hint="default"/>
                <w:snapToGrid w:val="0"/>
                <w:highlight w:val="none"/>
                <w:lang w:val="en-US" w:eastAsia="zh-CN"/>
              </w:rPr>
              <w:t>[a</w:t>
            </w:r>
            <w:r>
              <w:rPr>
                <w:rFonts w:hint="eastAsia"/>
                <w:snapToGrid w:val="0"/>
                <w:highlight w:val="none"/>
                <w:lang w:val="en-US" w:eastAsia="zh-CN"/>
              </w:rPr>
              <w:t>，</w:t>
            </w:r>
            <w:r>
              <w:rPr>
                <w:rFonts w:hint="default"/>
                <w:snapToGrid w:val="0"/>
                <w:highlight w:val="none"/>
                <w:lang w:val="en-US" w:eastAsia="zh-CN"/>
              </w:rPr>
              <w:t>h]</w:t>
            </w:r>
            <w:r>
              <w:rPr>
                <w:rFonts w:hint="eastAsia"/>
                <w:snapToGrid w:val="0"/>
                <w:highlight w:val="none"/>
                <w:lang w:val="en-US" w:eastAsia="zh-CN"/>
              </w:rPr>
              <w:t>蒽、茚并</w:t>
            </w:r>
            <w:r>
              <w:rPr>
                <w:rFonts w:hint="default"/>
                <w:snapToGrid w:val="0"/>
                <w:highlight w:val="none"/>
                <w:lang w:val="en-US" w:eastAsia="zh-CN"/>
              </w:rPr>
              <w:t>[1</w:t>
            </w:r>
            <w:r>
              <w:rPr>
                <w:rFonts w:hint="eastAsia"/>
                <w:snapToGrid w:val="0"/>
                <w:highlight w:val="none"/>
                <w:lang w:val="en-US" w:eastAsia="zh-CN"/>
              </w:rPr>
              <w:t>，</w:t>
            </w:r>
            <w:r>
              <w:rPr>
                <w:rFonts w:hint="default"/>
                <w:snapToGrid w:val="0"/>
                <w:highlight w:val="none"/>
                <w:lang w:val="en-US" w:eastAsia="zh-CN"/>
              </w:rPr>
              <w:t>2</w:t>
            </w:r>
            <w:r>
              <w:rPr>
                <w:rFonts w:hint="eastAsia"/>
                <w:snapToGrid w:val="0"/>
                <w:highlight w:val="none"/>
                <w:lang w:val="en-US" w:eastAsia="zh-CN"/>
              </w:rPr>
              <w:t>，</w:t>
            </w:r>
            <w:r>
              <w:rPr>
                <w:rFonts w:hint="default"/>
                <w:snapToGrid w:val="0"/>
                <w:highlight w:val="none"/>
                <w:lang w:val="en-US" w:eastAsia="zh-CN"/>
              </w:rPr>
              <w:t>3-cd]</w:t>
            </w:r>
            <w:r>
              <w:rPr>
                <w:rFonts w:hint="eastAsia"/>
                <w:snapToGrid w:val="0"/>
                <w:highlight w:val="none"/>
                <w:lang w:val="en-US" w:eastAsia="zh-CN"/>
              </w:rPr>
              <w:t>芘、萘</w:t>
            </w:r>
          </w:p>
          <w:p w14:paraId="1DC61F0A">
            <w:pPr>
              <w:pStyle w:val="8"/>
              <w:suppressLineNumbers w:val="0"/>
              <w:bidi w:val="0"/>
              <w:spacing w:before="0" w:beforeAutospacing="0" w:after="0" w:afterAutospacing="0"/>
              <w:ind w:left="0" w:right="0"/>
              <w:rPr>
                <w:rFonts w:hint="default"/>
                <w:snapToGrid w:val="0"/>
                <w:highlight w:val="none"/>
                <w:lang w:eastAsia="en-US"/>
              </w:rPr>
            </w:pPr>
            <w:r>
              <w:rPr>
                <w:rFonts w:hint="default"/>
                <w:snapToGrid w:val="0"/>
                <w:highlight w:val="none"/>
                <w:lang w:val="en-US" w:eastAsia="en-US"/>
              </w:rPr>
              <w:t>特征因子：石油烃</w:t>
            </w:r>
          </w:p>
        </w:tc>
        <w:tc>
          <w:tcPr>
            <w:tcW w:w="1139" w:type="dxa"/>
            <w:vMerge w:val="continue"/>
            <w:tcBorders>
              <w:tl2br w:val="nil"/>
              <w:tr2bl w:val="nil"/>
            </w:tcBorders>
            <w:shd w:val="clear" w:color="auto" w:fill="auto"/>
            <w:vAlign w:val="center"/>
          </w:tcPr>
          <w:p w14:paraId="0ADBAC72">
            <w:pPr>
              <w:pStyle w:val="8"/>
              <w:suppressLineNumbers w:val="0"/>
              <w:bidi w:val="0"/>
              <w:spacing w:before="0" w:beforeAutospacing="0" w:after="0" w:afterAutospacing="0"/>
              <w:ind w:left="0" w:right="0"/>
              <w:rPr>
                <w:rFonts w:hint="default"/>
                <w:snapToGrid w:val="0"/>
                <w:highlight w:val="none"/>
                <w:lang w:eastAsia="en-US"/>
              </w:rPr>
            </w:pPr>
          </w:p>
        </w:tc>
      </w:tr>
      <w:tr w14:paraId="6C4AC5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677" w:type="dxa"/>
            <w:tcBorders>
              <w:tl2br w:val="nil"/>
              <w:tr2bl w:val="nil"/>
            </w:tcBorders>
            <w:shd w:val="clear" w:color="auto" w:fill="auto"/>
            <w:vAlign w:val="center"/>
          </w:tcPr>
          <w:p w14:paraId="321A422B">
            <w:pPr>
              <w:pStyle w:val="8"/>
              <w:suppressLineNumbers w:val="0"/>
              <w:bidi w:val="0"/>
              <w:spacing w:before="0" w:beforeAutospacing="0" w:after="0" w:afterAutospacing="0"/>
              <w:ind w:left="0" w:right="0"/>
              <w:rPr>
                <w:rFonts w:hint="default"/>
                <w:snapToGrid w:val="0"/>
                <w:highlight w:val="none"/>
                <w:lang w:eastAsia="en-US"/>
              </w:rPr>
            </w:pPr>
          </w:p>
        </w:tc>
        <w:tc>
          <w:tcPr>
            <w:tcW w:w="567" w:type="dxa"/>
            <w:tcBorders>
              <w:tl2br w:val="nil"/>
              <w:tr2bl w:val="nil"/>
            </w:tcBorders>
            <w:shd w:val="clear" w:color="auto" w:fill="auto"/>
            <w:vAlign w:val="center"/>
          </w:tcPr>
          <w:p w14:paraId="1CCC8AF8">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TR9</w:t>
            </w:r>
          </w:p>
        </w:tc>
        <w:tc>
          <w:tcPr>
            <w:tcW w:w="1155" w:type="dxa"/>
            <w:tcBorders>
              <w:tl2br w:val="nil"/>
              <w:tr2bl w:val="nil"/>
            </w:tcBorders>
            <w:shd w:val="clear" w:color="auto" w:fill="auto"/>
            <w:vAlign w:val="center"/>
          </w:tcPr>
          <w:p w14:paraId="50E9CA59">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厂区外北侧</w:t>
            </w:r>
          </w:p>
        </w:tc>
        <w:tc>
          <w:tcPr>
            <w:tcW w:w="4995" w:type="dxa"/>
            <w:vMerge w:val="restart"/>
            <w:tcBorders>
              <w:tl2br w:val="nil"/>
              <w:tr2bl w:val="nil"/>
            </w:tcBorders>
            <w:shd w:val="clear" w:color="auto" w:fill="auto"/>
            <w:vAlign w:val="center"/>
          </w:tcPr>
          <w:p w14:paraId="13101830">
            <w:pPr>
              <w:pStyle w:val="8"/>
              <w:suppressLineNumbers w:val="0"/>
              <w:bidi w:val="0"/>
              <w:spacing w:before="0" w:beforeAutospacing="0" w:after="0" w:afterAutospacing="0"/>
              <w:ind w:left="0" w:right="0"/>
              <w:rPr>
                <w:rFonts w:hint="default"/>
                <w:snapToGrid w:val="0"/>
                <w:highlight w:val="none"/>
                <w:lang w:eastAsia="en-US"/>
              </w:rPr>
            </w:pPr>
            <w:r>
              <w:rPr>
                <w:rFonts w:hint="eastAsia"/>
                <w:snapToGrid w:val="0"/>
                <w:highlight w:val="none"/>
                <w:lang w:val="en-US" w:eastAsia="zh-CN"/>
              </w:rPr>
              <w:t>pH、石油烃、阳离子交换量、氧化还原电位、容重</w:t>
            </w:r>
          </w:p>
        </w:tc>
        <w:tc>
          <w:tcPr>
            <w:tcW w:w="1139" w:type="dxa"/>
            <w:vMerge w:val="continue"/>
            <w:tcBorders>
              <w:tl2br w:val="nil"/>
              <w:tr2bl w:val="nil"/>
            </w:tcBorders>
            <w:shd w:val="clear" w:color="auto" w:fill="auto"/>
            <w:vAlign w:val="center"/>
          </w:tcPr>
          <w:p w14:paraId="6A4EBEF8">
            <w:pPr>
              <w:pStyle w:val="8"/>
              <w:suppressLineNumbers w:val="0"/>
              <w:bidi w:val="0"/>
              <w:spacing w:before="0" w:beforeAutospacing="0" w:after="0" w:afterAutospacing="0"/>
              <w:ind w:left="0" w:right="0"/>
              <w:rPr>
                <w:rFonts w:hint="default"/>
                <w:snapToGrid w:val="0"/>
                <w:highlight w:val="none"/>
                <w:lang w:eastAsia="en-US"/>
              </w:rPr>
            </w:pPr>
          </w:p>
        </w:tc>
      </w:tr>
      <w:tr w14:paraId="5B19FED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677" w:type="dxa"/>
            <w:tcBorders>
              <w:tl2br w:val="nil"/>
              <w:tr2bl w:val="nil"/>
            </w:tcBorders>
            <w:shd w:val="clear" w:color="auto" w:fill="auto"/>
            <w:vAlign w:val="center"/>
          </w:tcPr>
          <w:p w14:paraId="6E91233E">
            <w:pPr>
              <w:pStyle w:val="8"/>
              <w:suppressLineNumbers w:val="0"/>
              <w:bidi w:val="0"/>
              <w:spacing w:before="0" w:beforeAutospacing="0" w:after="0" w:afterAutospacing="0"/>
              <w:ind w:left="0" w:right="0"/>
              <w:rPr>
                <w:rFonts w:hint="default"/>
                <w:snapToGrid w:val="0"/>
                <w:highlight w:val="none"/>
                <w:lang w:eastAsia="en-US"/>
              </w:rPr>
            </w:pPr>
          </w:p>
        </w:tc>
        <w:tc>
          <w:tcPr>
            <w:tcW w:w="567" w:type="dxa"/>
            <w:tcBorders>
              <w:tl2br w:val="nil"/>
              <w:tr2bl w:val="nil"/>
            </w:tcBorders>
            <w:shd w:val="clear" w:color="auto" w:fill="auto"/>
            <w:vAlign w:val="center"/>
          </w:tcPr>
          <w:p w14:paraId="6D755887">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TR10</w:t>
            </w:r>
          </w:p>
        </w:tc>
        <w:tc>
          <w:tcPr>
            <w:tcW w:w="1155" w:type="dxa"/>
            <w:tcBorders>
              <w:tl2br w:val="nil"/>
              <w:tr2bl w:val="nil"/>
            </w:tcBorders>
            <w:shd w:val="clear" w:color="auto" w:fill="auto"/>
            <w:vAlign w:val="center"/>
          </w:tcPr>
          <w:p w14:paraId="77189591">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厂区外西北侧</w:t>
            </w:r>
          </w:p>
        </w:tc>
        <w:tc>
          <w:tcPr>
            <w:tcW w:w="4995" w:type="dxa"/>
            <w:vMerge w:val="continue"/>
            <w:tcBorders>
              <w:tl2br w:val="nil"/>
              <w:tr2bl w:val="nil"/>
            </w:tcBorders>
            <w:shd w:val="clear" w:color="auto" w:fill="auto"/>
            <w:vAlign w:val="center"/>
          </w:tcPr>
          <w:p w14:paraId="6D7177A8">
            <w:pPr>
              <w:pStyle w:val="8"/>
              <w:suppressLineNumbers w:val="0"/>
              <w:bidi w:val="0"/>
              <w:spacing w:before="0" w:beforeAutospacing="0" w:after="0" w:afterAutospacing="0"/>
              <w:ind w:left="0" w:right="0"/>
              <w:rPr>
                <w:rFonts w:hint="default"/>
                <w:snapToGrid w:val="0"/>
                <w:highlight w:val="none"/>
                <w:lang w:eastAsia="en-US"/>
              </w:rPr>
            </w:pPr>
          </w:p>
        </w:tc>
        <w:tc>
          <w:tcPr>
            <w:tcW w:w="1139" w:type="dxa"/>
            <w:vMerge w:val="continue"/>
            <w:tcBorders>
              <w:tl2br w:val="nil"/>
              <w:tr2bl w:val="nil"/>
            </w:tcBorders>
            <w:shd w:val="clear" w:color="auto" w:fill="auto"/>
            <w:vAlign w:val="center"/>
          </w:tcPr>
          <w:p w14:paraId="651B1A94">
            <w:pPr>
              <w:pStyle w:val="8"/>
              <w:suppressLineNumbers w:val="0"/>
              <w:bidi w:val="0"/>
              <w:spacing w:before="0" w:beforeAutospacing="0" w:after="0" w:afterAutospacing="0"/>
              <w:ind w:left="0" w:right="0"/>
              <w:rPr>
                <w:rFonts w:hint="default"/>
                <w:snapToGrid w:val="0"/>
                <w:highlight w:val="none"/>
                <w:lang w:eastAsia="en-US"/>
              </w:rPr>
            </w:pPr>
          </w:p>
        </w:tc>
      </w:tr>
      <w:tr w14:paraId="6D2ED8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677" w:type="dxa"/>
            <w:tcBorders>
              <w:tl2br w:val="nil"/>
              <w:tr2bl w:val="nil"/>
            </w:tcBorders>
            <w:shd w:val="clear" w:color="auto" w:fill="auto"/>
            <w:vAlign w:val="center"/>
          </w:tcPr>
          <w:p w14:paraId="657BED9B">
            <w:pPr>
              <w:pStyle w:val="8"/>
              <w:suppressLineNumbers w:val="0"/>
              <w:bidi w:val="0"/>
              <w:spacing w:before="0" w:beforeAutospacing="0" w:after="0" w:afterAutospacing="0"/>
              <w:ind w:left="0" w:right="0"/>
              <w:rPr>
                <w:rFonts w:hint="eastAsia" w:eastAsia="宋体"/>
                <w:snapToGrid w:val="0"/>
                <w:highlight w:val="none"/>
                <w:lang w:val="en-US" w:eastAsia="zh-CN"/>
              </w:rPr>
            </w:pPr>
          </w:p>
        </w:tc>
        <w:tc>
          <w:tcPr>
            <w:tcW w:w="567" w:type="dxa"/>
            <w:tcBorders>
              <w:tl2br w:val="nil"/>
              <w:tr2bl w:val="nil"/>
            </w:tcBorders>
            <w:shd w:val="clear" w:color="auto" w:fill="auto"/>
            <w:vAlign w:val="center"/>
          </w:tcPr>
          <w:p w14:paraId="53995490">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TR11</w:t>
            </w:r>
          </w:p>
        </w:tc>
        <w:tc>
          <w:tcPr>
            <w:tcW w:w="1155" w:type="dxa"/>
            <w:tcBorders>
              <w:tl2br w:val="nil"/>
              <w:tr2bl w:val="nil"/>
            </w:tcBorders>
            <w:shd w:val="clear" w:color="auto" w:fill="auto"/>
            <w:vAlign w:val="center"/>
          </w:tcPr>
          <w:p w14:paraId="40AC2F57">
            <w:pPr>
              <w:pStyle w:val="8"/>
              <w:suppressLineNumbers w:val="0"/>
              <w:bidi w:val="0"/>
              <w:spacing w:before="0" w:beforeAutospacing="0" w:after="0" w:afterAutospacing="0"/>
              <w:ind w:left="0" w:right="0"/>
              <w:rPr>
                <w:rFonts w:hint="default"/>
                <w:snapToGrid w:val="0"/>
                <w:highlight w:val="none"/>
                <w:lang w:val="en-US" w:eastAsia="zh-CN"/>
              </w:rPr>
            </w:pPr>
            <w:r>
              <w:rPr>
                <w:rFonts w:hint="eastAsia"/>
                <w:snapToGrid w:val="0"/>
                <w:highlight w:val="none"/>
                <w:lang w:val="en-US" w:eastAsia="zh-CN"/>
              </w:rPr>
              <w:t>厂区外西南侧</w:t>
            </w:r>
          </w:p>
        </w:tc>
        <w:tc>
          <w:tcPr>
            <w:tcW w:w="4995" w:type="dxa"/>
            <w:vMerge w:val="continue"/>
            <w:tcBorders>
              <w:tl2br w:val="nil"/>
              <w:tr2bl w:val="nil"/>
            </w:tcBorders>
            <w:shd w:val="clear" w:color="auto" w:fill="auto"/>
            <w:vAlign w:val="center"/>
          </w:tcPr>
          <w:p w14:paraId="77698D31">
            <w:pPr>
              <w:pStyle w:val="8"/>
              <w:suppressLineNumbers w:val="0"/>
              <w:bidi w:val="0"/>
              <w:spacing w:before="0" w:beforeAutospacing="0" w:after="0" w:afterAutospacing="0"/>
              <w:ind w:left="0" w:right="0"/>
              <w:rPr>
                <w:rFonts w:hint="default"/>
                <w:snapToGrid w:val="0"/>
                <w:highlight w:val="none"/>
                <w:lang w:eastAsia="en-US"/>
              </w:rPr>
            </w:pPr>
          </w:p>
        </w:tc>
        <w:tc>
          <w:tcPr>
            <w:tcW w:w="1139" w:type="dxa"/>
            <w:vMerge w:val="continue"/>
            <w:tcBorders>
              <w:tl2br w:val="nil"/>
              <w:tr2bl w:val="nil"/>
            </w:tcBorders>
            <w:shd w:val="clear" w:color="auto" w:fill="auto"/>
            <w:vAlign w:val="center"/>
          </w:tcPr>
          <w:p w14:paraId="4522AF02">
            <w:pPr>
              <w:pStyle w:val="8"/>
              <w:suppressLineNumbers w:val="0"/>
              <w:bidi w:val="0"/>
              <w:spacing w:before="0" w:beforeAutospacing="0" w:after="0" w:afterAutospacing="0"/>
              <w:ind w:left="0" w:right="0"/>
              <w:rPr>
                <w:rFonts w:hint="eastAsia" w:eastAsia="宋体"/>
                <w:snapToGrid w:val="0"/>
                <w:highlight w:val="none"/>
                <w:lang w:val="en-US" w:eastAsia="zh-CN"/>
              </w:rPr>
            </w:pPr>
          </w:p>
        </w:tc>
      </w:tr>
    </w:tbl>
    <w:p w14:paraId="453DFFA9">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textAlignment w:val="auto"/>
        <w:rPr>
          <w:spacing w:val="0"/>
          <w:position w:val="0"/>
          <w:highlight w:val="none"/>
        </w:rPr>
      </w:pPr>
      <w:r>
        <w:rPr>
          <w:rFonts w:ascii="Times New Roman" w:hAnsi="Times New Roman" w:cs="Times New Roman"/>
          <w:sz w:val="24"/>
          <w:szCs w:val="18"/>
        </w:rPr>
        <w:drawing>
          <wp:inline distT="0" distB="0" distL="114300" distR="114300">
            <wp:extent cx="5262245" cy="3424555"/>
            <wp:effectExtent l="0" t="0" r="14605" b="4445"/>
            <wp:docPr id="23" name="图片 19" descr="X[(GWKZU08UEG~UU[4)B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X[(GWKZU08UEG~UU[4)BS{1"/>
                    <pic:cNvPicPr>
                      <a:picLocks noChangeAspect="1"/>
                    </pic:cNvPicPr>
                  </pic:nvPicPr>
                  <pic:blipFill>
                    <a:blip r:embed="rId59"/>
                    <a:stretch>
                      <a:fillRect/>
                    </a:stretch>
                  </pic:blipFill>
                  <pic:spPr>
                    <a:xfrm>
                      <a:off x="0" y="0"/>
                      <a:ext cx="5262245" cy="3424555"/>
                    </a:xfrm>
                    <a:prstGeom prst="rect">
                      <a:avLst/>
                    </a:prstGeom>
                    <a:noFill/>
                    <a:ln>
                      <a:noFill/>
                    </a:ln>
                  </pic:spPr>
                </pic:pic>
              </a:graphicData>
            </a:graphic>
          </wp:inline>
        </w:drawing>
      </w:r>
    </w:p>
    <w:p w14:paraId="12BB2F47">
      <w:pPr>
        <w:pStyle w:val="7"/>
        <w:bidi w:val="0"/>
        <w:rPr>
          <w:rFonts w:hint="default"/>
          <w:highlight w:val="none"/>
          <w:lang w:val="en-US" w:eastAsia="zh-CN"/>
        </w:rPr>
      </w:pPr>
      <w:r>
        <w:rPr>
          <w:rFonts w:hint="eastAsia"/>
          <w:highlight w:val="none"/>
          <w:lang w:val="en-US" w:eastAsia="zh-CN"/>
        </w:rPr>
        <w:t>图4-2-4</w:t>
      </w:r>
      <w:r>
        <w:rPr>
          <w:rFonts w:hint="eastAsia"/>
          <w:highlight w:val="none"/>
          <w:lang w:val="zh-CN" w:eastAsia="zh-CN"/>
        </w:rPr>
        <w:t>土壤环境质量现状监测布点图</w:t>
      </w:r>
    </w:p>
    <w:p w14:paraId="644A21C7">
      <w:pPr>
        <w:bidi w:val="0"/>
        <w:rPr>
          <w:rFonts w:hint="default"/>
          <w:highlight w:val="none"/>
        </w:rPr>
      </w:pPr>
      <w:r>
        <w:rPr>
          <w:rFonts w:hint="default" w:ascii="Times New Roman" w:hAnsi="Times New Roman" w:cs="Times New Roman"/>
          <w:snapToGrid w:val="0"/>
          <w:spacing w:val="0"/>
          <w:kern w:val="24"/>
          <w:position w:val="0"/>
          <w:highlight w:val="none"/>
          <w:lang w:bidi="ar"/>
        </w:rPr>
        <w:t>②监测</w:t>
      </w:r>
      <w:r>
        <w:rPr>
          <w:rFonts w:hint="default"/>
          <w:highlight w:val="none"/>
        </w:rPr>
        <w:t>项目</w:t>
      </w:r>
      <w:bookmarkEnd w:id="331"/>
    </w:p>
    <w:p w14:paraId="7AF60AFF">
      <w:pPr>
        <w:bidi w:val="0"/>
        <w:rPr>
          <w:rFonts w:hint="default"/>
          <w:highlight w:val="none"/>
        </w:rPr>
      </w:pPr>
      <w:r>
        <w:rPr>
          <w:rFonts w:hint="default"/>
          <w:highlight w:val="none"/>
          <w:lang w:val="en-US" w:eastAsia="zh-CN"/>
        </w:rPr>
        <w:t>pH</w:t>
      </w:r>
      <w:r>
        <w:rPr>
          <w:rFonts w:hint="eastAsia"/>
          <w:highlight w:val="none"/>
          <w:lang w:val="en-US" w:eastAsia="zh-CN"/>
        </w:rPr>
        <w:t>、</w:t>
      </w:r>
      <w:r>
        <w:rPr>
          <w:rFonts w:hint="default"/>
          <w:highlight w:val="none"/>
        </w:rPr>
        <w:t>砷、镉、铬、铜、铅、汞、镍、四氯化碳、氨仿、氯甲烷、1</w:t>
      </w:r>
      <w:r>
        <w:rPr>
          <w:rFonts w:hint="eastAsia"/>
          <w:highlight w:val="none"/>
          <w:lang w:eastAsia="zh-CN"/>
        </w:rPr>
        <w:t>，</w:t>
      </w:r>
      <w:r>
        <w:rPr>
          <w:rFonts w:hint="default"/>
          <w:highlight w:val="none"/>
        </w:rPr>
        <w:t>1-二氧乙烷、1</w:t>
      </w:r>
      <w:r>
        <w:rPr>
          <w:rFonts w:hint="eastAsia"/>
          <w:highlight w:val="none"/>
          <w:lang w:eastAsia="zh-CN"/>
        </w:rPr>
        <w:t>，</w:t>
      </w:r>
      <w:r>
        <w:rPr>
          <w:rFonts w:hint="default"/>
          <w:highlight w:val="none"/>
        </w:rPr>
        <w:t>2-二氧乙烷、1</w:t>
      </w:r>
      <w:r>
        <w:rPr>
          <w:rFonts w:hint="eastAsia"/>
          <w:highlight w:val="none"/>
          <w:lang w:eastAsia="zh-CN"/>
        </w:rPr>
        <w:t>，</w:t>
      </w:r>
      <w:r>
        <w:rPr>
          <w:rFonts w:hint="default"/>
          <w:highlight w:val="none"/>
        </w:rPr>
        <w:t>1-二氧乙烯、顺-1</w:t>
      </w:r>
      <w:r>
        <w:rPr>
          <w:rFonts w:hint="eastAsia"/>
          <w:highlight w:val="none"/>
          <w:lang w:eastAsia="zh-CN"/>
        </w:rPr>
        <w:t>，</w:t>
      </w:r>
      <w:r>
        <w:rPr>
          <w:rFonts w:hint="default"/>
          <w:highlight w:val="none"/>
        </w:rPr>
        <w:t>2-二氧乙烯反-1</w:t>
      </w:r>
      <w:r>
        <w:rPr>
          <w:rFonts w:hint="eastAsia"/>
          <w:highlight w:val="none"/>
          <w:lang w:eastAsia="zh-CN"/>
        </w:rPr>
        <w:t>，</w:t>
      </w:r>
      <w:r>
        <w:rPr>
          <w:rFonts w:hint="default"/>
          <w:highlight w:val="none"/>
        </w:rPr>
        <w:t>2-二氧乙烯、二氧甲烷、1</w:t>
      </w:r>
      <w:r>
        <w:rPr>
          <w:rFonts w:hint="eastAsia"/>
          <w:highlight w:val="none"/>
          <w:lang w:eastAsia="zh-CN"/>
        </w:rPr>
        <w:t>，</w:t>
      </w:r>
      <w:r>
        <w:rPr>
          <w:rFonts w:hint="default"/>
          <w:highlight w:val="none"/>
        </w:rPr>
        <w:t>2-二氧丙烷、1</w:t>
      </w:r>
      <w:r>
        <w:rPr>
          <w:rFonts w:hint="eastAsia"/>
          <w:highlight w:val="none"/>
          <w:lang w:eastAsia="zh-CN"/>
        </w:rPr>
        <w:t>，</w:t>
      </w:r>
      <w:r>
        <w:rPr>
          <w:rFonts w:hint="default"/>
          <w:highlight w:val="none"/>
        </w:rPr>
        <w:t>1</w:t>
      </w:r>
      <w:r>
        <w:rPr>
          <w:rFonts w:hint="eastAsia"/>
          <w:highlight w:val="none"/>
          <w:lang w:eastAsia="zh-CN"/>
        </w:rPr>
        <w:t>，</w:t>
      </w:r>
      <w:r>
        <w:rPr>
          <w:rFonts w:hint="default"/>
          <w:highlight w:val="none"/>
        </w:rPr>
        <w:t>1</w:t>
      </w:r>
      <w:r>
        <w:rPr>
          <w:rFonts w:hint="eastAsia"/>
          <w:highlight w:val="none"/>
          <w:lang w:eastAsia="zh-CN"/>
        </w:rPr>
        <w:t>，</w:t>
      </w:r>
      <w:r>
        <w:rPr>
          <w:rFonts w:hint="default"/>
          <w:highlight w:val="none"/>
        </w:rPr>
        <w:t>2-四氨乙烷、1</w:t>
      </w:r>
      <w:r>
        <w:rPr>
          <w:rFonts w:hint="eastAsia"/>
          <w:highlight w:val="none"/>
          <w:lang w:eastAsia="zh-CN"/>
        </w:rPr>
        <w:t>，</w:t>
      </w:r>
      <w:r>
        <w:rPr>
          <w:rFonts w:hint="default"/>
          <w:highlight w:val="none"/>
        </w:rPr>
        <w:t>1</w:t>
      </w:r>
      <w:r>
        <w:rPr>
          <w:rFonts w:hint="eastAsia"/>
          <w:highlight w:val="none"/>
          <w:lang w:eastAsia="zh-CN"/>
        </w:rPr>
        <w:t>，</w:t>
      </w:r>
      <w:r>
        <w:rPr>
          <w:rFonts w:hint="default"/>
          <w:highlight w:val="none"/>
        </w:rPr>
        <w:t>2</w:t>
      </w:r>
      <w:r>
        <w:rPr>
          <w:rFonts w:hint="eastAsia"/>
          <w:highlight w:val="none"/>
          <w:lang w:eastAsia="zh-CN"/>
        </w:rPr>
        <w:t>，</w:t>
      </w:r>
      <w:r>
        <w:rPr>
          <w:rFonts w:hint="default"/>
          <w:highlight w:val="none"/>
        </w:rPr>
        <w:t>2-四氨乙烷、四氯乙烯、1</w:t>
      </w:r>
      <w:r>
        <w:rPr>
          <w:rFonts w:hint="eastAsia"/>
          <w:highlight w:val="none"/>
          <w:lang w:eastAsia="zh-CN"/>
        </w:rPr>
        <w:t>，</w:t>
      </w:r>
      <w:r>
        <w:rPr>
          <w:rFonts w:hint="default"/>
          <w:highlight w:val="none"/>
        </w:rPr>
        <w:t>1</w:t>
      </w:r>
      <w:r>
        <w:rPr>
          <w:rFonts w:hint="eastAsia"/>
          <w:highlight w:val="none"/>
          <w:lang w:eastAsia="zh-CN"/>
        </w:rPr>
        <w:t>，</w:t>
      </w:r>
      <w:r>
        <w:rPr>
          <w:rFonts w:hint="default"/>
          <w:highlight w:val="none"/>
        </w:rPr>
        <w:t>1-三氯乙烷、1</w:t>
      </w:r>
      <w:r>
        <w:rPr>
          <w:rFonts w:hint="eastAsia"/>
          <w:highlight w:val="none"/>
          <w:lang w:eastAsia="zh-CN"/>
        </w:rPr>
        <w:t>，</w:t>
      </w:r>
      <w:r>
        <w:rPr>
          <w:rFonts w:hint="default"/>
          <w:highlight w:val="none"/>
        </w:rPr>
        <w:t>1</w:t>
      </w:r>
      <w:r>
        <w:rPr>
          <w:rFonts w:hint="eastAsia"/>
          <w:highlight w:val="none"/>
          <w:lang w:eastAsia="zh-CN"/>
        </w:rPr>
        <w:t>，</w:t>
      </w:r>
      <w:r>
        <w:rPr>
          <w:rFonts w:hint="default"/>
          <w:highlight w:val="none"/>
        </w:rPr>
        <w:t>2-三氯乙烷、三氨乙烯、1.2</w:t>
      </w:r>
      <w:r>
        <w:rPr>
          <w:rFonts w:hint="eastAsia"/>
          <w:highlight w:val="none"/>
          <w:lang w:eastAsia="zh-CN"/>
        </w:rPr>
        <w:t>，</w:t>
      </w:r>
      <w:r>
        <w:rPr>
          <w:rFonts w:hint="default"/>
          <w:highlight w:val="none"/>
        </w:rPr>
        <w:t>3-三氨丙烷、氯乙烯、苯、氨苯、1</w:t>
      </w:r>
      <w:r>
        <w:rPr>
          <w:rFonts w:hint="eastAsia"/>
          <w:highlight w:val="none"/>
          <w:lang w:eastAsia="zh-CN"/>
        </w:rPr>
        <w:t>，</w:t>
      </w:r>
      <w:r>
        <w:rPr>
          <w:rFonts w:hint="default"/>
          <w:highlight w:val="none"/>
        </w:rPr>
        <w:t>2-二氯苯、1</w:t>
      </w:r>
      <w:r>
        <w:rPr>
          <w:rFonts w:hint="eastAsia"/>
          <w:highlight w:val="none"/>
          <w:lang w:eastAsia="zh-CN"/>
        </w:rPr>
        <w:t>，</w:t>
      </w:r>
      <w:r>
        <w:rPr>
          <w:rFonts w:hint="default"/>
          <w:highlight w:val="none"/>
        </w:rPr>
        <w:t>4-二氨苯、乙苯、苯乙烯、甲苯、间二甲苯+对二甲苯、邻二甲苯、硝基苯、苯胺、2-氯酚、苯并[a]蔥、苯并[a]芘、苯并[a]荧蔥、苯并[k]荧蔥、蔗、二苯并[a、h]蔥、茚并[1</w:t>
      </w:r>
      <w:r>
        <w:rPr>
          <w:rFonts w:hint="eastAsia"/>
          <w:highlight w:val="none"/>
          <w:lang w:eastAsia="zh-CN"/>
        </w:rPr>
        <w:t>，</w:t>
      </w:r>
      <w:r>
        <w:rPr>
          <w:rFonts w:hint="default"/>
          <w:highlight w:val="none"/>
        </w:rPr>
        <w:t>2</w:t>
      </w:r>
      <w:r>
        <w:rPr>
          <w:rFonts w:hint="eastAsia"/>
          <w:highlight w:val="none"/>
          <w:lang w:eastAsia="zh-CN"/>
        </w:rPr>
        <w:t>，</w:t>
      </w:r>
      <w:r>
        <w:rPr>
          <w:rFonts w:hint="default"/>
          <w:highlight w:val="none"/>
        </w:rPr>
        <w:t>3-cd]芘、萘</w:t>
      </w:r>
      <w:r>
        <w:rPr>
          <w:rFonts w:hint="eastAsia"/>
          <w:highlight w:val="none"/>
          <w:lang w:eastAsia="zh-CN"/>
        </w:rPr>
        <w:t>、</w:t>
      </w:r>
      <w:r>
        <w:rPr>
          <w:rFonts w:hint="eastAsia"/>
          <w:highlight w:val="none"/>
          <w:lang w:val="en-US" w:eastAsia="zh-CN"/>
        </w:rPr>
        <w:t>石油烃</w:t>
      </w:r>
      <w:r>
        <w:rPr>
          <w:rFonts w:hint="default"/>
          <w:highlight w:val="none"/>
        </w:rPr>
        <w:t>。</w:t>
      </w:r>
    </w:p>
    <w:p w14:paraId="01A70B89">
      <w:pPr>
        <w:bidi w:val="0"/>
        <w:rPr>
          <w:rFonts w:hint="default"/>
          <w:highlight w:val="none"/>
        </w:rPr>
      </w:pPr>
      <w:r>
        <w:rPr>
          <w:rFonts w:hint="default" w:ascii="Times New Roman" w:hAnsi="Times New Roman" w:cs="Times New Roman"/>
          <w:highlight w:val="none"/>
          <w:lang w:val="en-US" w:eastAsia="zh-CN"/>
        </w:rPr>
        <w:t>③</w:t>
      </w:r>
      <w:r>
        <w:rPr>
          <w:rFonts w:hint="default"/>
          <w:highlight w:val="none"/>
        </w:rPr>
        <w:t>监测时间及频率</w:t>
      </w:r>
    </w:p>
    <w:p w14:paraId="07951121">
      <w:pPr>
        <w:pStyle w:val="7"/>
        <w:bidi w:val="0"/>
        <w:rPr>
          <w:rFonts w:hint="default"/>
          <w:highlight w:val="none"/>
        </w:rPr>
      </w:pPr>
      <w:r>
        <w:rPr>
          <w:rFonts w:hint="default"/>
          <w:highlight w:val="none"/>
        </w:rPr>
        <w:t>表4-2-1</w:t>
      </w:r>
      <w:r>
        <w:rPr>
          <w:rFonts w:hint="eastAsia"/>
          <w:highlight w:val="none"/>
          <w:lang w:val="en-US" w:eastAsia="zh-CN"/>
        </w:rPr>
        <w:t>8</w:t>
      </w:r>
      <w:r>
        <w:rPr>
          <w:rFonts w:hint="default"/>
          <w:highlight w:val="none"/>
        </w:rPr>
        <w:t>土壤监测时间及频率</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679"/>
        <w:gridCol w:w="2731"/>
        <w:gridCol w:w="3112"/>
      </w:tblGrid>
      <w:tr w14:paraId="1A79B5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 w:hRule="atLeast"/>
          <w:jc w:val="center"/>
        </w:trPr>
        <w:tc>
          <w:tcPr>
            <w:tcW w:w="2679" w:type="dxa"/>
            <w:vAlign w:val="center"/>
          </w:tcPr>
          <w:p w14:paraId="5ACF5CE6">
            <w:pPr>
              <w:pStyle w:val="8"/>
              <w:suppressLineNumbers w:val="0"/>
              <w:bidi w:val="0"/>
              <w:spacing w:before="0" w:beforeAutospacing="0" w:after="0" w:afterAutospacing="0"/>
              <w:ind w:left="0" w:right="0"/>
              <w:rPr>
                <w:rFonts w:hint="default"/>
                <w:highlight w:val="none"/>
              </w:rPr>
            </w:pPr>
            <w:r>
              <w:rPr>
                <w:rFonts w:hint="default"/>
                <w:highlight w:val="none"/>
              </w:rPr>
              <w:t>监测点位</w:t>
            </w:r>
          </w:p>
        </w:tc>
        <w:tc>
          <w:tcPr>
            <w:tcW w:w="2731" w:type="dxa"/>
            <w:tcBorders>
              <w:right w:val="single" w:color="000000" w:sz="2" w:space="0"/>
            </w:tcBorders>
            <w:vAlign w:val="center"/>
          </w:tcPr>
          <w:p w14:paraId="24609905">
            <w:pPr>
              <w:pStyle w:val="8"/>
              <w:suppressLineNumbers w:val="0"/>
              <w:bidi w:val="0"/>
              <w:spacing w:before="0" w:beforeAutospacing="0" w:after="0" w:afterAutospacing="0"/>
              <w:ind w:left="0" w:right="0"/>
              <w:rPr>
                <w:rFonts w:hint="default"/>
                <w:highlight w:val="none"/>
              </w:rPr>
            </w:pPr>
            <w:r>
              <w:rPr>
                <w:rFonts w:hint="default"/>
                <w:highlight w:val="none"/>
              </w:rPr>
              <w:t>采样时间</w:t>
            </w:r>
          </w:p>
        </w:tc>
        <w:tc>
          <w:tcPr>
            <w:tcW w:w="3112" w:type="dxa"/>
            <w:tcBorders>
              <w:left w:val="single" w:color="000000" w:sz="2" w:space="0"/>
            </w:tcBorders>
            <w:vAlign w:val="center"/>
          </w:tcPr>
          <w:p w14:paraId="26211583">
            <w:pPr>
              <w:pStyle w:val="8"/>
              <w:suppressLineNumbers w:val="0"/>
              <w:bidi w:val="0"/>
              <w:spacing w:before="0" w:beforeAutospacing="0" w:after="0" w:afterAutospacing="0"/>
              <w:ind w:left="0" w:right="0"/>
              <w:rPr>
                <w:rFonts w:hint="default"/>
                <w:highlight w:val="none"/>
              </w:rPr>
            </w:pPr>
            <w:r>
              <w:rPr>
                <w:rFonts w:hint="default"/>
                <w:highlight w:val="none"/>
              </w:rPr>
              <w:t>采样频次</w:t>
            </w:r>
          </w:p>
        </w:tc>
      </w:tr>
      <w:tr w14:paraId="5CD91A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2679" w:type="dxa"/>
            <w:vAlign w:val="center"/>
          </w:tcPr>
          <w:p w14:paraId="3C16DAED">
            <w:pPr>
              <w:pStyle w:val="8"/>
              <w:suppressLineNumbers w:val="0"/>
              <w:bidi w:val="0"/>
              <w:spacing w:before="0" w:beforeAutospacing="0" w:after="0" w:afterAutospacing="0"/>
              <w:ind w:left="0" w:right="0"/>
              <w:jc w:val="center"/>
              <w:rPr>
                <w:rFonts w:hint="default" w:eastAsia="宋体"/>
                <w:highlight w:val="none"/>
                <w:lang w:val="en-US" w:eastAsia="zh-CN"/>
              </w:rPr>
            </w:pPr>
            <w:r>
              <w:rPr>
                <w:rFonts w:hint="eastAsia"/>
                <w:highlight w:val="none"/>
                <w:lang w:val="en-US" w:eastAsia="zh-CN"/>
              </w:rPr>
              <w:t>TR1~TR11</w:t>
            </w:r>
          </w:p>
        </w:tc>
        <w:tc>
          <w:tcPr>
            <w:tcW w:w="2731" w:type="dxa"/>
            <w:tcBorders>
              <w:right w:val="single" w:color="000000" w:sz="2" w:space="0"/>
            </w:tcBorders>
            <w:vAlign w:val="center"/>
          </w:tcPr>
          <w:p w14:paraId="29226A5C">
            <w:pPr>
              <w:pStyle w:val="8"/>
              <w:suppressLineNumbers w:val="0"/>
              <w:bidi w:val="0"/>
              <w:spacing w:before="0" w:beforeAutospacing="0" w:after="0" w:afterAutospacing="0"/>
              <w:ind w:left="0" w:right="0"/>
              <w:rPr>
                <w:rFonts w:hint="default"/>
                <w:highlight w:val="none"/>
              </w:rPr>
            </w:pPr>
            <w:r>
              <w:rPr>
                <w:rFonts w:hint="default"/>
                <w:highlight w:val="none"/>
                <w:lang w:val="zh-CN"/>
              </w:rPr>
              <w:t>采样时间</w:t>
            </w:r>
            <w:r>
              <w:rPr>
                <w:rFonts w:hint="default"/>
                <w:highlight w:val="none"/>
              </w:rPr>
              <w:t>为202</w:t>
            </w:r>
            <w:r>
              <w:rPr>
                <w:rFonts w:hint="eastAsia"/>
                <w:highlight w:val="none"/>
                <w:lang w:val="en-US" w:eastAsia="zh-CN"/>
              </w:rPr>
              <w:t>6</w:t>
            </w:r>
            <w:r>
              <w:rPr>
                <w:rFonts w:hint="default"/>
                <w:highlight w:val="none"/>
              </w:rPr>
              <w:t>年</w:t>
            </w:r>
            <w:r>
              <w:rPr>
                <w:rFonts w:hint="eastAsia"/>
                <w:highlight w:val="none"/>
                <w:lang w:val="en-US" w:eastAsia="zh-CN"/>
              </w:rPr>
              <w:t>02</w:t>
            </w:r>
            <w:r>
              <w:rPr>
                <w:rFonts w:hint="default"/>
                <w:highlight w:val="none"/>
              </w:rPr>
              <w:t>月</w:t>
            </w:r>
            <w:r>
              <w:rPr>
                <w:rFonts w:hint="eastAsia"/>
                <w:highlight w:val="none"/>
                <w:lang w:val="en-US" w:eastAsia="zh-CN"/>
              </w:rPr>
              <w:t>24</w:t>
            </w:r>
            <w:r>
              <w:rPr>
                <w:rFonts w:hint="default"/>
                <w:highlight w:val="none"/>
              </w:rPr>
              <w:t>日</w:t>
            </w:r>
          </w:p>
        </w:tc>
        <w:tc>
          <w:tcPr>
            <w:tcW w:w="3112" w:type="dxa"/>
            <w:tcBorders>
              <w:left w:val="single" w:color="000000" w:sz="2" w:space="0"/>
            </w:tcBorders>
            <w:vAlign w:val="center"/>
          </w:tcPr>
          <w:p w14:paraId="2E7167E9">
            <w:pPr>
              <w:pStyle w:val="8"/>
              <w:suppressLineNumbers w:val="0"/>
              <w:bidi w:val="0"/>
              <w:spacing w:before="0" w:beforeAutospacing="0" w:after="0" w:afterAutospacing="0"/>
              <w:ind w:left="0" w:right="0"/>
              <w:rPr>
                <w:rFonts w:hint="default"/>
                <w:highlight w:val="none"/>
              </w:rPr>
            </w:pPr>
            <w:r>
              <w:rPr>
                <w:rFonts w:hint="default"/>
                <w:highlight w:val="none"/>
                <w:lang w:val="zh-CN"/>
              </w:rPr>
              <w:t>每个监测点采样一天，一天1次</w:t>
            </w:r>
          </w:p>
        </w:tc>
      </w:tr>
    </w:tbl>
    <w:p w14:paraId="32EF56DE">
      <w:pPr>
        <w:bidi w:val="0"/>
        <w:rPr>
          <w:rFonts w:hint="default"/>
          <w:highlight w:val="none"/>
        </w:rPr>
      </w:pPr>
      <w:r>
        <w:rPr>
          <w:rFonts w:hint="eastAsia" w:ascii="宋体" w:hAnsi="宋体" w:eastAsia="宋体" w:cs="宋体"/>
          <w:highlight w:val="none"/>
        </w:rPr>
        <w:t>④</w:t>
      </w:r>
      <w:r>
        <w:rPr>
          <w:rFonts w:hint="default"/>
          <w:highlight w:val="none"/>
        </w:rPr>
        <w:t>监测及分析方法</w:t>
      </w:r>
    </w:p>
    <w:p w14:paraId="0CBD4B28">
      <w:pPr>
        <w:bidi w:val="0"/>
        <w:rPr>
          <w:rFonts w:hint="default"/>
          <w:highlight w:val="none"/>
        </w:rPr>
      </w:pPr>
      <w:r>
        <w:rPr>
          <w:rFonts w:hint="default"/>
          <w:highlight w:val="none"/>
        </w:rPr>
        <w:t>监测采样及分析方法按《土壤环境监测技术规范》（HJ/T166-2004）进行。</w:t>
      </w:r>
    </w:p>
    <w:p w14:paraId="05EF00BD">
      <w:pPr>
        <w:bidi w:val="0"/>
        <w:rPr>
          <w:rFonts w:hint="default"/>
          <w:highlight w:val="none"/>
        </w:rPr>
      </w:pPr>
      <w:r>
        <w:rPr>
          <w:rFonts w:hint="eastAsia" w:ascii="宋体" w:hAnsi="宋体" w:eastAsia="宋体" w:cs="宋体"/>
          <w:highlight w:val="none"/>
        </w:rPr>
        <w:t>⑤</w:t>
      </w:r>
      <w:r>
        <w:rPr>
          <w:rFonts w:hint="default"/>
          <w:highlight w:val="none"/>
        </w:rPr>
        <w:t>监测结果统计</w:t>
      </w:r>
    </w:p>
    <w:p w14:paraId="6F080589">
      <w:pPr>
        <w:spacing w:line="360" w:lineRule="auto"/>
        <w:ind w:firstLine="480" w:firstLineChars="200"/>
        <w:rPr>
          <w:rFonts w:hint="default" w:ascii="Times New Roman" w:hAnsi="Times New Roman" w:cs="Times New Roman"/>
          <w:snapToGrid w:val="0"/>
          <w:spacing w:val="0"/>
          <w:kern w:val="24"/>
          <w:position w:val="0"/>
          <w:sz w:val="24"/>
          <w:highlight w:val="none"/>
          <w:lang w:bidi="ar"/>
        </w:rPr>
      </w:pPr>
      <w:r>
        <w:rPr>
          <w:rFonts w:hint="default" w:ascii="Times New Roman" w:hAnsi="Times New Roman" w:cs="Times New Roman"/>
          <w:snapToGrid w:val="0"/>
          <w:spacing w:val="0"/>
          <w:kern w:val="24"/>
          <w:position w:val="0"/>
          <w:sz w:val="24"/>
          <w:highlight w:val="none"/>
          <w:lang w:bidi="ar"/>
        </w:rPr>
        <w:t>具体监测结果见</w:t>
      </w:r>
      <w:r>
        <w:rPr>
          <w:rFonts w:hint="eastAsia" w:cs="Times New Roman"/>
          <w:snapToGrid w:val="0"/>
          <w:spacing w:val="0"/>
          <w:kern w:val="24"/>
          <w:position w:val="0"/>
          <w:sz w:val="24"/>
          <w:highlight w:val="none"/>
          <w:lang w:val="en-US" w:eastAsia="zh-CN" w:bidi="ar"/>
        </w:rPr>
        <w:t>下</w:t>
      </w:r>
      <w:r>
        <w:rPr>
          <w:rFonts w:hint="default" w:ascii="Times New Roman" w:hAnsi="Times New Roman" w:cs="Times New Roman"/>
          <w:snapToGrid w:val="0"/>
          <w:spacing w:val="0"/>
          <w:kern w:val="24"/>
          <w:position w:val="0"/>
          <w:sz w:val="24"/>
          <w:highlight w:val="none"/>
          <w:lang w:bidi="ar"/>
        </w:rPr>
        <w:t>表。</w:t>
      </w:r>
      <w:bookmarkEnd w:id="329"/>
    </w:p>
    <w:p w14:paraId="48384163">
      <w:pPr>
        <w:pStyle w:val="7"/>
        <w:bidi w:val="0"/>
        <w:rPr>
          <w:rFonts w:hint="default"/>
          <w:highlight w:val="none"/>
        </w:rPr>
      </w:pPr>
      <w:r>
        <w:rPr>
          <w:rFonts w:hint="default"/>
          <w:highlight w:val="none"/>
        </w:rPr>
        <w:t>表4-2-1</w:t>
      </w:r>
      <w:r>
        <w:rPr>
          <w:rFonts w:hint="eastAsia"/>
          <w:highlight w:val="none"/>
          <w:lang w:val="en-US" w:eastAsia="zh-CN"/>
        </w:rPr>
        <w:t>9</w:t>
      </w:r>
      <w:r>
        <w:rPr>
          <w:rFonts w:hint="default"/>
          <w:highlight w:val="none"/>
        </w:rPr>
        <w:t>土壤检测结果表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27"/>
        <w:gridCol w:w="1171"/>
        <w:gridCol w:w="1555"/>
        <w:gridCol w:w="1555"/>
        <w:gridCol w:w="1555"/>
        <w:gridCol w:w="1059"/>
      </w:tblGrid>
      <w:tr w14:paraId="7E4BC0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restart"/>
            <w:tcBorders>
              <w:right w:val="single" w:color="000000" w:sz="4" w:space="0"/>
            </w:tcBorders>
            <w:noWrap w:val="0"/>
            <w:vAlign w:val="center"/>
          </w:tcPr>
          <w:p w14:paraId="1905F93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检测项目</w:t>
            </w:r>
          </w:p>
        </w:tc>
        <w:tc>
          <w:tcPr>
            <w:tcW w:w="1276" w:type="dxa"/>
            <w:tcBorders>
              <w:top w:val="single" w:color="000000" w:sz="12" w:space="0"/>
              <w:left w:val="single" w:color="000000" w:sz="4" w:space="0"/>
              <w:bottom w:val="single" w:color="000000" w:sz="4" w:space="0"/>
              <w:right w:val="single" w:color="000000" w:sz="4" w:space="0"/>
            </w:tcBorders>
            <w:noWrap w:val="0"/>
            <w:vAlign w:val="center"/>
          </w:tcPr>
          <w:p w14:paraId="1AABD86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采样时间</w:t>
            </w:r>
          </w:p>
        </w:tc>
        <w:tc>
          <w:tcPr>
            <w:tcW w:w="5103" w:type="dxa"/>
            <w:gridSpan w:val="3"/>
            <w:tcBorders>
              <w:top w:val="single" w:color="000000" w:sz="12" w:space="0"/>
              <w:left w:val="single" w:color="000000" w:sz="4" w:space="0"/>
              <w:bottom w:val="single" w:color="000000" w:sz="4" w:space="0"/>
              <w:right w:val="single" w:color="000000" w:sz="4" w:space="0"/>
            </w:tcBorders>
            <w:noWrap w:val="0"/>
            <w:vAlign w:val="center"/>
          </w:tcPr>
          <w:p w14:paraId="27C263E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2026.02.24</w:t>
            </w:r>
          </w:p>
        </w:tc>
        <w:tc>
          <w:tcPr>
            <w:tcW w:w="1151" w:type="dxa"/>
            <w:vMerge w:val="restart"/>
            <w:tcBorders>
              <w:left w:val="single" w:color="000000" w:sz="4" w:space="0"/>
            </w:tcBorders>
            <w:noWrap w:val="0"/>
            <w:vAlign w:val="center"/>
          </w:tcPr>
          <w:p w14:paraId="054F480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标准限值</w:t>
            </w:r>
          </w:p>
        </w:tc>
      </w:tr>
      <w:tr w14:paraId="762ACE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3435D26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BAB601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采样点位</w:t>
            </w:r>
          </w:p>
        </w:tc>
        <w:tc>
          <w:tcPr>
            <w:tcW w:w="5103" w:type="dxa"/>
            <w:gridSpan w:val="3"/>
            <w:tcBorders>
              <w:top w:val="single" w:color="000000" w:sz="4" w:space="0"/>
              <w:left w:val="single" w:color="000000" w:sz="4" w:space="0"/>
              <w:bottom w:val="single" w:color="000000" w:sz="4" w:space="0"/>
              <w:right w:val="single" w:color="000000" w:sz="4" w:space="0"/>
            </w:tcBorders>
            <w:noWrap w:val="0"/>
            <w:vAlign w:val="center"/>
          </w:tcPr>
          <w:p w14:paraId="2374A62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占地范围内■1</w:t>
            </w:r>
          </w:p>
        </w:tc>
        <w:tc>
          <w:tcPr>
            <w:tcW w:w="1151" w:type="dxa"/>
            <w:vMerge w:val="continue"/>
            <w:tcBorders>
              <w:left w:val="single" w:color="000000" w:sz="4" w:space="0"/>
            </w:tcBorders>
            <w:noWrap w:val="0"/>
            <w:vAlign w:val="center"/>
          </w:tcPr>
          <w:p w14:paraId="5B1ECD2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646651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63A048B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F00265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检测点类型</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9F907C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柱状样0.2m</w:t>
            </w:r>
          </w:p>
        </w:tc>
        <w:tc>
          <w:tcPr>
            <w:tcW w:w="1701" w:type="dxa"/>
            <w:tcBorders>
              <w:top w:val="single" w:color="000000" w:sz="4" w:space="0"/>
              <w:left w:val="single" w:color="000000" w:sz="4" w:space="0"/>
              <w:right w:val="single" w:color="000000" w:sz="4" w:space="0"/>
            </w:tcBorders>
            <w:noWrap w:val="0"/>
            <w:vAlign w:val="center"/>
          </w:tcPr>
          <w:p w14:paraId="447D65C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柱状样1.0m</w:t>
            </w:r>
          </w:p>
        </w:tc>
        <w:tc>
          <w:tcPr>
            <w:tcW w:w="1701" w:type="dxa"/>
            <w:tcBorders>
              <w:top w:val="single" w:color="000000" w:sz="4" w:space="0"/>
              <w:left w:val="single" w:color="000000" w:sz="4" w:space="0"/>
              <w:right w:val="single" w:color="000000" w:sz="4" w:space="0"/>
            </w:tcBorders>
            <w:noWrap w:val="0"/>
            <w:vAlign w:val="center"/>
          </w:tcPr>
          <w:p w14:paraId="364D996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柱状样2m</w:t>
            </w:r>
          </w:p>
        </w:tc>
        <w:tc>
          <w:tcPr>
            <w:tcW w:w="1151" w:type="dxa"/>
            <w:vMerge w:val="continue"/>
            <w:tcBorders>
              <w:left w:val="single" w:color="000000" w:sz="4" w:space="0"/>
            </w:tcBorders>
            <w:noWrap w:val="0"/>
            <w:vAlign w:val="center"/>
          </w:tcPr>
          <w:p w14:paraId="2487638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694D3D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2207A07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C68A5B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样品性状</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07D6DA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黑色、壤土</w:t>
            </w:r>
          </w:p>
        </w:tc>
        <w:tc>
          <w:tcPr>
            <w:tcW w:w="1701" w:type="dxa"/>
            <w:tcBorders>
              <w:top w:val="single" w:color="000000" w:sz="4" w:space="0"/>
              <w:left w:val="single" w:color="000000" w:sz="4" w:space="0"/>
              <w:right w:val="single" w:color="000000" w:sz="4" w:space="0"/>
            </w:tcBorders>
            <w:noWrap w:val="0"/>
            <w:vAlign w:val="center"/>
          </w:tcPr>
          <w:p w14:paraId="6FC9D7E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黑色、壤土</w:t>
            </w:r>
          </w:p>
        </w:tc>
        <w:tc>
          <w:tcPr>
            <w:tcW w:w="1701" w:type="dxa"/>
            <w:tcBorders>
              <w:top w:val="single" w:color="000000" w:sz="4" w:space="0"/>
              <w:left w:val="single" w:color="000000" w:sz="4" w:space="0"/>
              <w:right w:val="single" w:color="000000" w:sz="4" w:space="0"/>
            </w:tcBorders>
            <w:noWrap w:val="0"/>
            <w:vAlign w:val="center"/>
          </w:tcPr>
          <w:p w14:paraId="32FA6D6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黑色、壤土</w:t>
            </w:r>
          </w:p>
        </w:tc>
        <w:tc>
          <w:tcPr>
            <w:tcW w:w="1151" w:type="dxa"/>
            <w:vMerge w:val="continue"/>
            <w:tcBorders>
              <w:left w:val="single" w:color="000000" w:sz="4" w:space="0"/>
            </w:tcBorders>
            <w:noWrap w:val="0"/>
            <w:vAlign w:val="center"/>
          </w:tcPr>
          <w:p w14:paraId="33A01E7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2C6DAD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bottom w:val="single" w:color="000000" w:sz="4" w:space="0"/>
              <w:right w:val="single" w:color="000000" w:sz="4" w:space="0"/>
            </w:tcBorders>
            <w:noWrap w:val="0"/>
            <w:vAlign w:val="center"/>
          </w:tcPr>
          <w:p w14:paraId="43B13FE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58FD5F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样品编号</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42DCB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G260224020101</w:t>
            </w:r>
          </w:p>
        </w:tc>
        <w:tc>
          <w:tcPr>
            <w:tcW w:w="1701" w:type="dxa"/>
            <w:tcBorders>
              <w:left w:val="single" w:color="000000" w:sz="4" w:space="0"/>
              <w:bottom w:val="single" w:color="000000" w:sz="4" w:space="0"/>
              <w:right w:val="single" w:color="000000" w:sz="4" w:space="0"/>
            </w:tcBorders>
            <w:noWrap w:val="0"/>
            <w:vAlign w:val="center"/>
          </w:tcPr>
          <w:p w14:paraId="667C85E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G260224020102</w:t>
            </w:r>
          </w:p>
        </w:tc>
        <w:tc>
          <w:tcPr>
            <w:tcW w:w="1701" w:type="dxa"/>
            <w:tcBorders>
              <w:left w:val="single" w:color="000000" w:sz="4" w:space="0"/>
              <w:bottom w:val="single" w:color="000000" w:sz="4" w:space="0"/>
              <w:right w:val="single" w:color="000000" w:sz="4" w:space="0"/>
            </w:tcBorders>
            <w:noWrap w:val="0"/>
            <w:vAlign w:val="center"/>
          </w:tcPr>
          <w:p w14:paraId="4D8D70A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G260224020103</w:t>
            </w:r>
          </w:p>
        </w:tc>
        <w:tc>
          <w:tcPr>
            <w:tcW w:w="1151" w:type="dxa"/>
            <w:vMerge w:val="continue"/>
            <w:tcBorders>
              <w:left w:val="single" w:color="000000" w:sz="4" w:space="0"/>
              <w:bottom w:val="single" w:color="000000" w:sz="4" w:space="0"/>
            </w:tcBorders>
            <w:noWrap w:val="0"/>
            <w:vAlign w:val="center"/>
          </w:tcPr>
          <w:p w14:paraId="57F41A9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1A8FDD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68B67FB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pH</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9C2F62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无量纲</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9FCA21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7.65</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DD625A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7.84</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8043F8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7.93</w:t>
            </w:r>
          </w:p>
        </w:tc>
        <w:tc>
          <w:tcPr>
            <w:tcW w:w="1151" w:type="dxa"/>
            <w:tcBorders>
              <w:top w:val="single" w:color="000000" w:sz="4" w:space="0"/>
              <w:left w:val="single" w:color="000000" w:sz="4" w:space="0"/>
              <w:bottom w:val="single" w:color="000000" w:sz="4" w:space="0"/>
            </w:tcBorders>
            <w:noWrap w:val="0"/>
            <w:vAlign w:val="center"/>
          </w:tcPr>
          <w:p w14:paraId="793EB35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055B0A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307B16E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石油烃（C10-C40）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665D4E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1DEAD3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9B8C4A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6L</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9E5547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6L</w:t>
            </w:r>
          </w:p>
        </w:tc>
        <w:tc>
          <w:tcPr>
            <w:tcW w:w="1151" w:type="dxa"/>
            <w:tcBorders>
              <w:top w:val="single" w:color="000000" w:sz="4" w:space="0"/>
              <w:left w:val="single" w:color="000000" w:sz="4" w:space="0"/>
              <w:bottom w:val="single" w:color="000000" w:sz="4" w:space="0"/>
            </w:tcBorders>
            <w:noWrap w:val="0"/>
            <w:vAlign w:val="center"/>
          </w:tcPr>
          <w:p w14:paraId="70EF2C7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4500</w:t>
            </w:r>
          </w:p>
        </w:tc>
      </w:tr>
      <w:tr w14:paraId="1F0189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6CA2E51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阳离子交换量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093F966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cmol+ /kg</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FE4504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3.9</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3E5E2C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5.1</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D80EF6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6.7</w:t>
            </w:r>
          </w:p>
        </w:tc>
        <w:tc>
          <w:tcPr>
            <w:tcW w:w="1151" w:type="dxa"/>
            <w:tcBorders>
              <w:top w:val="single" w:color="000000" w:sz="4" w:space="0"/>
              <w:left w:val="single" w:color="000000" w:sz="4" w:space="0"/>
              <w:bottom w:val="single" w:color="000000" w:sz="4" w:space="0"/>
            </w:tcBorders>
            <w:noWrap w:val="0"/>
            <w:vAlign w:val="center"/>
          </w:tcPr>
          <w:p w14:paraId="61AA792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1E4CF5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1DE2D96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氧化还原电位</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407A53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mV</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866568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69BEBF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176</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C9DFB6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171</w:t>
            </w:r>
          </w:p>
        </w:tc>
        <w:tc>
          <w:tcPr>
            <w:tcW w:w="1151" w:type="dxa"/>
            <w:tcBorders>
              <w:top w:val="single" w:color="000000" w:sz="4" w:space="0"/>
              <w:left w:val="single" w:color="000000" w:sz="4" w:space="0"/>
              <w:bottom w:val="single" w:color="000000" w:sz="4" w:space="0"/>
            </w:tcBorders>
            <w:noWrap w:val="0"/>
            <w:vAlign w:val="center"/>
          </w:tcPr>
          <w:p w14:paraId="10ADAD9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323525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12" w:space="0"/>
              <w:right w:val="single" w:color="000000" w:sz="4" w:space="0"/>
            </w:tcBorders>
            <w:noWrap w:val="0"/>
            <w:vAlign w:val="center"/>
          </w:tcPr>
          <w:p w14:paraId="4FD005C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容重</w:t>
            </w:r>
          </w:p>
        </w:tc>
        <w:tc>
          <w:tcPr>
            <w:tcW w:w="1276" w:type="dxa"/>
            <w:tcBorders>
              <w:top w:val="single" w:color="000000" w:sz="4" w:space="0"/>
              <w:left w:val="single" w:color="000000" w:sz="4" w:space="0"/>
              <w:bottom w:val="single" w:color="000000" w:sz="12" w:space="0"/>
              <w:right w:val="single" w:color="000000" w:sz="4" w:space="0"/>
            </w:tcBorders>
            <w:noWrap w:val="0"/>
            <w:vAlign w:val="center"/>
          </w:tcPr>
          <w:p w14:paraId="126D2D4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g/cm3</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53293B9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1.16</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7803C27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1.09</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570EC76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1.17</w:t>
            </w:r>
          </w:p>
        </w:tc>
        <w:tc>
          <w:tcPr>
            <w:tcW w:w="1151" w:type="dxa"/>
            <w:tcBorders>
              <w:top w:val="single" w:color="000000" w:sz="4" w:space="0"/>
              <w:left w:val="single" w:color="000000" w:sz="4" w:space="0"/>
              <w:bottom w:val="single" w:color="000000" w:sz="12" w:space="0"/>
            </w:tcBorders>
            <w:noWrap w:val="0"/>
            <w:vAlign w:val="center"/>
          </w:tcPr>
          <w:p w14:paraId="43692C1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bl>
    <w:p w14:paraId="15AE313D">
      <w:pPr>
        <w:ind w:left="0" w:leftChars="0" w:firstLine="0" w:firstLineChars="0"/>
        <w:rPr>
          <w:rFonts w:hint="default"/>
        </w:rPr>
      </w:pPr>
    </w:p>
    <w:p w14:paraId="48C35335">
      <w:pPr>
        <w:pStyle w:val="7"/>
        <w:bidi w:val="0"/>
        <w:rPr>
          <w:highlight w:val="none"/>
        </w:rPr>
      </w:pPr>
      <w:r>
        <w:rPr>
          <w:rFonts w:hint="eastAsia"/>
          <w:highlight w:val="none"/>
          <w:lang w:val="en-US" w:eastAsia="zh-CN"/>
        </w:rPr>
        <w:t>续</w:t>
      </w:r>
      <w:r>
        <w:rPr>
          <w:rFonts w:hint="default"/>
          <w:highlight w:val="none"/>
        </w:rPr>
        <w:t>表4-2-1</w:t>
      </w:r>
      <w:r>
        <w:rPr>
          <w:rFonts w:hint="eastAsia"/>
          <w:highlight w:val="none"/>
          <w:lang w:val="en-US" w:eastAsia="zh-CN"/>
        </w:rPr>
        <w:t>9</w:t>
      </w:r>
      <w:r>
        <w:rPr>
          <w:rFonts w:hint="default"/>
          <w:highlight w:val="none"/>
        </w:rPr>
        <w:t>土壤检测结果表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27"/>
        <w:gridCol w:w="1171"/>
        <w:gridCol w:w="1555"/>
        <w:gridCol w:w="1555"/>
        <w:gridCol w:w="1555"/>
        <w:gridCol w:w="1059"/>
      </w:tblGrid>
      <w:tr w14:paraId="521572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restart"/>
            <w:tcBorders>
              <w:right w:val="single" w:color="000000" w:sz="4" w:space="0"/>
            </w:tcBorders>
            <w:noWrap w:val="0"/>
            <w:vAlign w:val="center"/>
          </w:tcPr>
          <w:p w14:paraId="4B67B0E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检测项目</w:t>
            </w:r>
          </w:p>
        </w:tc>
        <w:tc>
          <w:tcPr>
            <w:tcW w:w="1276" w:type="dxa"/>
            <w:tcBorders>
              <w:top w:val="single" w:color="000000" w:sz="12" w:space="0"/>
              <w:left w:val="single" w:color="000000" w:sz="4" w:space="0"/>
              <w:bottom w:val="single" w:color="000000" w:sz="4" w:space="0"/>
              <w:right w:val="single" w:color="000000" w:sz="4" w:space="0"/>
            </w:tcBorders>
            <w:noWrap w:val="0"/>
            <w:vAlign w:val="center"/>
          </w:tcPr>
          <w:p w14:paraId="6CEEE91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采样时间</w:t>
            </w:r>
          </w:p>
        </w:tc>
        <w:tc>
          <w:tcPr>
            <w:tcW w:w="5103" w:type="dxa"/>
            <w:gridSpan w:val="3"/>
            <w:tcBorders>
              <w:top w:val="single" w:color="000000" w:sz="12" w:space="0"/>
              <w:left w:val="single" w:color="000000" w:sz="4" w:space="0"/>
              <w:bottom w:val="single" w:color="000000" w:sz="4" w:space="0"/>
              <w:right w:val="single" w:color="000000" w:sz="4" w:space="0"/>
            </w:tcBorders>
            <w:noWrap w:val="0"/>
            <w:vAlign w:val="center"/>
          </w:tcPr>
          <w:p w14:paraId="6229BC8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2026.02.24</w:t>
            </w:r>
          </w:p>
        </w:tc>
        <w:tc>
          <w:tcPr>
            <w:tcW w:w="1151" w:type="dxa"/>
            <w:vMerge w:val="restart"/>
            <w:tcBorders>
              <w:left w:val="single" w:color="000000" w:sz="4" w:space="0"/>
            </w:tcBorders>
            <w:noWrap w:val="0"/>
            <w:vAlign w:val="center"/>
          </w:tcPr>
          <w:p w14:paraId="6E73AA3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标准限值</w:t>
            </w:r>
          </w:p>
        </w:tc>
      </w:tr>
      <w:tr w14:paraId="47C85B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1E91DC0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752607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采样点位</w:t>
            </w:r>
          </w:p>
        </w:tc>
        <w:tc>
          <w:tcPr>
            <w:tcW w:w="5103" w:type="dxa"/>
            <w:gridSpan w:val="3"/>
            <w:tcBorders>
              <w:top w:val="single" w:color="000000" w:sz="4" w:space="0"/>
              <w:left w:val="single" w:color="000000" w:sz="4" w:space="0"/>
              <w:bottom w:val="single" w:color="000000" w:sz="4" w:space="0"/>
              <w:right w:val="single" w:color="000000" w:sz="4" w:space="0"/>
            </w:tcBorders>
            <w:noWrap w:val="0"/>
            <w:vAlign w:val="center"/>
          </w:tcPr>
          <w:p w14:paraId="271A208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占地范围内■2</w:t>
            </w:r>
          </w:p>
        </w:tc>
        <w:tc>
          <w:tcPr>
            <w:tcW w:w="1151" w:type="dxa"/>
            <w:vMerge w:val="continue"/>
            <w:tcBorders>
              <w:left w:val="single" w:color="000000" w:sz="4" w:space="0"/>
            </w:tcBorders>
            <w:noWrap w:val="0"/>
            <w:vAlign w:val="center"/>
          </w:tcPr>
          <w:p w14:paraId="21130F9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54EA06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7A7ACE5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1929BF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检测点类型</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DF37ED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柱状样0.2m</w:t>
            </w:r>
          </w:p>
        </w:tc>
        <w:tc>
          <w:tcPr>
            <w:tcW w:w="1701" w:type="dxa"/>
            <w:tcBorders>
              <w:top w:val="single" w:color="000000" w:sz="4" w:space="0"/>
              <w:left w:val="single" w:color="000000" w:sz="4" w:space="0"/>
              <w:right w:val="single" w:color="000000" w:sz="4" w:space="0"/>
            </w:tcBorders>
            <w:noWrap w:val="0"/>
            <w:vAlign w:val="center"/>
          </w:tcPr>
          <w:p w14:paraId="671CA8D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柱状样1.0m</w:t>
            </w:r>
          </w:p>
        </w:tc>
        <w:tc>
          <w:tcPr>
            <w:tcW w:w="1701" w:type="dxa"/>
            <w:tcBorders>
              <w:top w:val="single" w:color="000000" w:sz="4" w:space="0"/>
              <w:left w:val="single" w:color="000000" w:sz="4" w:space="0"/>
              <w:right w:val="single" w:color="000000" w:sz="4" w:space="0"/>
            </w:tcBorders>
            <w:noWrap w:val="0"/>
            <w:vAlign w:val="center"/>
          </w:tcPr>
          <w:p w14:paraId="07257AA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柱状样2m</w:t>
            </w:r>
          </w:p>
        </w:tc>
        <w:tc>
          <w:tcPr>
            <w:tcW w:w="1151" w:type="dxa"/>
            <w:vMerge w:val="continue"/>
            <w:tcBorders>
              <w:left w:val="single" w:color="000000" w:sz="4" w:space="0"/>
            </w:tcBorders>
            <w:noWrap w:val="0"/>
            <w:vAlign w:val="center"/>
          </w:tcPr>
          <w:p w14:paraId="10B62F3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17CEA7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28AAE88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893E89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样品性状</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19836E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701" w:type="dxa"/>
            <w:tcBorders>
              <w:top w:val="single" w:color="000000" w:sz="4" w:space="0"/>
              <w:left w:val="single" w:color="000000" w:sz="4" w:space="0"/>
              <w:right w:val="single" w:color="000000" w:sz="4" w:space="0"/>
            </w:tcBorders>
            <w:noWrap w:val="0"/>
            <w:vAlign w:val="center"/>
          </w:tcPr>
          <w:p w14:paraId="74405FD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701" w:type="dxa"/>
            <w:tcBorders>
              <w:top w:val="single" w:color="000000" w:sz="4" w:space="0"/>
              <w:left w:val="single" w:color="000000" w:sz="4" w:space="0"/>
              <w:right w:val="single" w:color="000000" w:sz="4" w:space="0"/>
            </w:tcBorders>
            <w:noWrap w:val="0"/>
            <w:vAlign w:val="center"/>
          </w:tcPr>
          <w:p w14:paraId="6BA2C9A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151" w:type="dxa"/>
            <w:vMerge w:val="continue"/>
            <w:tcBorders>
              <w:left w:val="single" w:color="000000" w:sz="4" w:space="0"/>
            </w:tcBorders>
            <w:noWrap w:val="0"/>
            <w:vAlign w:val="center"/>
          </w:tcPr>
          <w:p w14:paraId="4609315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347CD5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bottom w:val="single" w:color="000000" w:sz="4" w:space="0"/>
              <w:right w:val="single" w:color="000000" w:sz="4" w:space="0"/>
            </w:tcBorders>
            <w:noWrap w:val="0"/>
            <w:vAlign w:val="center"/>
          </w:tcPr>
          <w:p w14:paraId="0236A15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03881D3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样品编号</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972C2E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G260224020201</w:t>
            </w:r>
          </w:p>
        </w:tc>
        <w:tc>
          <w:tcPr>
            <w:tcW w:w="1701" w:type="dxa"/>
            <w:tcBorders>
              <w:left w:val="single" w:color="000000" w:sz="4" w:space="0"/>
              <w:bottom w:val="single" w:color="000000" w:sz="4" w:space="0"/>
              <w:right w:val="single" w:color="000000" w:sz="4" w:space="0"/>
            </w:tcBorders>
            <w:noWrap w:val="0"/>
            <w:vAlign w:val="center"/>
          </w:tcPr>
          <w:p w14:paraId="6454848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G260224020202</w:t>
            </w:r>
          </w:p>
        </w:tc>
        <w:tc>
          <w:tcPr>
            <w:tcW w:w="1701" w:type="dxa"/>
            <w:tcBorders>
              <w:left w:val="single" w:color="000000" w:sz="4" w:space="0"/>
              <w:bottom w:val="single" w:color="000000" w:sz="4" w:space="0"/>
              <w:right w:val="single" w:color="000000" w:sz="4" w:space="0"/>
            </w:tcBorders>
            <w:noWrap w:val="0"/>
            <w:vAlign w:val="center"/>
          </w:tcPr>
          <w:p w14:paraId="7EAE177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G260224020203</w:t>
            </w:r>
          </w:p>
        </w:tc>
        <w:tc>
          <w:tcPr>
            <w:tcW w:w="1151" w:type="dxa"/>
            <w:vMerge w:val="continue"/>
            <w:tcBorders>
              <w:left w:val="single" w:color="000000" w:sz="4" w:space="0"/>
              <w:bottom w:val="single" w:color="000000" w:sz="4" w:space="0"/>
            </w:tcBorders>
            <w:noWrap w:val="0"/>
            <w:vAlign w:val="center"/>
          </w:tcPr>
          <w:p w14:paraId="7D8F9B2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737826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559C8FF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pH</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16B00D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无量纲</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8E14EE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8.06</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FBBE8E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8.28</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BAA55D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8.11</w:t>
            </w:r>
          </w:p>
        </w:tc>
        <w:tc>
          <w:tcPr>
            <w:tcW w:w="1151" w:type="dxa"/>
            <w:tcBorders>
              <w:top w:val="single" w:color="000000" w:sz="4" w:space="0"/>
              <w:left w:val="single" w:color="000000" w:sz="4" w:space="0"/>
              <w:bottom w:val="single" w:color="000000" w:sz="4" w:space="0"/>
            </w:tcBorders>
            <w:noWrap w:val="0"/>
            <w:vAlign w:val="center"/>
          </w:tcPr>
          <w:p w14:paraId="116E032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553160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7CAD775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石油烃（C10-C40）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A370C7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FB60FB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510B50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24</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688B74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46</w:t>
            </w:r>
          </w:p>
        </w:tc>
        <w:tc>
          <w:tcPr>
            <w:tcW w:w="1151" w:type="dxa"/>
            <w:tcBorders>
              <w:top w:val="single" w:color="000000" w:sz="4" w:space="0"/>
              <w:left w:val="single" w:color="000000" w:sz="4" w:space="0"/>
              <w:bottom w:val="single" w:color="000000" w:sz="4" w:space="0"/>
            </w:tcBorders>
            <w:noWrap w:val="0"/>
            <w:vAlign w:val="center"/>
          </w:tcPr>
          <w:p w14:paraId="79120B1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4500</w:t>
            </w:r>
          </w:p>
        </w:tc>
      </w:tr>
      <w:tr w14:paraId="3105B9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1E2E918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阳离子交换量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A499EA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cmol+ /kg</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6171A7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ABBDBC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8.6</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5FA8B3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9.2</w:t>
            </w:r>
          </w:p>
        </w:tc>
        <w:tc>
          <w:tcPr>
            <w:tcW w:w="1151" w:type="dxa"/>
            <w:tcBorders>
              <w:top w:val="single" w:color="000000" w:sz="4" w:space="0"/>
              <w:left w:val="single" w:color="000000" w:sz="4" w:space="0"/>
              <w:bottom w:val="single" w:color="000000" w:sz="4" w:space="0"/>
            </w:tcBorders>
            <w:noWrap w:val="0"/>
            <w:vAlign w:val="center"/>
          </w:tcPr>
          <w:p w14:paraId="5A03810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3DC4B1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27C4065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氧化还原电位</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2E1800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mV</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85C421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160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A0DD1D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179</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18695B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197</w:t>
            </w:r>
          </w:p>
        </w:tc>
        <w:tc>
          <w:tcPr>
            <w:tcW w:w="1151" w:type="dxa"/>
            <w:tcBorders>
              <w:top w:val="single" w:color="000000" w:sz="4" w:space="0"/>
              <w:left w:val="single" w:color="000000" w:sz="4" w:space="0"/>
              <w:bottom w:val="single" w:color="000000" w:sz="4" w:space="0"/>
            </w:tcBorders>
            <w:noWrap w:val="0"/>
            <w:vAlign w:val="center"/>
          </w:tcPr>
          <w:p w14:paraId="7B6F8A9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26932F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12" w:space="0"/>
              <w:right w:val="single" w:color="000000" w:sz="4" w:space="0"/>
            </w:tcBorders>
            <w:noWrap w:val="0"/>
            <w:vAlign w:val="center"/>
          </w:tcPr>
          <w:p w14:paraId="6CABC2C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容重</w:t>
            </w:r>
          </w:p>
        </w:tc>
        <w:tc>
          <w:tcPr>
            <w:tcW w:w="1276" w:type="dxa"/>
            <w:tcBorders>
              <w:top w:val="single" w:color="000000" w:sz="4" w:space="0"/>
              <w:left w:val="single" w:color="000000" w:sz="4" w:space="0"/>
              <w:bottom w:val="single" w:color="000000" w:sz="12" w:space="0"/>
              <w:right w:val="single" w:color="000000" w:sz="4" w:space="0"/>
            </w:tcBorders>
            <w:noWrap w:val="0"/>
            <w:vAlign w:val="center"/>
          </w:tcPr>
          <w:p w14:paraId="4B2597F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g/cm3</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0E7E190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1.01</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783A257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1.02</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321C808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1.03</w:t>
            </w:r>
          </w:p>
        </w:tc>
        <w:tc>
          <w:tcPr>
            <w:tcW w:w="1151" w:type="dxa"/>
            <w:tcBorders>
              <w:top w:val="single" w:color="000000" w:sz="4" w:space="0"/>
              <w:left w:val="single" w:color="000000" w:sz="4" w:space="0"/>
              <w:bottom w:val="single" w:color="000000" w:sz="12" w:space="0"/>
            </w:tcBorders>
            <w:noWrap w:val="0"/>
            <w:vAlign w:val="center"/>
          </w:tcPr>
          <w:p w14:paraId="7FF3FAA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bl>
    <w:p w14:paraId="2BFF857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sz w:val="18"/>
          <w:szCs w:val="18"/>
          <w:highlight w:val="none"/>
          <w:lang w:eastAsia="zh-CN"/>
        </w:rPr>
      </w:pPr>
      <w:r>
        <w:rPr>
          <w:rFonts w:ascii="Times New Roman" w:hAnsi="Times New Roman" w:eastAsia="宋体" w:cs="Times New Roman"/>
          <w:b/>
          <w:sz w:val="18"/>
          <w:szCs w:val="18"/>
          <w:highlight w:val="none"/>
        </w:rPr>
        <w:t>注：L为低于检出限</w:t>
      </w:r>
      <w:r>
        <w:rPr>
          <w:rFonts w:hint="eastAsia" w:ascii="Times New Roman" w:hAnsi="Times New Roman" w:eastAsia="宋体" w:cs="Times New Roman"/>
          <w:b/>
          <w:sz w:val="18"/>
          <w:szCs w:val="18"/>
          <w:highlight w:val="none"/>
          <w:lang w:eastAsia="zh-CN"/>
        </w:rPr>
        <w:t>。</w:t>
      </w:r>
    </w:p>
    <w:p w14:paraId="4C770BB1">
      <w:pPr>
        <w:pStyle w:val="7"/>
        <w:bidi w:val="0"/>
        <w:rPr>
          <w:rFonts w:hint="default"/>
          <w:highlight w:val="none"/>
        </w:rPr>
      </w:pPr>
      <w:r>
        <w:rPr>
          <w:rFonts w:hint="eastAsia"/>
          <w:highlight w:val="none"/>
          <w:lang w:val="en-US" w:eastAsia="zh-CN"/>
        </w:rPr>
        <w:t>续</w:t>
      </w:r>
      <w:r>
        <w:rPr>
          <w:rFonts w:hint="default"/>
          <w:highlight w:val="none"/>
        </w:rPr>
        <w:t>表4-2-1</w:t>
      </w:r>
      <w:r>
        <w:rPr>
          <w:rFonts w:hint="eastAsia"/>
          <w:highlight w:val="none"/>
          <w:lang w:val="en-US" w:eastAsia="zh-CN"/>
        </w:rPr>
        <w:t>9</w:t>
      </w:r>
      <w:r>
        <w:rPr>
          <w:rFonts w:hint="default"/>
          <w:highlight w:val="none"/>
        </w:rPr>
        <w:t>土壤检测结果表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16"/>
        <w:gridCol w:w="1171"/>
        <w:gridCol w:w="1534"/>
        <w:gridCol w:w="1554"/>
        <w:gridCol w:w="1555"/>
        <w:gridCol w:w="1092"/>
      </w:tblGrid>
      <w:tr w14:paraId="6C2DCF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vMerge w:val="restart"/>
            <w:tcBorders>
              <w:right w:val="single" w:color="000000" w:sz="4" w:space="0"/>
            </w:tcBorders>
            <w:noWrap w:val="0"/>
            <w:vAlign w:val="center"/>
          </w:tcPr>
          <w:p w14:paraId="5EBA160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bookmarkStart w:id="332" w:name="_Toc6210"/>
            <w:bookmarkStart w:id="333" w:name="_Toc3966897"/>
            <w:bookmarkStart w:id="334" w:name="_Toc31899"/>
            <w:bookmarkStart w:id="335" w:name="_Toc487897012"/>
            <w:bookmarkStart w:id="336" w:name="_Toc486865383"/>
            <w:bookmarkStart w:id="337" w:name="_Toc498357776"/>
            <w:r>
              <w:rPr>
                <w:rFonts w:hint="eastAsia" w:ascii="Times New Roman" w:hAnsi="Times New Roman" w:eastAsia="宋体" w:cs="Times New Roman"/>
                <w:b w:val="0"/>
                <w:bCs/>
                <w:spacing w:val="-4"/>
                <w:sz w:val="21"/>
                <w:szCs w:val="21"/>
                <w:highlight w:val="none"/>
              </w:rPr>
              <w:t>检测项目</w:t>
            </w:r>
          </w:p>
        </w:tc>
        <w:tc>
          <w:tcPr>
            <w:tcW w:w="1171" w:type="dxa"/>
            <w:tcBorders>
              <w:top w:val="single" w:color="000000" w:sz="12" w:space="0"/>
              <w:left w:val="single" w:color="000000" w:sz="4" w:space="0"/>
              <w:bottom w:val="single" w:color="000000" w:sz="4" w:space="0"/>
              <w:right w:val="single" w:color="000000" w:sz="4" w:space="0"/>
            </w:tcBorders>
            <w:noWrap w:val="0"/>
            <w:vAlign w:val="center"/>
          </w:tcPr>
          <w:p w14:paraId="630B81E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采样时间</w:t>
            </w:r>
          </w:p>
        </w:tc>
        <w:tc>
          <w:tcPr>
            <w:tcW w:w="4643" w:type="dxa"/>
            <w:gridSpan w:val="3"/>
            <w:tcBorders>
              <w:top w:val="single" w:color="000000" w:sz="12" w:space="0"/>
              <w:left w:val="single" w:color="000000" w:sz="4" w:space="0"/>
              <w:bottom w:val="single" w:color="000000" w:sz="4" w:space="0"/>
              <w:right w:val="single" w:color="000000" w:sz="4" w:space="0"/>
            </w:tcBorders>
            <w:noWrap w:val="0"/>
            <w:vAlign w:val="center"/>
          </w:tcPr>
          <w:p w14:paraId="0808469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2026.02.24</w:t>
            </w:r>
          </w:p>
        </w:tc>
        <w:tc>
          <w:tcPr>
            <w:tcW w:w="1092" w:type="dxa"/>
            <w:vMerge w:val="restart"/>
            <w:tcBorders>
              <w:left w:val="single" w:color="000000" w:sz="4" w:space="0"/>
            </w:tcBorders>
            <w:noWrap w:val="0"/>
            <w:vAlign w:val="center"/>
          </w:tcPr>
          <w:p w14:paraId="257B56D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标准限值</w:t>
            </w:r>
          </w:p>
          <w:p w14:paraId="0F72985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r>
      <w:tr w14:paraId="157F32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vMerge w:val="continue"/>
            <w:tcBorders>
              <w:right w:val="single" w:color="000000" w:sz="4" w:space="0"/>
            </w:tcBorders>
            <w:noWrap w:val="0"/>
            <w:vAlign w:val="center"/>
          </w:tcPr>
          <w:p w14:paraId="75FB548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64B9186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采样点位</w:t>
            </w:r>
          </w:p>
        </w:tc>
        <w:tc>
          <w:tcPr>
            <w:tcW w:w="4643" w:type="dxa"/>
            <w:gridSpan w:val="3"/>
            <w:tcBorders>
              <w:top w:val="single" w:color="000000" w:sz="4" w:space="0"/>
              <w:left w:val="single" w:color="000000" w:sz="4" w:space="0"/>
              <w:bottom w:val="single" w:color="000000" w:sz="4" w:space="0"/>
              <w:right w:val="single" w:color="000000" w:sz="4" w:space="0"/>
            </w:tcBorders>
            <w:noWrap w:val="0"/>
            <w:vAlign w:val="center"/>
          </w:tcPr>
          <w:p w14:paraId="6819A84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占地范围内■3</w:t>
            </w:r>
          </w:p>
        </w:tc>
        <w:tc>
          <w:tcPr>
            <w:tcW w:w="1092" w:type="dxa"/>
            <w:vMerge w:val="continue"/>
            <w:tcBorders>
              <w:left w:val="single" w:color="000000" w:sz="4" w:space="0"/>
            </w:tcBorders>
            <w:noWrap w:val="0"/>
            <w:vAlign w:val="center"/>
          </w:tcPr>
          <w:p w14:paraId="05E3FF0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2E5C1E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vMerge w:val="continue"/>
            <w:tcBorders>
              <w:right w:val="single" w:color="000000" w:sz="4" w:space="0"/>
            </w:tcBorders>
            <w:noWrap w:val="0"/>
            <w:vAlign w:val="center"/>
          </w:tcPr>
          <w:p w14:paraId="7D37491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0F95CA1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检测点类型</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DAA187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柱状样0.2m</w:t>
            </w:r>
          </w:p>
        </w:tc>
        <w:tc>
          <w:tcPr>
            <w:tcW w:w="1554" w:type="dxa"/>
            <w:tcBorders>
              <w:left w:val="single" w:color="000000" w:sz="4" w:space="0"/>
              <w:right w:val="single" w:color="000000" w:sz="4" w:space="0"/>
            </w:tcBorders>
            <w:noWrap w:val="0"/>
            <w:vAlign w:val="center"/>
          </w:tcPr>
          <w:p w14:paraId="634FE37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柱状样1.0m</w:t>
            </w:r>
          </w:p>
        </w:tc>
        <w:tc>
          <w:tcPr>
            <w:tcW w:w="1555" w:type="dxa"/>
            <w:tcBorders>
              <w:left w:val="single" w:color="000000" w:sz="4" w:space="0"/>
              <w:right w:val="single" w:color="000000" w:sz="4" w:space="0"/>
            </w:tcBorders>
            <w:noWrap w:val="0"/>
            <w:vAlign w:val="center"/>
          </w:tcPr>
          <w:p w14:paraId="0DA9E66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柱状样2m</w:t>
            </w:r>
          </w:p>
        </w:tc>
        <w:tc>
          <w:tcPr>
            <w:tcW w:w="1092" w:type="dxa"/>
            <w:vMerge w:val="continue"/>
            <w:tcBorders>
              <w:left w:val="single" w:color="000000" w:sz="4" w:space="0"/>
            </w:tcBorders>
            <w:noWrap w:val="0"/>
            <w:vAlign w:val="center"/>
          </w:tcPr>
          <w:p w14:paraId="7155980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4073EC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vMerge w:val="continue"/>
            <w:tcBorders>
              <w:right w:val="single" w:color="000000" w:sz="4" w:space="0"/>
            </w:tcBorders>
            <w:noWrap w:val="0"/>
            <w:vAlign w:val="center"/>
          </w:tcPr>
          <w:p w14:paraId="5FC6BB2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49F3540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样品性状</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9B2545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棕色、壤土</w:t>
            </w:r>
          </w:p>
        </w:tc>
        <w:tc>
          <w:tcPr>
            <w:tcW w:w="1554" w:type="dxa"/>
            <w:tcBorders>
              <w:left w:val="single" w:color="000000" w:sz="4" w:space="0"/>
              <w:right w:val="single" w:color="000000" w:sz="4" w:space="0"/>
            </w:tcBorders>
            <w:noWrap w:val="0"/>
            <w:vAlign w:val="center"/>
          </w:tcPr>
          <w:p w14:paraId="7BE0AC0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棕色、壤土</w:t>
            </w:r>
          </w:p>
        </w:tc>
        <w:tc>
          <w:tcPr>
            <w:tcW w:w="1555" w:type="dxa"/>
            <w:tcBorders>
              <w:left w:val="single" w:color="000000" w:sz="4" w:space="0"/>
              <w:right w:val="single" w:color="000000" w:sz="4" w:space="0"/>
            </w:tcBorders>
            <w:noWrap w:val="0"/>
            <w:vAlign w:val="center"/>
          </w:tcPr>
          <w:p w14:paraId="5F316CB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棕色、壤土</w:t>
            </w:r>
          </w:p>
        </w:tc>
        <w:tc>
          <w:tcPr>
            <w:tcW w:w="1092" w:type="dxa"/>
            <w:vMerge w:val="continue"/>
            <w:tcBorders>
              <w:left w:val="single" w:color="000000" w:sz="4" w:space="0"/>
            </w:tcBorders>
            <w:noWrap w:val="0"/>
            <w:vAlign w:val="center"/>
          </w:tcPr>
          <w:p w14:paraId="3569322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1DA7F7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vMerge w:val="continue"/>
            <w:tcBorders>
              <w:bottom w:val="single" w:color="000000" w:sz="4" w:space="0"/>
              <w:right w:val="single" w:color="000000" w:sz="4" w:space="0"/>
            </w:tcBorders>
            <w:noWrap w:val="0"/>
            <w:vAlign w:val="center"/>
          </w:tcPr>
          <w:p w14:paraId="49E7508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345274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样品编号</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D52BD9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G260224020301</w:t>
            </w:r>
          </w:p>
        </w:tc>
        <w:tc>
          <w:tcPr>
            <w:tcW w:w="1554" w:type="dxa"/>
            <w:tcBorders>
              <w:left w:val="single" w:color="000000" w:sz="4" w:space="0"/>
              <w:bottom w:val="single" w:color="000000" w:sz="4" w:space="0"/>
              <w:right w:val="single" w:color="000000" w:sz="4" w:space="0"/>
            </w:tcBorders>
            <w:noWrap w:val="0"/>
            <w:vAlign w:val="center"/>
          </w:tcPr>
          <w:p w14:paraId="31650D7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G260224020302</w:t>
            </w:r>
          </w:p>
        </w:tc>
        <w:tc>
          <w:tcPr>
            <w:tcW w:w="1555" w:type="dxa"/>
            <w:tcBorders>
              <w:left w:val="single" w:color="000000" w:sz="4" w:space="0"/>
              <w:bottom w:val="single" w:color="000000" w:sz="4" w:space="0"/>
              <w:right w:val="single" w:color="000000" w:sz="4" w:space="0"/>
            </w:tcBorders>
            <w:noWrap w:val="0"/>
            <w:vAlign w:val="center"/>
          </w:tcPr>
          <w:p w14:paraId="4046E5B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G260224020303</w:t>
            </w:r>
          </w:p>
        </w:tc>
        <w:tc>
          <w:tcPr>
            <w:tcW w:w="1092" w:type="dxa"/>
            <w:vMerge w:val="continue"/>
            <w:tcBorders>
              <w:left w:val="single" w:color="000000" w:sz="4" w:space="0"/>
              <w:bottom w:val="single" w:color="000000" w:sz="4" w:space="0"/>
            </w:tcBorders>
            <w:noWrap w:val="0"/>
            <w:vAlign w:val="center"/>
          </w:tcPr>
          <w:p w14:paraId="19AA5EE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2F9859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2444497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pH</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1A4432A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无量纲</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4A536F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8.05</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184382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7.89</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A08536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8.02</w:t>
            </w:r>
          </w:p>
        </w:tc>
        <w:tc>
          <w:tcPr>
            <w:tcW w:w="1092" w:type="dxa"/>
            <w:tcBorders>
              <w:top w:val="single" w:color="000000" w:sz="4" w:space="0"/>
              <w:left w:val="single" w:color="000000" w:sz="4" w:space="0"/>
              <w:bottom w:val="single" w:color="000000" w:sz="4" w:space="0"/>
            </w:tcBorders>
            <w:noWrap w:val="0"/>
            <w:vAlign w:val="center"/>
          </w:tcPr>
          <w:p w14:paraId="0FED6B9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0A2118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311BAE2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05786C6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CE4470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4.85</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373EDDD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3.86</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04B0FF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3.74</w:t>
            </w:r>
          </w:p>
        </w:tc>
        <w:tc>
          <w:tcPr>
            <w:tcW w:w="1092" w:type="dxa"/>
            <w:tcBorders>
              <w:top w:val="single" w:color="000000" w:sz="4" w:space="0"/>
              <w:left w:val="single" w:color="000000" w:sz="4" w:space="0"/>
              <w:bottom w:val="single" w:color="000000" w:sz="4" w:space="0"/>
            </w:tcBorders>
            <w:noWrap w:val="0"/>
            <w:vAlign w:val="center"/>
          </w:tcPr>
          <w:p w14:paraId="42719AA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60</w:t>
            </w:r>
          </w:p>
        </w:tc>
      </w:tr>
      <w:tr w14:paraId="645707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26AC3D0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镉</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784E4AC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932F4B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0.28</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6A8190B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0.29</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1C0E3B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0.25</w:t>
            </w:r>
          </w:p>
        </w:tc>
        <w:tc>
          <w:tcPr>
            <w:tcW w:w="1092" w:type="dxa"/>
            <w:tcBorders>
              <w:top w:val="single" w:color="000000" w:sz="4" w:space="0"/>
              <w:left w:val="single" w:color="000000" w:sz="4" w:space="0"/>
              <w:bottom w:val="single" w:color="000000" w:sz="4" w:space="0"/>
            </w:tcBorders>
            <w:noWrap w:val="0"/>
            <w:vAlign w:val="center"/>
          </w:tcPr>
          <w:p w14:paraId="558ABEF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65</w:t>
            </w:r>
          </w:p>
        </w:tc>
      </w:tr>
      <w:tr w14:paraId="7B7E10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6958FCB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六价铬</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DBB901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C4AE01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0.5L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1A4F2E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0.5L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5D52ED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0.5L</w:t>
            </w:r>
          </w:p>
        </w:tc>
        <w:tc>
          <w:tcPr>
            <w:tcW w:w="1092" w:type="dxa"/>
            <w:tcBorders>
              <w:top w:val="single" w:color="000000" w:sz="4" w:space="0"/>
              <w:left w:val="single" w:color="000000" w:sz="4" w:space="0"/>
              <w:bottom w:val="single" w:color="000000" w:sz="4" w:space="0"/>
            </w:tcBorders>
            <w:noWrap w:val="0"/>
            <w:vAlign w:val="center"/>
          </w:tcPr>
          <w:p w14:paraId="6BA199F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5.7</w:t>
            </w:r>
          </w:p>
        </w:tc>
      </w:tr>
      <w:tr w14:paraId="321512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6E9723F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铜</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0278367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BE429A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16</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CE0DE4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271AF32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w:t>
            </w:r>
          </w:p>
        </w:tc>
        <w:tc>
          <w:tcPr>
            <w:tcW w:w="1092" w:type="dxa"/>
            <w:tcBorders>
              <w:top w:val="single" w:color="000000" w:sz="4" w:space="0"/>
              <w:left w:val="single" w:color="000000" w:sz="4" w:space="0"/>
              <w:bottom w:val="single" w:color="000000" w:sz="4" w:space="0"/>
            </w:tcBorders>
            <w:noWrap w:val="0"/>
            <w:vAlign w:val="center"/>
          </w:tcPr>
          <w:p w14:paraId="5F4556E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18000</w:t>
            </w:r>
          </w:p>
        </w:tc>
      </w:tr>
      <w:tr w14:paraId="4C4B3F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3728EB8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铅</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F3DDF8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5E2E23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46</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00164BC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7C85A6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18</w:t>
            </w:r>
          </w:p>
        </w:tc>
        <w:tc>
          <w:tcPr>
            <w:tcW w:w="1092" w:type="dxa"/>
            <w:tcBorders>
              <w:top w:val="single" w:color="000000" w:sz="4" w:space="0"/>
              <w:left w:val="single" w:color="000000" w:sz="4" w:space="0"/>
              <w:bottom w:val="single" w:color="000000" w:sz="4" w:space="0"/>
            </w:tcBorders>
            <w:noWrap w:val="0"/>
            <w:vAlign w:val="center"/>
          </w:tcPr>
          <w:p w14:paraId="110F572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800</w:t>
            </w:r>
          </w:p>
        </w:tc>
      </w:tr>
      <w:tr w14:paraId="6DEEB7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3B97B96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汞</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7DDF59C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1A0F34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0.0353</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6D09CF3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0.0525</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E1420A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0.0490</w:t>
            </w:r>
          </w:p>
        </w:tc>
        <w:tc>
          <w:tcPr>
            <w:tcW w:w="1092" w:type="dxa"/>
            <w:tcBorders>
              <w:top w:val="single" w:color="000000" w:sz="4" w:space="0"/>
              <w:left w:val="single" w:color="000000" w:sz="4" w:space="0"/>
              <w:bottom w:val="single" w:color="000000" w:sz="4" w:space="0"/>
            </w:tcBorders>
            <w:noWrap w:val="0"/>
            <w:vAlign w:val="center"/>
          </w:tcPr>
          <w:p w14:paraId="0BFD3AD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38</w:t>
            </w:r>
          </w:p>
        </w:tc>
      </w:tr>
      <w:tr w14:paraId="75C7A8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79D2EE1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镍</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410014E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F7E39E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23</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912092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29</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0C60949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22</w:t>
            </w:r>
          </w:p>
        </w:tc>
        <w:tc>
          <w:tcPr>
            <w:tcW w:w="1092" w:type="dxa"/>
            <w:tcBorders>
              <w:top w:val="single" w:color="000000" w:sz="4" w:space="0"/>
              <w:left w:val="single" w:color="000000" w:sz="4" w:space="0"/>
              <w:bottom w:val="single" w:color="000000" w:sz="4" w:space="0"/>
            </w:tcBorders>
            <w:noWrap w:val="0"/>
            <w:vAlign w:val="center"/>
          </w:tcPr>
          <w:p w14:paraId="49BD190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900</w:t>
            </w:r>
          </w:p>
        </w:tc>
      </w:tr>
      <w:tr w14:paraId="700590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5E1BC48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四氯化碳</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7B6620B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631EAB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C5869E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F18180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092" w:type="dxa"/>
            <w:tcBorders>
              <w:top w:val="single" w:color="000000" w:sz="4" w:space="0"/>
              <w:left w:val="single" w:color="000000" w:sz="4" w:space="0"/>
              <w:bottom w:val="single" w:color="000000" w:sz="4" w:space="0"/>
            </w:tcBorders>
            <w:noWrap w:val="0"/>
            <w:vAlign w:val="center"/>
          </w:tcPr>
          <w:p w14:paraId="28DCE08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2.8</w:t>
            </w:r>
          </w:p>
        </w:tc>
      </w:tr>
      <w:tr w14:paraId="46A81B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3AB7508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氯仿</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1963CAE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5E272F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09A623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02C4A3F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092" w:type="dxa"/>
            <w:tcBorders>
              <w:top w:val="single" w:color="000000" w:sz="4" w:space="0"/>
              <w:left w:val="single" w:color="000000" w:sz="4" w:space="0"/>
              <w:bottom w:val="single" w:color="000000" w:sz="4" w:space="0"/>
            </w:tcBorders>
            <w:noWrap w:val="0"/>
            <w:vAlign w:val="center"/>
          </w:tcPr>
          <w:p w14:paraId="51CC16F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0.9</w:t>
            </w:r>
          </w:p>
        </w:tc>
      </w:tr>
      <w:tr w14:paraId="378E3B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5D2E05E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氯甲烷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F38EDB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1C676D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DB1AE3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2C53C7C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092" w:type="dxa"/>
            <w:tcBorders>
              <w:top w:val="single" w:color="000000" w:sz="4" w:space="0"/>
              <w:left w:val="single" w:color="000000" w:sz="4" w:space="0"/>
              <w:bottom w:val="single" w:color="000000" w:sz="4" w:space="0"/>
            </w:tcBorders>
            <w:noWrap w:val="0"/>
            <w:vAlign w:val="center"/>
          </w:tcPr>
          <w:p w14:paraId="3D32725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37</w:t>
            </w:r>
          </w:p>
        </w:tc>
      </w:tr>
      <w:tr w14:paraId="42E049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3F7676E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1,1-二氯乙烷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3C9FB92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6991CE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4E02B6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83F1BA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4" w:space="0"/>
            </w:tcBorders>
            <w:noWrap w:val="0"/>
            <w:vAlign w:val="center"/>
          </w:tcPr>
          <w:p w14:paraId="4566F7E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9</w:t>
            </w:r>
          </w:p>
        </w:tc>
      </w:tr>
      <w:tr w14:paraId="53D774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58CD885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1,2-二氯乙烷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310C210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E85D55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07A7F82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F7A20F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092" w:type="dxa"/>
            <w:tcBorders>
              <w:top w:val="single" w:color="000000" w:sz="4" w:space="0"/>
              <w:left w:val="single" w:color="000000" w:sz="4" w:space="0"/>
              <w:bottom w:val="single" w:color="000000" w:sz="4" w:space="0"/>
            </w:tcBorders>
            <w:noWrap w:val="0"/>
            <w:vAlign w:val="center"/>
          </w:tcPr>
          <w:p w14:paraId="363932D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w:t>
            </w:r>
          </w:p>
        </w:tc>
      </w:tr>
      <w:tr w14:paraId="070196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05BED9B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1,1-二氯乙烯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4AD46C8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118E78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0CDB6E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663BAEF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092" w:type="dxa"/>
            <w:tcBorders>
              <w:top w:val="single" w:color="000000" w:sz="4" w:space="0"/>
              <w:left w:val="single" w:color="000000" w:sz="4" w:space="0"/>
              <w:bottom w:val="single" w:color="000000" w:sz="4" w:space="0"/>
            </w:tcBorders>
            <w:noWrap w:val="0"/>
            <w:vAlign w:val="center"/>
          </w:tcPr>
          <w:p w14:paraId="3CC86CC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66</w:t>
            </w:r>
          </w:p>
        </w:tc>
      </w:tr>
      <w:tr w14:paraId="0FB013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5DF98A1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顺-1,2-二氯乙烯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1E13DEF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A95F1C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27FFF4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68A0D7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092" w:type="dxa"/>
            <w:tcBorders>
              <w:top w:val="single" w:color="000000" w:sz="4" w:space="0"/>
              <w:left w:val="single" w:color="000000" w:sz="4" w:space="0"/>
              <w:bottom w:val="single" w:color="000000" w:sz="4" w:space="0"/>
            </w:tcBorders>
            <w:noWrap w:val="0"/>
            <w:vAlign w:val="center"/>
          </w:tcPr>
          <w:p w14:paraId="5E8F385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596</w:t>
            </w:r>
          </w:p>
        </w:tc>
      </w:tr>
      <w:tr w14:paraId="0987D5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3B9F8C6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反-1,2-二氯乙烯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17ED862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AA85B0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0641659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4BFC62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1.4L</w:t>
            </w:r>
          </w:p>
        </w:tc>
        <w:tc>
          <w:tcPr>
            <w:tcW w:w="1092" w:type="dxa"/>
            <w:tcBorders>
              <w:top w:val="single" w:color="000000" w:sz="4" w:space="0"/>
              <w:left w:val="single" w:color="000000" w:sz="4" w:space="0"/>
              <w:bottom w:val="single" w:color="000000" w:sz="4" w:space="0"/>
            </w:tcBorders>
            <w:noWrap w:val="0"/>
            <w:vAlign w:val="center"/>
          </w:tcPr>
          <w:p w14:paraId="3E710CF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54</w:t>
            </w:r>
          </w:p>
        </w:tc>
      </w:tr>
      <w:tr w14:paraId="37860D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616" w:type="dxa"/>
            <w:tcBorders>
              <w:top w:val="single" w:color="000000" w:sz="4" w:space="0"/>
              <w:bottom w:val="single" w:color="000000" w:sz="4" w:space="0"/>
              <w:right w:val="single" w:color="000000" w:sz="4" w:space="0"/>
            </w:tcBorders>
            <w:noWrap w:val="0"/>
            <w:vAlign w:val="center"/>
          </w:tcPr>
          <w:p w14:paraId="65CF06B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二氯甲烷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2530556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912EA3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07AE84C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05A914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092" w:type="dxa"/>
            <w:tcBorders>
              <w:top w:val="single" w:color="000000" w:sz="4" w:space="0"/>
              <w:left w:val="single" w:color="000000" w:sz="4" w:space="0"/>
              <w:bottom w:val="single" w:color="000000" w:sz="4" w:space="0"/>
            </w:tcBorders>
            <w:noWrap w:val="0"/>
            <w:vAlign w:val="center"/>
          </w:tcPr>
          <w:p w14:paraId="0F81D52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616</w:t>
            </w:r>
          </w:p>
        </w:tc>
      </w:tr>
      <w:tr w14:paraId="6A2A91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161C034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1,2-二氯丙烷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08A01CF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561E32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03691A2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4AB94A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092" w:type="dxa"/>
            <w:tcBorders>
              <w:top w:val="single" w:color="000000" w:sz="4" w:space="0"/>
              <w:left w:val="single" w:color="000000" w:sz="4" w:space="0"/>
              <w:bottom w:val="single" w:color="000000" w:sz="4" w:space="0"/>
            </w:tcBorders>
            <w:noWrap w:val="0"/>
            <w:vAlign w:val="center"/>
          </w:tcPr>
          <w:p w14:paraId="7897E34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w:t>
            </w:r>
          </w:p>
        </w:tc>
      </w:tr>
      <w:tr w14:paraId="47B55F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0AFE2C6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1,1,1,2-四氯乙烷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772E266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484491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6E38D4C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4AB8DF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4" w:space="0"/>
            </w:tcBorders>
            <w:noWrap w:val="0"/>
            <w:vAlign w:val="center"/>
          </w:tcPr>
          <w:p w14:paraId="6B7C18E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w:t>
            </w:r>
          </w:p>
        </w:tc>
      </w:tr>
      <w:tr w14:paraId="2F91BC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13642C0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1,1,2,2-四氯乙烷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29A8F2A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C8E519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E7E5CD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473C68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4" w:space="0"/>
            </w:tcBorders>
            <w:noWrap w:val="0"/>
            <w:vAlign w:val="center"/>
          </w:tcPr>
          <w:p w14:paraId="64F912B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6.8</w:t>
            </w:r>
          </w:p>
        </w:tc>
      </w:tr>
      <w:tr w14:paraId="6E240D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2ED7D39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四氯乙烯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7E9ABB6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441B1B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FFDA9F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CC7BEB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1.4L</w:t>
            </w:r>
          </w:p>
        </w:tc>
        <w:tc>
          <w:tcPr>
            <w:tcW w:w="1092" w:type="dxa"/>
            <w:tcBorders>
              <w:top w:val="single" w:color="000000" w:sz="4" w:space="0"/>
              <w:left w:val="single" w:color="000000" w:sz="4" w:space="0"/>
              <w:bottom w:val="single" w:color="000000" w:sz="4" w:space="0"/>
            </w:tcBorders>
            <w:noWrap w:val="0"/>
            <w:vAlign w:val="center"/>
          </w:tcPr>
          <w:p w14:paraId="748BFC8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53</w:t>
            </w:r>
          </w:p>
        </w:tc>
      </w:tr>
      <w:tr w14:paraId="44BBD6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56BB1C3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1,1,1-三氯乙烷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6AEE67E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C187AC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7BC5B7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7371F5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092" w:type="dxa"/>
            <w:tcBorders>
              <w:top w:val="single" w:color="000000" w:sz="4" w:space="0"/>
              <w:left w:val="single" w:color="000000" w:sz="4" w:space="0"/>
              <w:bottom w:val="single" w:color="000000" w:sz="4" w:space="0"/>
            </w:tcBorders>
            <w:noWrap w:val="0"/>
            <w:vAlign w:val="center"/>
          </w:tcPr>
          <w:p w14:paraId="23EB8E8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840</w:t>
            </w:r>
          </w:p>
        </w:tc>
      </w:tr>
      <w:tr w14:paraId="5394EF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40EB940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1,1,2-三氯乙烷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1487BCB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A689DA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1423F7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19E82E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4" w:space="0"/>
            </w:tcBorders>
            <w:noWrap w:val="0"/>
            <w:vAlign w:val="center"/>
          </w:tcPr>
          <w:p w14:paraId="1A07FCB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2.8</w:t>
            </w:r>
          </w:p>
        </w:tc>
      </w:tr>
      <w:tr w14:paraId="0AFBC3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1F230C3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三氯乙烯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7F29293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E0E3DE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0CC434D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CD1CB2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4" w:space="0"/>
            </w:tcBorders>
            <w:noWrap w:val="0"/>
            <w:vAlign w:val="center"/>
          </w:tcPr>
          <w:p w14:paraId="7993A61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2.8</w:t>
            </w:r>
          </w:p>
        </w:tc>
      </w:tr>
      <w:tr w14:paraId="7FFC82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2BDC72A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1,2,3-三氯丙烷</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615BF30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CBBA41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E46CD0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62CC179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4" w:space="0"/>
            </w:tcBorders>
            <w:noWrap w:val="0"/>
            <w:vAlign w:val="center"/>
          </w:tcPr>
          <w:p w14:paraId="376CB1E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0.5</w:t>
            </w:r>
          </w:p>
        </w:tc>
      </w:tr>
      <w:tr w14:paraId="5CA2C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1FA4FDD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氯乙烯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2BC00F5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A77753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CF9FCA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A4F3FD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092" w:type="dxa"/>
            <w:tcBorders>
              <w:top w:val="single" w:color="000000" w:sz="4" w:space="0"/>
              <w:left w:val="single" w:color="000000" w:sz="4" w:space="0"/>
              <w:bottom w:val="single" w:color="000000" w:sz="4" w:space="0"/>
            </w:tcBorders>
            <w:noWrap w:val="0"/>
            <w:vAlign w:val="center"/>
          </w:tcPr>
          <w:p w14:paraId="1CF2430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0.43</w:t>
            </w:r>
          </w:p>
        </w:tc>
      </w:tr>
      <w:tr w14:paraId="4CF424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6B8F69E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7475778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AF46B4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2F3197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57A408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1.9L</w:t>
            </w:r>
          </w:p>
        </w:tc>
        <w:tc>
          <w:tcPr>
            <w:tcW w:w="1092" w:type="dxa"/>
            <w:tcBorders>
              <w:top w:val="single" w:color="000000" w:sz="4" w:space="0"/>
              <w:left w:val="single" w:color="000000" w:sz="4" w:space="0"/>
              <w:bottom w:val="single" w:color="000000" w:sz="4" w:space="0"/>
            </w:tcBorders>
            <w:noWrap w:val="0"/>
            <w:vAlign w:val="center"/>
          </w:tcPr>
          <w:p w14:paraId="37291C6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w:t>
            </w:r>
          </w:p>
        </w:tc>
      </w:tr>
      <w:tr w14:paraId="002A7A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5974923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氯苯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15E0BA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FF85AB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22B95D4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2D9DC72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4" w:space="0"/>
            </w:tcBorders>
            <w:noWrap w:val="0"/>
            <w:vAlign w:val="center"/>
          </w:tcPr>
          <w:p w14:paraId="0C25C5F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270</w:t>
            </w:r>
          </w:p>
        </w:tc>
      </w:tr>
      <w:tr w14:paraId="2115B3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51FC79C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1,2-二氯苯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674CCE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A6616C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301C300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380AF1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092" w:type="dxa"/>
            <w:tcBorders>
              <w:top w:val="single" w:color="000000" w:sz="4" w:space="0"/>
              <w:left w:val="single" w:color="000000" w:sz="4" w:space="0"/>
              <w:bottom w:val="single" w:color="000000" w:sz="4" w:space="0"/>
            </w:tcBorders>
            <w:noWrap w:val="0"/>
            <w:vAlign w:val="center"/>
          </w:tcPr>
          <w:p w14:paraId="3BF9897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560</w:t>
            </w:r>
          </w:p>
        </w:tc>
      </w:tr>
      <w:tr w14:paraId="457D58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4B55B06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1,4-二氯苯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37C3956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57A9F0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2450553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74006F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092" w:type="dxa"/>
            <w:tcBorders>
              <w:top w:val="single" w:color="000000" w:sz="4" w:space="0"/>
              <w:left w:val="single" w:color="000000" w:sz="4" w:space="0"/>
              <w:bottom w:val="single" w:color="000000" w:sz="4" w:space="0"/>
            </w:tcBorders>
            <w:noWrap w:val="0"/>
            <w:vAlign w:val="center"/>
          </w:tcPr>
          <w:p w14:paraId="15930E1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w:t>
            </w:r>
          </w:p>
        </w:tc>
      </w:tr>
      <w:tr w14:paraId="26A29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18FD5BC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乙苯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4ADBB3B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2DC580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92DA73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65B313E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4" w:space="0"/>
            </w:tcBorders>
            <w:noWrap w:val="0"/>
            <w:vAlign w:val="center"/>
          </w:tcPr>
          <w:p w14:paraId="4E39D14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28</w:t>
            </w:r>
          </w:p>
        </w:tc>
      </w:tr>
      <w:tr w14:paraId="15C4AD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616" w:type="dxa"/>
            <w:tcBorders>
              <w:top w:val="single" w:color="000000" w:sz="4" w:space="0"/>
              <w:bottom w:val="single" w:color="000000" w:sz="4" w:space="0"/>
              <w:right w:val="single" w:color="000000" w:sz="4" w:space="0"/>
            </w:tcBorders>
            <w:noWrap w:val="0"/>
            <w:vAlign w:val="center"/>
          </w:tcPr>
          <w:p w14:paraId="6531970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苯乙烯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F0E8EB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4D1D8F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3E94867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656F02B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092" w:type="dxa"/>
            <w:tcBorders>
              <w:top w:val="single" w:color="000000" w:sz="4" w:space="0"/>
              <w:left w:val="single" w:color="000000" w:sz="4" w:space="0"/>
              <w:bottom w:val="single" w:color="000000" w:sz="4" w:space="0"/>
            </w:tcBorders>
            <w:noWrap w:val="0"/>
            <w:vAlign w:val="center"/>
          </w:tcPr>
          <w:p w14:paraId="181CE72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1290</w:t>
            </w:r>
          </w:p>
        </w:tc>
      </w:tr>
      <w:tr w14:paraId="6C47B0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616" w:type="dxa"/>
            <w:tcBorders>
              <w:top w:val="single" w:color="000000" w:sz="4" w:space="0"/>
              <w:bottom w:val="single" w:color="000000" w:sz="4" w:space="0"/>
              <w:right w:val="single" w:color="000000" w:sz="4" w:space="0"/>
            </w:tcBorders>
            <w:noWrap w:val="0"/>
            <w:vAlign w:val="center"/>
          </w:tcPr>
          <w:p w14:paraId="6F05342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甲苯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6BBA25E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A05459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25DB815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02AF51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092" w:type="dxa"/>
            <w:tcBorders>
              <w:top w:val="single" w:color="000000" w:sz="4" w:space="0"/>
              <w:left w:val="single" w:color="000000" w:sz="4" w:space="0"/>
              <w:bottom w:val="single" w:color="000000" w:sz="4" w:space="0"/>
            </w:tcBorders>
            <w:noWrap w:val="0"/>
            <w:vAlign w:val="center"/>
          </w:tcPr>
          <w:p w14:paraId="5CE9AC8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1200</w:t>
            </w:r>
          </w:p>
        </w:tc>
      </w:tr>
      <w:tr w14:paraId="47927A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616" w:type="dxa"/>
            <w:tcBorders>
              <w:top w:val="single" w:color="000000" w:sz="4" w:space="0"/>
              <w:bottom w:val="single" w:color="000000" w:sz="12" w:space="0"/>
              <w:right w:val="single" w:color="000000" w:sz="4" w:space="0"/>
            </w:tcBorders>
            <w:noWrap w:val="0"/>
            <w:vAlign w:val="center"/>
          </w:tcPr>
          <w:p w14:paraId="411C089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间二甲苯+对二甲苯</w:t>
            </w:r>
          </w:p>
        </w:tc>
        <w:tc>
          <w:tcPr>
            <w:tcW w:w="1171" w:type="dxa"/>
            <w:tcBorders>
              <w:top w:val="single" w:color="000000" w:sz="4" w:space="0"/>
              <w:left w:val="single" w:color="000000" w:sz="4" w:space="0"/>
              <w:bottom w:val="single" w:color="000000" w:sz="12" w:space="0"/>
              <w:right w:val="single" w:color="000000" w:sz="4" w:space="0"/>
            </w:tcBorders>
            <w:noWrap w:val="0"/>
            <w:vAlign w:val="center"/>
          </w:tcPr>
          <w:p w14:paraId="34E86CF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12" w:space="0"/>
              <w:right w:val="single" w:color="000000" w:sz="4" w:space="0"/>
            </w:tcBorders>
            <w:noWrap w:val="0"/>
            <w:vAlign w:val="center"/>
          </w:tcPr>
          <w:p w14:paraId="33D18BA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12" w:space="0"/>
              <w:right w:val="single" w:color="000000" w:sz="4" w:space="0"/>
            </w:tcBorders>
            <w:noWrap w:val="0"/>
            <w:vAlign w:val="center"/>
          </w:tcPr>
          <w:p w14:paraId="0B2F3AF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12" w:space="0"/>
              <w:right w:val="single" w:color="000000" w:sz="4" w:space="0"/>
            </w:tcBorders>
            <w:noWrap w:val="0"/>
            <w:vAlign w:val="center"/>
          </w:tcPr>
          <w:p w14:paraId="3E0204B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12" w:space="0"/>
            </w:tcBorders>
            <w:noWrap w:val="0"/>
            <w:vAlign w:val="center"/>
          </w:tcPr>
          <w:p w14:paraId="33BBBC0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570</w:t>
            </w:r>
          </w:p>
        </w:tc>
      </w:tr>
      <w:tr w14:paraId="08750E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096F40B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邻二甲苯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ADE3A2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AE4551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CCEBA5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B3E042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092" w:type="dxa"/>
            <w:tcBorders>
              <w:top w:val="single" w:color="000000" w:sz="4" w:space="0"/>
              <w:left w:val="single" w:color="000000" w:sz="4" w:space="0"/>
              <w:bottom w:val="single" w:color="000000" w:sz="4" w:space="0"/>
            </w:tcBorders>
            <w:noWrap w:val="0"/>
            <w:vAlign w:val="center"/>
          </w:tcPr>
          <w:p w14:paraId="24BB75E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640</w:t>
            </w:r>
          </w:p>
        </w:tc>
      </w:tr>
      <w:tr w14:paraId="40DF9C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1218D15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硝基苯</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7FD30EC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D03A53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0.09L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C47B35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0.09L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152BB51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0.09L</w:t>
            </w:r>
          </w:p>
        </w:tc>
        <w:tc>
          <w:tcPr>
            <w:tcW w:w="1092" w:type="dxa"/>
            <w:tcBorders>
              <w:top w:val="single" w:color="000000" w:sz="4" w:space="0"/>
              <w:left w:val="single" w:color="000000" w:sz="4" w:space="0"/>
              <w:bottom w:val="single" w:color="000000" w:sz="4" w:space="0"/>
            </w:tcBorders>
            <w:noWrap w:val="0"/>
            <w:vAlign w:val="center"/>
          </w:tcPr>
          <w:p w14:paraId="58DD9A0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76</w:t>
            </w:r>
          </w:p>
        </w:tc>
      </w:tr>
      <w:tr w14:paraId="71B783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3621BD6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苯胺</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2984E6A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D508B1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未检出</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458F6E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未检出</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FB984F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未检出</w:t>
            </w:r>
          </w:p>
        </w:tc>
        <w:tc>
          <w:tcPr>
            <w:tcW w:w="1092" w:type="dxa"/>
            <w:tcBorders>
              <w:top w:val="single" w:color="000000" w:sz="4" w:space="0"/>
              <w:left w:val="single" w:color="000000" w:sz="4" w:space="0"/>
              <w:bottom w:val="single" w:color="000000" w:sz="4" w:space="0"/>
            </w:tcBorders>
            <w:noWrap w:val="0"/>
            <w:vAlign w:val="center"/>
          </w:tcPr>
          <w:p w14:paraId="01AD35C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260</w:t>
            </w:r>
          </w:p>
        </w:tc>
      </w:tr>
      <w:tr w14:paraId="5584F8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4BF56B4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2-氯酚</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04A8831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5B0944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0.06L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3758AB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0.06L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2561EA2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0.06L</w:t>
            </w:r>
          </w:p>
        </w:tc>
        <w:tc>
          <w:tcPr>
            <w:tcW w:w="1092" w:type="dxa"/>
            <w:tcBorders>
              <w:top w:val="single" w:color="000000" w:sz="4" w:space="0"/>
              <w:left w:val="single" w:color="000000" w:sz="4" w:space="0"/>
              <w:bottom w:val="single" w:color="000000" w:sz="4" w:space="0"/>
            </w:tcBorders>
            <w:noWrap w:val="0"/>
            <w:vAlign w:val="center"/>
          </w:tcPr>
          <w:p w14:paraId="47770E6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2256</w:t>
            </w:r>
          </w:p>
        </w:tc>
      </w:tr>
      <w:tr w14:paraId="3417E1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4EC7C2B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苯并[a]蒽</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04CFEE8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B9C12C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8FE463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54D98C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092" w:type="dxa"/>
            <w:tcBorders>
              <w:top w:val="single" w:color="000000" w:sz="4" w:space="0"/>
              <w:left w:val="single" w:color="000000" w:sz="4" w:space="0"/>
              <w:bottom w:val="single" w:color="000000" w:sz="4" w:space="0"/>
            </w:tcBorders>
            <w:noWrap w:val="0"/>
            <w:vAlign w:val="center"/>
          </w:tcPr>
          <w:p w14:paraId="768424D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716EC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77BE4E8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苯并[a]芘</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0AC230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D20793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816F67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691F72E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092" w:type="dxa"/>
            <w:tcBorders>
              <w:top w:val="single" w:color="000000" w:sz="4" w:space="0"/>
              <w:left w:val="single" w:color="000000" w:sz="4" w:space="0"/>
              <w:bottom w:val="single" w:color="000000" w:sz="4" w:space="0"/>
            </w:tcBorders>
            <w:noWrap w:val="0"/>
            <w:vAlign w:val="center"/>
          </w:tcPr>
          <w:p w14:paraId="3A7EAD3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1D0233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77893D2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苯并[b]荧蒽</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1651873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4E3584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0.2L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39B45C9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0.2L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FE94CC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0.2L</w:t>
            </w:r>
          </w:p>
        </w:tc>
        <w:tc>
          <w:tcPr>
            <w:tcW w:w="1092" w:type="dxa"/>
            <w:tcBorders>
              <w:top w:val="single" w:color="000000" w:sz="4" w:space="0"/>
              <w:left w:val="single" w:color="000000" w:sz="4" w:space="0"/>
              <w:bottom w:val="single" w:color="000000" w:sz="4" w:space="0"/>
            </w:tcBorders>
            <w:noWrap w:val="0"/>
            <w:vAlign w:val="center"/>
          </w:tcPr>
          <w:p w14:paraId="0C966A5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1A32A8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16D28C9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苯并[k]荧蒽</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0ECA853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517E65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0A4C89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1782EE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092" w:type="dxa"/>
            <w:tcBorders>
              <w:top w:val="single" w:color="000000" w:sz="4" w:space="0"/>
              <w:left w:val="single" w:color="000000" w:sz="4" w:space="0"/>
              <w:bottom w:val="single" w:color="000000" w:sz="4" w:space="0"/>
            </w:tcBorders>
            <w:noWrap w:val="0"/>
            <w:vAlign w:val="center"/>
          </w:tcPr>
          <w:p w14:paraId="2C9A425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151</w:t>
            </w:r>
          </w:p>
        </w:tc>
      </w:tr>
      <w:tr w14:paraId="7151DD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00A930C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䓛</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63A947E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8957C7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8C052F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A00C65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092" w:type="dxa"/>
            <w:tcBorders>
              <w:top w:val="single" w:color="000000" w:sz="4" w:space="0"/>
              <w:left w:val="single" w:color="000000" w:sz="4" w:space="0"/>
              <w:bottom w:val="single" w:color="000000" w:sz="4" w:space="0"/>
            </w:tcBorders>
            <w:noWrap w:val="0"/>
            <w:vAlign w:val="center"/>
          </w:tcPr>
          <w:p w14:paraId="4ECE161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1293</w:t>
            </w:r>
          </w:p>
        </w:tc>
      </w:tr>
      <w:tr w14:paraId="6C5880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78BC716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二苯并[a,h]蒽</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20521BC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A40D10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3217DEE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621D864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092" w:type="dxa"/>
            <w:tcBorders>
              <w:top w:val="single" w:color="000000" w:sz="4" w:space="0"/>
              <w:left w:val="single" w:color="000000" w:sz="4" w:space="0"/>
              <w:bottom w:val="single" w:color="000000" w:sz="4" w:space="0"/>
            </w:tcBorders>
            <w:noWrap w:val="0"/>
            <w:vAlign w:val="center"/>
          </w:tcPr>
          <w:p w14:paraId="071AC5E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19CDC9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1139CAF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茚并[1,2,3-cd]芘</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4BBAD54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95ACD2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2BDAB7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71E92BB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092" w:type="dxa"/>
            <w:tcBorders>
              <w:top w:val="single" w:color="000000" w:sz="4" w:space="0"/>
              <w:left w:val="single" w:color="000000" w:sz="4" w:space="0"/>
              <w:bottom w:val="single" w:color="000000" w:sz="4" w:space="0"/>
            </w:tcBorders>
            <w:noWrap w:val="0"/>
            <w:vAlign w:val="center"/>
          </w:tcPr>
          <w:p w14:paraId="1AECCB6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028CD3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18243ED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萘</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433AFD7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7F5779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0.09L</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39B19B1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0.09L</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3DDC96B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0.09L</w:t>
            </w:r>
          </w:p>
        </w:tc>
        <w:tc>
          <w:tcPr>
            <w:tcW w:w="1092" w:type="dxa"/>
            <w:tcBorders>
              <w:top w:val="single" w:color="000000" w:sz="4" w:space="0"/>
              <w:left w:val="single" w:color="000000" w:sz="4" w:space="0"/>
              <w:bottom w:val="single" w:color="000000" w:sz="4" w:space="0"/>
            </w:tcBorders>
            <w:noWrap w:val="0"/>
            <w:vAlign w:val="center"/>
          </w:tcPr>
          <w:p w14:paraId="08C227B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70</w:t>
            </w:r>
          </w:p>
        </w:tc>
      </w:tr>
      <w:tr w14:paraId="6F85E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4263F7A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石油烃</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5CEF82B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6DE12C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E90484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26</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4410103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w:t>
            </w:r>
          </w:p>
        </w:tc>
        <w:tc>
          <w:tcPr>
            <w:tcW w:w="1092" w:type="dxa"/>
            <w:tcBorders>
              <w:top w:val="single" w:color="000000" w:sz="4" w:space="0"/>
              <w:left w:val="single" w:color="000000" w:sz="4" w:space="0"/>
              <w:bottom w:val="single" w:color="000000" w:sz="4" w:space="0"/>
            </w:tcBorders>
            <w:noWrap w:val="0"/>
            <w:vAlign w:val="center"/>
          </w:tcPr>
          <w:p w14:paraId="45F773D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4500</w:t>
            </w:r>
          </w:p>
        </w:tc>
      </w:tr>
      <w:tr w14:paraId="142AC5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0D98B14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阳离子交换量</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78C5C4E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cmol+ /kg</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13CFB1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16.4</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27F2134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18.0</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0087D6C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20.3</w:t>
            </w:r>
          </w:p>
        </w:tc>
        <w:tc>
          <w:tcPr>
            <w:tcW w:w="1092" w:type="dxa"/>
            <w:tcBorders>
              <w:top w:val="single" w:color="000000" w:sz="4" w:space="0"/>
              <w:left w:val="single" w:color="000000" w:sz="4" w:space="0"/>
              <w:bottom w:val="single" w:color="000000" w:sz="4" w:space="0"/>
            </w:tcBorders>
            <w:noWrap w:val="0"/>
            <w:vAlign w:val="center"/>
          </w:tcPr>
          <w:p w14:paraId="6E2FEE5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2A04FD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4" w:space="0"/>
              <w:right w:val="single" w:color="000000" w:sz="4" w:space="0"/>
            </w:tcBorders>
            <w:noWrap w:val="0"/>
            <w:vAlign w:val="center"/>
          </w:tcPr>
          <w:p w14:paraId="1C3B971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氧化还原电位</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14:paraId="2CFA480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mV</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5808C0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209</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C00FA3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207</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14:paraId="5CBD53E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225</w:t>
            </w:r>
          </w:p>
        </w:tc>
        <w:tc>
          <w:tcPr>
            <w:tcW w:w="1092" w:type="dxa"/>
            <w:tcBorders>
              <w:top w:val="single" w:color="000000" w:sz="4" w:space="0"/>
              <w:left w:val="single" w:color="000000" w:sz="4" w:space="0"/>
              <w:bottom w:val="single" w:color="000000" w:sz="4" w:space="0"/>
            </w:tcBorders>
            <w:noWrap w:val="0"/>
            <w:vAlign w:val="center"/>
          </w:tcPr>
          <w:p w14:paraId="0D90397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78E67B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616" w:type="dxa"/>
            <w:tcBorders>
              <w:top w:val="single" w:color="000000" w:sz="4" w:space="0"/>
              <w:bottom w:val="single" w:color="000000" w:sz="12" w:space="0"/>
              <w:right w:val="single" w:color="000000" w:sz="4" w:space="0"/>
            </w:tcBorders>
            <w:noWrap w:val="0"/>
            <w:vAlign w:val="center"/>
          </w:tcPr>
          <w:p w14:paraId="62E207A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容重</w:t>
            </w:r>
          </w:p>
        </w:tc>
        <w:tc>
          <w:tcPr>
            <w:tcW w:w="1171" w:type="dxa"/>
            <w:tcBorders>
              <w:top w:val="single" w:color="000000" w:sz="4" w:space="0"/>
              <w:left w:val="single" w:color="000000" w:sz="4" w:space="0"/>
              <w:bottom w:val="single" w:color="000000" w:sz="12" w:space="0"/>
              <w:right w:val="single" w:color="000000" w:sz="4" w:space="0"/>
            </w:tcBorders>
            <w:noWrap w:val="0"/>
            <w:vAlign w:val="center"/>
          </w:tcPr>
          <w:p w14:paraId="64912A3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g/cm3</w:t>
            </w:r>
          </w:p>
        </w:tc>
        <w:tc>
          <w:tcPr>
            <w:tcW w:w="1534" w:type="dxa"/>
            <w:tcBorders>
              <w:top w:val="single" w:color="000000" w:sz="4" w:space="0"/>
              <w:left w:val="single" w:color="000000" w:sz="4" w:space="0"/>
              <w:bottom w:val="single" w:color="000000" w:sz="12" w:space="0"/>
              <w:right w:val="single" w:color="000000" w:sz="4" w:space="0"/>
            </w:tcBorders>
            <w:noWrap w:val="0"/>
            <w:vAlign w:val="center"/>
          </w:tcPr>
          <w:p w14:paraId="7305901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1.16</w:t>
            </w:r>
          </w:p>
        </w:tc>
        <w:tc>
          <w:tcPr>
            <w:tcW w:w="1554" w:type="dxa"/>
            <w:tcBorders>
              <w:top w:val="single" w:color="000000" w:sz="4" w:space="0"/>
              <w:left w:val="single" w:color="000000" w:sz="4" w:space="0"/>
              <w:bottom w:val="single" w:color="000000" w:sz="12" w:space="0"/>
              <w:right w:val="single" w:color="000000" w:sz="4" w:space="0"/>
            </w:tcBorders>
            <w:noWrap w:val="0"/>
            <w:vAlign w:val="center"/>
          </w:tcPr>
          <w:p w14:paraId="6AB3F64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1.10</w:t>
            </w:r>
          </w:p>
        </w:tc>
        <w:tc>
          <w:tcPr>
            <w:tcW w:w="1555" w:type="dxa"/>
            <w:tcBorders>
              <w:top w:val="single" w:color="000000" w:sz="4" w:space="0"/>
              <w:left w:val="single" w:color="000000" w:sz="4" w:space="0"/>
              <w:bottom w:val="single" w:color="000000" w:sz="12" w:space="0"/>
              <w:right w:val="single" w:color="000000" w:sz="4" w:space="0"/>
            </w:tcBorders>
            <w:noWrap w:val="0"/>
            <w:vAlign w:val="center"/>
          </w:tcPr>
          <w:p w14:paraId="7BE6C45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1.02</w:t>
            </w:r>
          </w:p>
        </w:tc>
        <w:tc>
          <w:tcPr>
            <w:tcW w:w="1092" w:type="dxa"/>
            <w:tcBorders>
              <w:top w:val="single" w:color="000000" w:sz="4" w:space="0"/>
              <w:left w:val="single" w:color="000000" w:sz="4" w:space="0"/>
              <w:bottom w:val="single" w:color="000000" w:sz="12" w:space="0"/>
            </w:tcBorders>
            <w:noWrap w:val="0"/>
            <w:vAlign w:val="center"/>
          </w:tcPr>
          <w:p w14:paraId="429FCA5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bl>
    <w:p w14:paraId="4C5DCDD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Autospacing="0" w:line="240" w:lineRule="auto"/>
        <w:ind w:left="0" w:right="0" w:firstLine="0" w:firstLineChars="0"/>
        <w:jc w:val="both"/>
        <w:textAlignment w:val="auto"/>
        <w:outlineLvl w:val="9"/>
        <w:rPr>
          <w:rFonts w:hint="eastAsia" w:ascii="Times New Roman" w:hAnsi="Times New Roman" w:eastAsia="宋体" w:cs="Times New Roman"/>
          <w:b/>
          <w:bCs w:val="0"/>
          <w:kern w:val="2"/>
          <w:sz w:val="18"/>
          <w:szCs w:val="18"/>
          <w:highlight w:val="none"/>
          <w:lang w:val="en-US" w:eastAsia="zh-CN" w:bidi="ar"/>
        </w:rPr>
      </w:pPr>
    </w:p>
    <w:p w14:paraId="6635608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Autospacing="0" w:line="240" w:lineRule="auto"/>
        <w:ind w:left="0" w:right="0" w:firstLine="0" w:firstLineChars="0"/>
        <w:jc w:val="both"/>
        <w:textAlignment w:val="auto"/>
        <w:outlineLvl w:val="9"/>
        <w:rPr>
          <w:rFonts w:hint="eastAsia" w:cs="Times New Roman"/>
          <w:b/>
          <w:bCs w:val="0"/>
          <w:kern w:val="2"/>
          <w:sz w:val="18"/>
          <w:szCs w:val="18"/>
          <w:highlight w:val="none"/>
          <w:lang w:val="en-US" w:eastAsia="zh-CN" w:bidi="ar"/>
        </w:rPr>
      </w:pPr>
      <w:r>
        <w:rPr>
          <w:rFonts w:hint="eastAsia" w:ascii="Times New Roman" w:hAnsi="Times New Roman" w:eastAsia="宋体" w:cs="Times New Roman"/>
          <w:b/>
          <w:bCs w:val="0"/>
          <w:kern w:val="2"/>
          <w:sz w:val="18"/>
          <w:szCs w:val="18"/>
          <w:highlight w:val="none"/>
          <w:lang w:val="en-US" w:eastAsia="zh-CN" w:bidi="ar"/>
        </w:rPr>
        <w:t>注：</w:t>
      </w:r>
      <w:r>
        <w:rPr>
          <w:rFonts w:hint="default" w:ascii="Times New Roman" w:hAnsi="Times New Roman" w:eastAsia="宋体" w:cs="Times New Roman"/>
          <w:b/>
          <w:bCs w:val="0"/>
          <w:kern w:val="2"/>
          <w:sz w:val="18"/>
          <w:szCs w:val="18"/>
          <w:highlight w:val="none"/>
          <w:lang w:val="en-US" w:eastAsia="zh-CN" w:bidi="ar"/>
        </w:rPr>
        <w:t>L</w:t>
      </w:r>
      <w:r>
        <w:rPr>
          <w:rFonts w:hint="eastAsia" w:ascii="Times New Roman" w:hAnsi="Times New Roman" w:eastAsia="宋体" w:cs="Times New Roman"/>
          <w:b/>
          <w:bCs w:val="0"/>
          <w:kern w:val="2"/>
          <w:sz w:val="18"/>
          <w:szCs w:val="18"/>
          <w:highlight w:val="none"/>
          <w:lang w:val="en-US" w:eastAsia="zh-CN" w:bidi="ar"/>
        </w:rPr>
        <w:t>为低于检出限</w:t>
      </w:r>
      <w:r>
        <w:rPr>
          <w:rFonts w:hint="eastAsia" w:cs="Times New Roman"/>
          <w:b/>
          <w:bCs w:val="0"/>
          <w:kern w:val="2"/>
          <w:sz w:val="18"/>
          <w:szCs w:val="18"/>
          <w:highlight w:val="none"/>
          <w:lang w:val="en-US" w:eastAsia="zh-CN" w:bidi="ar"/>
        </w:rPr>
        <w:t>。</w:t>
      </w:r>
    </w:p>
    <w:p w14:paraId="462B1415">
      <w:pPr>
        <w:pStyle w:val="7"/>
        <w:bidi w:val="0"/>
        <w:rPr>
          <w:rFonts w:hint="eastAsia"/>
          <w:highlight w:val="none"/>
          <w:lang w:val="en-US" w:eastAsia="zh-CN"/>
        </w:rPr>
      </w:pPr>
      <w:r>
        <w:rPr>
          <w:rFonts w:hint="eastAsia"/>
          <w:highlight w:val="none"/>
          <w:lang w:val="en-US" w:eastAsia="zh-CN"/>
        </w:rPr>
        <w:t>续</w:t>
      </w:r>
      <w:r>
        <w:rPr>
          <w:rFonts w:hint="default"/>
          <w:highlight w:val="none"/>
        </w:rPr>
        <w:t>表4-2-1</w:t>
      </w:r>
      <w:r>
        <w:rPr>
          <w:rFonts w:hint="eastAsia"/>
          <w:highlight w:val="none"/>
          <w:lang w:val="en-US" w:eastAsia="zh-CN"/>
        </w:rPr>
        <w:t>9</w:t>
      </w:r>
      <w:r>
        <w:rPr>
          <w:rFonts w:hint="default"/>
          <w:highlight w:val="none"/>
        </w:rPr>
        <w:t>土壤检测结果表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27"/>
        <w:gridCol w:w="1171"/>
        <w:gridCol w:w="1555"/>
        <w:gridCol w:w="1555"/>
        <w:gridCol w:w="1555"/>
        <w:gridCol w:w="1059"/>
      </w:tblGrid>
      <w:tr w14:paraId="284CC8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restart"/>
            <w:tcBorders>
              <w:right w:val="single" w:color="000000" w:sz="4" w:space="0"/>
            </w:tcBorders>
            <w:noWrap w:val="0"/>
            <w:vAlign w:val="center"/>
          </w:tcPr>
          <w:p w14:paraId="789ED6F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检测项目</w:t>
            </w:r>
          </w:p>
        </w:tc>
        <w:tc>
          <w:tcPr>
            <w:tcW w:w="1276" w:type="dxa"/>
            <w:tcBorders>
              <w:top w:val="single" w:color="000000" w:sz="12" w:space="0"/>
              <w:left w:val="single" w:color="000000" w:sz="4" w:space="0"/>
              <w:bottom w:val="single" w:color="000000" w:sz="4" w:space="0"/>
              <w:right w:val="single" w:color="000000" w:sz="4" w:space="0"/>
            </w:tcBorders>
            <w:noWrap w:val="0"/>
            <w:vAlign w:val="center"/>
          </w:tcPr>
          <w:p w14:paraId="1CB50ED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采样时间</w:t>
            </w:r>
          </w:p>
        </w:tc>
        <w:tc>
          <w:tcPr>
            <w:tcW w:w="5103" w:type="dxa"/>
            <w:gridSpan w:val="3"/>
            <w:tcBorders>
              <w:top w:val="single" w:color="000000" w:sz="12" w:space="0"/>
              <w:left w:val="single" w:color="000000" w:sz="4" w:space="0"/>
              <w:bottom w:val="single" w:color="000000" w:sz="4" w:space="0"/>
              <w:right w:val="single" w:color="000000" w:sz="4" w:space="0"/>
            </w:tcBorders>
            <w:noWrap w:val="0"/>
            <w:vAlign w:val="center"/>
          </w:tcPr>
          <w:p w14:paraId="1FBC67C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2026.02.24</w:t>
            </w:r>
          </w:p>
        </w:tc>
        <w:tc>
          <w:tcPr>
            <w:tcW w:w="1151" w:type="dxa"/>
            <w:vMerge w:val="restart"/>
            <w:tcBorders>
              <w:left w:val="single" w:color="000000" w:sz="4" w:space="0"/>
            </w:tcBorders>
            <w:noWrap w:val="0"/>
            <w:vAlign w:val="center"/>
          </w:tcPr>
          <w:p w14:paraId="734115E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标准限值</w:t>
            </w:r>
          </w:p>
        </w:tc>
      </w:tr>
      <w:tr w14:paraId="7CC2E4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2602CAE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E23CC0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采样点位</w:t>
            </w:r>
          </w:p>
        </w:tc>
        <w:tc>
          <w:tcPr>
            <w:tcW w:w="5103" w:type="dxa"/>
            <w:gridSpan w:val="3"/>
            <w:tcBorders>
              <w:top w:val="single" w:color="000000" w:sz="4" w:space="0"/>
              <w:left w:val="single" w:color="000000" w:sz="4" w:space="0"/>
              <w:bottom w:val="single" w:color="000000" w:sz="4" w:space="0"/>
              <w:right w:val="single" w:color="000000" w:sz="4" w:space="0"/>
            </w:tcBorders>
            <w:noWrap w:val="0"/>
            <w:vAlign w:val="center"/>
          </w:tcPr>
          <w:p w14:paraId="54C4032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占地范围内■4</w:t>
            </w:r>
          </w:p>
        </w:tc>
        <w:tc>
          <w:tcPr>
            <w:tcW w:w="1151" w:type="dxa"/>
            <w:vMerge w:val="continue"/>
            <w:tcBorders>
              <w:left w:val="single" w:color="000000" w:sz="4" w:space="0"/>
            </w:tcBorders>
            <w:noWrap w:val="0"/>
            <w:vAlign w:val="center"/>
          </w:tcPr>
          <w:p w14:paraId="28EE39F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4D5118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54CB586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8CE286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检测点类型</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07F25A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柱状样0.2m</w:t>
            </w:r>
          </w:p>
        </w:tc>
        <w:tc>
          <w:tcPr>
            <w:tcW w:w="1701" w:type="dxa"/>
            <w:tcBorders>
              <w:top w:val="single" w:color="000000" w:sz="4" w:space="0"/>
              <w:left w:val="single" w:color="000000" w:sz="4" w:space="0"/>
              <w:right w:val="single" w:color="000000" w:sz="4" w:space="0"/>
            </w:tcBorders>
            <w:noWrap w:val="0"/>
            <w:vAlign w:val="center"/>
          </w:tcPr>
          <w:p w14:paraId="3D72ADA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柱状样1.0m</w:t>
            </w:r>
          </w:p>
        </w:tc>
        <w:tc>
          <w:tcPr>
            <w:tcW w:w="1701" w:type="dxa"/>
            <w:tcBorders>
              <w:top w:val="single" w:color="000000" w:sz="4" w:space="0"/>
              <w:left w:val="single" w:color="000000" w:sz="4" w:space="0"/>
              <w:right w:val="single" w:color="000000" w:sz="4" w:space="0"/>
            </w:tcBorders>
            <w:noWrap w:val="0"/>
            <w:vAlign w:val="center"/>
          </w:tcPr>
          <w:p w14:paraId="05BA997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柱状样2m</w:t>
            </w:r>
          </w:p>
        </w:tc>
        <w:tc>
          <w:tcPr>
            <w:tcW w:w="1151" w:type="dxa"/>
            <w:vMerge w:val="continue"/>
            <w:tcBorders>
              <w:left w:val="single" w:color="000000" w:sz="4" w:space="0"/>
            </w:tcBorders>
            <w:noWrap w:val="0"/>
            <w:vAlign w:val="center"/>
          </w:tcPr>
          <w:p w14:paraId="2DD9EBA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55844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1D7AB73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85BD00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样品性状</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3CFF15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701" w:type="dxa"/>
            <w:tcBorders>
              <w:top w:val="single" w:color="000000" w:sz="4" w:space="0"/>
              <w:left w:val="single" w:color="000000" w:sz="4" w:space="0"/>
              <w:right w:val="single" w:color="000000" w:sz="4" w:space="0"/>
            </w:tcBorders>
            <w:noWrap w:val="0"/>
            <w:vAlign w:val="center"/>
          </w:tcPr>
          <w:p w14:paraId="77F81F3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701" w:type="dxa"/>
            <w:tcBorders>
              <w:top w:val="single" w:color="000000" w:sz="4" w:space="0"/>
              <w:left w:val="single" w:color="000000" w:sz="4" w:space="0"/>
              <w:right w:val="single" w:color="000000" w:sz="4" w:space="0"/>
            </w:tcBorders>
            <w:noWrap w:val="0"/>
            <w:vAlign w:val="center"/>
          </w:tcPr>
          <w:p w14:paraId="72B4CAC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151" w:type="dxa"/>
            <w:vMerge w:val="continue"/>
            <w:tcBorders>
              <w:left w:val="single" w:color="000000" w:sz="4" w:space="0"/>
            </w:tcBorders>
            <w:noWrap w:val="0"/>
            <w:vAlign w:val="center"/>
          </w:tcPr>
          <w:p w14:paraId="5469E5E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5F7BC2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bottom w:val="single" w:color="000000" w:sz="4" w:space="0"/>
              <w:right w:val="single" w:color="000000" w:sz="4" w:space="0"/>
            </w:tcBorders>
            <w:noWrap w:val="0"/>
            <w:vAlign w:val="center"/>
          </w:tcPr>
          <w:p w14:paraId="05EE50D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0E86FDD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样品编号</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57448E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G260224020401</w:t>
            </w:r>
          </w:p>
        </w:tc>
        <w:tc>
          <w:tcPr>
            <w:tcW w:w="1701" w:type="dxa"/>
            <w:tcBorders>
              <w:left w:val="single" w:color="000000" w:sz="4" w:space="0"/>
              <w:bottom w:val="single" w:color="000000" w:sz="4" w:space="0"/>
              <w:right w:val="single" w:color="000000" w:sz="4" w:space="0"/>
            </w:tcBorders>
            <w:noWrap w:val="0"/>
            <w:vAlign w:val="center"/>
          </w:tcPr>
          <w:p w14:paraId="1CDFEE9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G260224020402</w:t>
            </w:r>
          </w:p>
        </w:tc>
        <w:tc>
          <w:tcPr>
            <w:tcW w:w="1701" w:type="dxa"/>
            <w:tcBorders>
              <w:left w:val="single" w:color="000000" w:sz="4" w:space="0"/>
              <w:bottom w:val="single" w:color="000000" w:sz="4" w:space="0"/>
              <w:right w:val="single" w:color="000000" w:sz="4" w:space="0"/>
            </w:tcBorders>
            <w:noWrap w:val="0"/>
            <w:vAlign w:val="center"/>
          </w:tcPr>
          <w:p w14:paraId="58B7C37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G260224020403</w:t>
            </w:r>
          </w:p>
        </w:tc>
        <w:tc>
          <w:tcPr>
            <w:tcW w:w="1151" w:type="dxa"/>
            <w:vMerge w:val="continue"/>
            <w:tcBorders>
              <w:left w:val="single" w:color="000000" w:sz="4" w:space="0"/>
              <w:bottom w:val="single" w:color="000000" w:sz="4" w:space="0"/>
            </w:tcBorders>
            <w:noWrap w:val="0"/>
            <w:vAlign w:val="center"/>
          </w:tcPr>
          <w:p w14:paraId="6437783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552E98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40D4E75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pH</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840C3F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无量纲</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28AB70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7.79</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50D9BC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7.82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65F827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8.01</w:t>
            </w:r>
          </w:p>
        </w:tc>
        <w:tc>
          <w:tcPr>
            <w:tcW w:w="1151" w:type="dxa"/>
            <w:tcBorders>
              <w:top w:val="single" w:color="000000" w:sz="4" w:space="0"/>
              <w:left w:val="single" w:color="000000" w:sz="4" w:space="0"/>
              <w:bottom w:val="single" w:color="000000" w:sz="4" w:space="0"/>
            </w:tcBorders>
            <w:noWrap w:val="0"/>
            <w:vAlign w:val="center"/>
          </w:tcPr>
          <w:p w14:paraId="33C567B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1B037F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7918229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石油烃（C10-C40）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11FD1B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3A6E89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37E41B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16</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5537D1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6L</w:t>
            </w:r>
          </w:p>
        </w:tc>
        <w:tc>
          <w:tcPr>
            <w:tcW w:w="1151" w:type="dxa"/>
            <w:tcBorders>
              <w:top w:val="single" w:color="000000" w:sz="4" w:space="0"/>
              <w:left w:val="single" w:color="000000" w:sz="4" w:space="0"/>
              <w:bottom w:val="single" w:color="000000" w:sz="4" w:space="0"/>
            </w:tcBorders>
            <w:noWrap w:val="0"/>
            <w:vAlign w:val="center"/>
          </w:tcPr>
          <w:p w14:paraId="0D6CC71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4500</w:t>
            </w:r>
          </w:p>
        </w:tc>
      </w:tr>
      <w:tr w14:paraId="279BB9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3659EB1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阳离子交换量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084DED0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cmol+ /kg</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2AB8E9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19.4</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EAD409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18.9</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7A3DC6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20.3</w:t>
            </w:r>
          </w:p>
        </w:tc>
        <w:tc>
          <w:tcPr>
            <w:tcW w:w="1151" w:type="dxa"/>
            <w:tcBorders>
              <w:top w:val="single" w:color="000000" w:sz="4" w:space="0"/>
              <w:left w:val="single" w:color="000000" w:sz="4" w:space="0"/>
              <w:bottom w:val="single" w:color="000000" w:sz="4" w:space="0"/>
            </w:tcBorders>
            <w:noWrap w:val="0"/>
            <w:vAlign w:val="center"/>
          </w:tcPr>
          <w:p w14:paraId="6A6317A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6D0B1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16B248B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氧化还原电位</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28AB90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mV</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5F06DA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195</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05EF1E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169</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F149FC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151</w:t>
            </w:r>
          </w:p>
        </w:tc>
        <w:tc>
          <w:tcPr>
            <w:tcW w:w="1151" w:type="dxa"/>
            <w:tcBorders>
              <w:top w:val="single" w:color="000000" w:sz="4" w:space="0"/>
              <w:left w:val="single" w:color="000000" w:sz="4" w:space="0"/>
              <w:bottom w:val="single" w:color="000000" w:sz="4" w:space="0"/>
            </w:tcBorders>
            <w:noWrap w:val="0"/>
            <w:vAlign w:val="center"/>
          </w:tcPr>
          <w:p w14:paraId="6902B82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373B13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12" w:space="0"/>
              <w:right w:val="single" w:color="000000" w:sz="4" w:space="0"/>
            </w:tcBorders>
            <w:noWrap w:val="0"/>
            <w:vAlign w:val="center"/>
          </w:tcPr>
          <w:p w14:paraId="091AF02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容重</w:t>
            </w:r>
          </w:p>
        </w:tc>
        <w:tc>
          <w:tcPr>
            <w:tcW w:w="1276" w:type="dxa"/>
            <w:tcBorders>
              <w:top w:val="single" w:color="000000" w:sz="4" w:space="0"/>
              <w:left w:val="single" w:color="000000" w:sz="4" w:space="0"/>
              <w:bottom w:val="single" w:color="000000" w:sz="12" w:space="0"/>
              <w:right w:val="single" w:color="000000" w:sz="4" w:space="0"/>
            </w:tcBorders>
            <w:noWrap w:val="0"/>
            <w:vAlign w:val="center"/>
          </w:tcPr>
          <w:p w14:paraId="61C8B10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g/cm3</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6149D07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1.17</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5C023E1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1.08</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46BBE76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1.08</w:t>
            </w:r>
          </w:p>
        </w:tc>
        <w:tc>
          <w:tcPr>
            <w:tcW w:w="1151" w:type="dxa"/>
            <w:tcBorders>
              <w:top w:val="single" w:color="000000" w:sz="4" w:space="0"/>
              <w:left w:val="single" w:color="000000" w:sz="4" w:space="0"/>
              <w:bottom w:val="single" w:color="000000" w:sz="12" w:space="0"/>
            </w:tcBorders>
            <w:noWrap w:val="0"/>
            <w:vAlign w:val="center"/>
          </w:tcPr>
          <w:p w14:paraId="1BF3015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bl>
    <w:p w14:paraId="1BBE791E">
      <w:pPr>
        <w:pStyle w:val="7"/>
        <w:bidi w:val="0"/>
        <w:rPr>
          <w:rFonts w:hint="eastAsia"/>
          <w:highlight w:val="none"/>
          <w:lang w:val="en-US" w:eastAsia="zh-CN"/>
        </w:rPr>
      </w:pPr>
      <w:r>
        <w:rPr>
          <w:rFonts w:hint="eastAsia"/>
          <w:highlight w:val="none"/>
          <w:lang w:val="en-US" w:eastAsia="zh-CN"/>
        </w:rPr>
        <w:t>续</w:t>
      </w:r>
      <w:r>
        <w:rPr>
          <w:rFonts w:hint="default"/>
          <w:highlight w:val="none"/>
        </w:rPr>
        <w:t>表4-2-1</w:t>
      </w:r>
      <w:r>
        <w:rPr>
          <w:rFonts w:hint="eastAsia"/>
          <w:highlight w:val="none"/>
          <w:lang w:val="en-US" w:eastAsia="zh-CN"/>
        </w:rPr>
        <w:t>9</w:t>
      </w:r>
      <w:r>
        <w:rPr>
          <w:rFonts w:hint="default"/>
          <w:highlight w:val="none"/>
        </w:rPr>
        <w:t>土壤检测结果表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27"/>
        <w:gridCol w:w="1171"/>
        <w:gridCol w:w="1555"/>
        <w:gridCol w:w="1555"/>
        <w:gridCol w:w="1555"/>
        <w:gridCol w:w="1059"/>
      </w:tblGrid>
      <w:tr w14:paraId="112B05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restart"/>
            <w:tcBorders>
              <w:right w:val="single" w:color="000000" w:sz="4" w:space="0"/>
            </w:tcBorders>
            <w:noWrap w:val="0"/>
            <w:vAlign w:val="center"/>
          </w:tcPr>
          <w:p w14:paraId="690FA84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检测项目</w:t>
            </w:r>
          </w:p>
        </w:tc>
        <w:tc>
          <w:tcPr>
            <w:tcW w:w="1276" w:type="dxa"/>
            <w:tcBorders>
              <w:top w:val="single" w:color="000000" w:sz="12" w:space="0"/>
              <w:left w:val="single" w:color="000000" w:sz="4" w:space="0"/>
              <w:bottom w:val="single" w:color="000000" w:sz="4" w:space="0"/>
              <w:right w:val="single" w:color="000000" w:sz="4" w:space="0"/>
            </w:tcBorders>
            <w:noWrap w:val="0"/>
            <w:vAlign w:val="center"/>
          </w:tcPr>
          <w:p w14:paraId="0054BB5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采样时间</w:t>
            </w:r>
          </w:p>
        </w:tc>
        <w:tc>
          <w:tcPr>
            <w:tcW w:w="5103" w:type="dxa"/>
            <w:gridSpan w:val="3"/>
            <w:tcBorders>
              <w:top w:val="single" w:color="000000" w:sz="12" w:space="0"/>
              <w:left w:val="single" w:color="000000" w:sz="4" w:space="0"/>
              <w:bottom w:val="single" w:color="000000" w:sz="4" w:space="0"/>
              <w:right w:val="single" w:color="000000" w:sz="4" w:space="0"/>
            </w:tcBorders>
            <w:noWrap w:val="0"/>
            <w:vAlign w:val="center"/>
          </w:tcPr>
          <w:p w14:paraId="037393A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2026.02.24</w:t>
            </w:r>
          </w:p>
        </w:tc>
        <w:tc>
          <w:tcPr>
            <w:tcW w:w="1151" w:type="dxa"/>
            <w:vMerge w:val="restart"/>
            <w:tcBorders>
              <w:left w:val="single" w:color="000000" w:sz="4" w:space="0"/>
            </w:tcBorders>
            <w:noWrap w:val="0"/>
            <w:vAlign w:val="center"/>
          </w:tcPr>
          <w:p w14:paraId="51CF234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标准限值</w:t>
            </w:r>
          </w:p>
        </w:tc>
      </w:tr>
      <w:tr w14:paraId="29851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101589E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19DF7B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采样点位</w:t>
            </w:r>
          </w:p>
        </w:tc>
        <w:tc>
          <w:tcPr>
            <w:tcW w:w="5103" w:type="dxa"/>
            <w:gridSpan w:val="3"/>
            <w:tcBorders>
              <w:top w:val="single" w:color="000000" w:sz="4" w:space="0"/>
              <w:left w:val="single" w:color="000000" w:sz="4" w:space="0"/>
              <w:bottom w:val="single" w:color="000000" w:sz="4" w:space="0"/>
              <w:right w:val="single" w:color="000000" w:sz="4" w:space="0"/>
            </w:tcBorders>
            <w:noWrap w:val="0"/>
            <w:vAlign w:val="center"/>
          </w:tcPr>
          <w:p w14:paraId="4961F11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占地范围内■5</w:t>
            </w:r>
          </w:p>
        </w:tc>
        <w:tc>
          <w:tcPr>
            <w:tcW w:w="1151" w:type="dxa"/>
            <w:vMerge w:val="continue"/>
            <w:tcBorders>
              <w:left w:val="single" w:color="000000" w:sz="4" w:space="0"/>
            </w:tcBorders>
            <w:noWrap w:val="0"/>
            <w:vAlign w:val="center"/>
          </w:tcPr>
          <w:p w14:paraId="4C5B245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76A520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5492A0D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112C18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检测点类型</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30EC41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柱状样0.2m</w:t>
            </w:r>
          </w:p>
        </w:tc>
        <w:tc>
          <w:tcPr>
            <w:tcW w:w="1701" w:type="dxa"/>
            <w:tcBorders>
              <w:top w:val="single" w:color="000000" w:sz="4" w:space="0"/>
              <w:left w:val="single" w:color="000000" w:sz="4" w:space="0"/>
              <w:right w:val="single" w:color="000000" w:sz="4" w:space="0"/>
            </w:tcBorders>
            <w:noWrap w:val="0"/>
            <w:vAlign w:val="center"/>
          </w:tcPr>
          <w:p w14:paraId="53AFDD4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柱状样1.0m</w:t>
            </w:r>
          </w:p>
        </w:tc>
        <w:tc>
          <w:tcPr>
            <w:tcW w:w="1701" w:type="dxa"/>
            <w:tcBorders>
              <w:top w:val="single" w:color="000000" w:sz="4" w:space="0"/>
              <w:left w:val="single" w:color="000000" w:sz="4" w:space="0"/>
              <w:right w:val="single" w:color="000000" w:sz="4" w:space="0"/>
            </w:tcBorders>
            <w:noWrap w:val="0"/>
            <w:vAlign w:val="center"/>
          </w:tcPr>
          <w:p w14:paraId="4FB1838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柱状样2m</w:t>
            </w:r>
          </w:p>
        </w:tc>
        <w:tc>
          <w:tcPr>
            <w:tcW w:w="1151" w:type="dxa"/>
            <w:vMerge w:val="continue"/>
            <w:tcBorders>
              <w:left w:val="single" w:color="000000" w:sz="4" w:space="0"/>
            </w:tcBorders>
            <w:noWrap w:val="0"/>
            <w:vAlign w:val="center"/>
          </w:tcPr>
          <w:p w14:paraId="7E2A4DE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26CF62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right w:val="single" w:color="000000" w:sz="4" w:space="0"/>
            </w:tcBorders>
            <w:noWrap w:val="0"/>
            <w:vAlign w:val="center"/>
          </w:tcPr>
          <w:p w14:paraId="617AEE5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BA7851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样品性状</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E77F84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黑色、壤土</w:t>
            </w:r>
          </w:p>
        </w:tc>
        <w:tc>
          <w:tcPr>
            <w:tcW w:w="1701" w:type="dxa"/>
            <w:tcBorders>
              <w:top w:val="single" w:color="000000" w:sz="4" w:space="0"/>
              <w:left w:val="single" w:color="000000" w:sz="4" w:space="0"/>
              <w:right w:val="single" w:color="000000" w:sz="4" w:space="0"/>
            </w:tcBorders>
            <w:noWrap w:val="0"/>
            <w:vAlign w:val="center"/>
          </w:tcPr>
          <w:p w14:paraId="03A3AE3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黑色、壤土</w:t>
            </w:r>
          </w:p>
        </w:tc>
        <w:tc>
          <w:tcPr>
            <w:tcW w:w="1701" w:type="dxa"/>
            <w:tcBorders>
              <w:top w:val="single" w:color="000000" w:sz="4" w:space="0"/>
              <w:left w:val="single" w:color="000000" w:sz="4" w:space="0"/>
              <w:right w:val="single" w:color="000000" w:sz="4" w:space="0"/>
            </w:tcBorders>
            <w:noWrap w:val="0"/>
            <w:vAlign w:val="center"/>
          </w:tcPr>
          <w:p w14:paraId="7D610EF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黑色、壤土</w:t>
            </w:r>
          </w:p>
        </w:tc>
        <w:tc>
          <w:tcPr>
            <w:tcW w:w="1151" w:type="dxa"/>
            <w:vMerge w:val="continue"/>
            <w:tcBorders>
              <w:left w:val="single" w:color="000000" w:sz="4" w:space="0"/>
            </w:tcBorders>
            <w:noWrap w:val="0"/>
            <w:vAlign w:val="center"/>
          </w:tcPr>
          <w:p w14:paraId="1BB4C21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6C9F0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vMerge w:val="continue"/>
            <w:tcBorders>
              <w:bottom w:val="single" w:color="000000" w:sz="4" w:space="0"/>
              <w:right w:val="single" w:color="000000" w:sz="4" w:space="0"/>
            </w:tcBorders>
            <w:noWrap w:val="0"/>
            <w:vAlign w:val="center"/>
          </w:tcPr>
          <w:p w14:paraId="4360464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FCB8D8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样品编号</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8582D6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G260224020501</w:t>
            </w:r>
          </w:p>
        </w:tc>
        <w:tc>
          <w:tcPr>
            <w:tcW w:w="1701" w:type="dxa"/>
            <w:tcBorders>
              <w:left w:val="single" w:color="000000" w:sz="4" w:space="0"/>
              <w:bottom w:val="single" w:color="000000" w:sz="4" w:space="0"/>
              <w:right w:val="single" w:color="000000" w:sz="4" w:space="0"/>
            </w:tcBorders>
            <w:noWrap w:val="0"/>
            <w:vAlign w:val="center"/>
          </w:tcPr>
          <w:p w14:paraId="5DE3A5C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G260224020502</w:t>
            </w:r>
          </w:p>
        </w:tc>
        <w:tc>
          <w:tcPr>
            <w:tcW w:w="1701" w:type="dxa"/>
            <w:tcBorders>
              <w:left w:val="single" w:color="000000" w:sz="4" w:space="0"/>
              <w:bottom w:val="single" w:color="000000" w:sz="4" w:space="0"/>
              <w:right w:val="single" w:color="000000" w:sz="4" w:space="0"/>
            </w:tcBorders>
            <w:noWrap w:val="0"/>
            <w:vAlign w:val="center"/>
          </w:tcPr>
          <w:p w14:paraId="4544D1B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G260224020503</w:t>
            </w:r>
          </w:p>
        </w:tc>
        <w:tc>
          <w:tcPr>
            <w:tcW w:w="1151" w:type="dxa"/>
            <w:vMerge w:val="continue"/>
            <w:tcBorders>
              <w:left w:val="single" w:color="000000" w:sz="4" w:space="0"/>
              <w:bottom w:val="single" w:color="000000" w:sz="4" w:space="0"/>
            </w:tcBorders>
            <w:noWrap w:val="0"/>
            <w:vAlign w:val="center"/>
          </w:tcPr>
          <w:p w14:paraId="1FB7907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5694B4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31E67A6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pH</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0DC96E9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无量纲</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E20823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8.54</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6F1F16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8.32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6FD224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8.49</w:t>
            </w:r>
          </w:p>
        </w:tc>
        <w:tc>
          <w:tcPr>
            <w:tcW w:w="1151" w:type="dxa"/>
            <w:tcBorders>
              <w:top w:val="single" w:color="000000" w:sz="4" w:space="0"/>
              <w:left w:val="single" w:color="000000" w:sz="4" w:space="0"/>
              <w:bottom w:val="single" w:color="000000" w:sz="4" w:space="0"/>
            </w:tcBorders>
            <w:noWrap w:val="0"/>
            <w:vAlign w:val="center"/>
          </w:tcPr>
          <w:p w14:paraId="7E94107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5C387A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3721372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石油烃（C10-C40）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9317F9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4E4C08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28</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878C2D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5CA098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32</w:t>
            </w:r>
          </w:p>
        </w:tc>
        <w:tc>
          <w:tcPr>
            <w:tcW w:w="1151" w:type="dxa"/>
            <w:tcBorders>
              <w:top w:val="single" w:color="000000" w:sz="4" w:space="0"/>
              <w:left w:val="single" w:color="000000" w:sz="4" w:space="0"/>
              <w:bottom w:val="single" w:color="000000" w:sz="4" w:space="0"/>
            </w:tcBorders>
            <w:noWrap w:val="0"/>
            <w:vAlign w:val="center"/>
          </w:tcPr>
          <w:p w14:paraId="090C57C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4500</w:t>
            </w:r>
          </w:p>
        </w:tc>
      </w:tr>
      <w:tr w14:paraId="693DCB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4D8CE1D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阳离子交换量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9D4F84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cmol+ /kg</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C8E0CF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3.4</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11049F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4.6</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8B1FA4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5.1</w:t>
            </w:r>
          </w:p>
        </w:tc>
        <w:tc>
          <w:tcPr>
            <w:tcW w:w="1151" w:type="dxa"/>
            <w:tcBorders>
              <w:top w:val="single" w:color="000000" w:sz="4" w:space="0"/>
              <w:left w:val="single" w:color="000000" w:sz="4" w:space="0"/>
              <w:bottom w:val="single" w:color="000000" w:sz="4" w:space="0"/>
            </w:tcBorders>
            <w:noWrap w:val="0"/>
            <w:vAlign w:val="center"/>
          </w:tcPr>
          <w:p w14:paraId="4CB3079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6BE16D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4" w:space="0"/>
              <w:right w:val="single" w:color="000000" w:sz="4" w:space="0"/>
            </w:tcBorders>
            <w:noWrap w:val="0"/>
            <w:vAlign w:val="center"/>
          </w:tcPr>
          <w:p w14:paraId="156D33D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氧化还原电位</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732BC2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mV</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4C6C3C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178</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ECCB33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C1824F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191</w:t>
            </w:r>
          </w:p>
        </w:tc>
        <w:tc>
          <w:tcPr>
            <w:tcW w:w="1151" w:type="dxa"/>
            <w:tcBorders>
              <w:top w:val="single" w:color="000000" w:sz="4" w:space="0"/>
              <w:left w:val="single" w:color="000000" w:sz="4" w:space="0"/>
              <w:bottom w:val="single" w:color="000000" w:sz="4" w:space="0"/>
            </w:tcBorders>
            <w:noWrap w:val="0"/>
            <w:vAlign w:val="center"/>
          </w:tcPr>
          <w:p w14:paraId="1D74391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0A0D8F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2" w:type="dxa"/>
            <w:tcBorders>
              <w:top w:val="single" w:color="000000" w:sz="4" w:space="0"/>
              <w:bottom w:val="single" w:color="000000" w:sz="12" w:space="0"/>
              <w:right w:val="single" w:color="000000" w:sz="4" w:space="0"/>
            </w:tcBorders>
            <w:noWrap w:val="0"/>
            <w:vAlign w:val="center"/>
          </w:tcPr>
          <w:p w14:paraId="3AE8C98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容重</w:t>
            </w:r>
          </w:p>
        </w:tc>
        <w:tc>
          <w:tcPr>
            <w:tcW w:w="1276" w:type="dxa"/>
            <w:tcBorders>
              <w:top w:val="single" w:color="000000" w:sz="4" w:space="0"/>
              <w:left w:val="single" w:color="000000" w:sz="4" w:space="0"/>
              <w:bottom w:val="single" w:color="000000" w:sz="12" w:space="0"/>
              <w:right w:val="single" w:color="000000" w:sz="4" w:space="0"/>
            </w:tcBorders>
            <w:noWrap w:val="0"/>
            <w:vAlign w:val="center"/>
          </w:tcPr>
          <w:p w14:paraId="6D6EFD9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g/cm3</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4BBA23C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1.15</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7C7ED8C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1.14</w:t>
            </w:r>
          </w:p>
        </w:tc>
        <w:tc>
          <w:tcPr>
            <w:tcW w:w="1701" w:type="dxa"/>
            <w:tcBorders>
              <w:top w:val="single" w:color="000000" w:sz="4" w:space="0"/>
              <w:left w:val="single" w:color="000000" w:sz="4" w:space="0"/>
              <w:bottom w:val="single" w:color="000000" w:sz="12" w:space="0"/>
              <w:right w:val="single" w:color="000000" w:sz="4" w:space="0"/>
            </w:tcBorders>
            <w:noWrap w:val="0"/>
            <w:vAlign w:val="center"/>
          </w:tcPr>
          <w:p w14:paraId="30F710E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1.13</w:t>
            </w:r>
          </w:p>
        </w:tc>
        <w:tc>
          <w:tcPr>
            <w:tcW w:w="1151" w:type="dxa"/>
            <w:tcBorders>
              <w:top w:val="single" w:color="000000" w:sz="4" w:space="0"/>
              <w:left w:val="single" w:color="000000" w:sz="4" w:space="0"/>
              <w:bottom w:val="single" w:color="000000" w:sz="12" w:space="0"/>
            </w:tcBorders>
            <w:noWrap w:val="0"/>
            <w:vAlign w:val="center"/>
          </w:tcPr>
          <w:p w14:paraId="5105706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bl>
    <w:p w14:paraId="4CF1D1CA">
      <w:pPr>
        <w:pStyle w:val="7"/>
        <w:bidi w:val="0"/>
        <w:rPr>
          <w:rFonts w:hint="eastAsia"/>
          <w:highlight w:val="none"/>
          <w:lang w:val="en-US" w:eastAsia="zh-CN"/>
        </w:rPr>
      </w:pPr>
      <w:r>
        <w:rPr>
          <w:rFonts w:hint="eastAsia"/>
          <w:highlight w:val="none"/>
          <w:lang w:val="en-US" w:eastAsia="zh-CN"/>
        </w:rPr>
        <w:t>续</w:t>
      </w:r>
      <w:r>
        <w:rPr>
          <w:rFonts w:hint="default"/>
          <w:highlight w:val="none"/>
        </w:rPr>
        <w:t>表4-2-1</w:t>
      </w:r>
      <w:r>
        <w:rPr>
          <w:rFonts w:hint="eastAsia"/>
          <w:highlight w:val="none"/>
          <w:lang w:val="en-US" w:eastAsia="zh-CN"/>
        </w:rPr>
        <w:t>9</w:t>
      </w:r>
      <w:r>
        <w:rPr>
          <w:rFonts w:hint="default"/>
          <w:highlight w:val="none"/>
        </w:rPr>
        <w:t>土壤检测结果表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63"/>
        <w:gridCol w:w="1094"/>
        <w:gridCol w:w="1038"/>
        <w:gridCol w:w="1038"/>
        <w:gridCol w:w="1038"/>
        <w:gridCol w:w="1038"/>
        <w:gridCol w:w="1038"/>
        <w:gridCol w:w="675"/>
      </w:tblGrid>
      <w:tr w14:paraId="03B550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1" w:type="dxa"/>
            <w:vMerge w:val="restart"/>
            <w:tcBorders>
              <w:right w:val="single" w:color="000000" w:sz="4" w:space="0"/>
            </w:tcBorders>
            <w:noWrap w:val="0"/>
            <w:vAlign w:val="center"/>
          </w:tcPr>
          <w:p w14:paraId="79FB5D3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检测项目</w:t>
            </w:r>
          </w:p>
        </w:tc>
        <w:tc>
          <w:tcPr>
            <w:tcW w:w="1197" w:type="dxa"/>
            <w:tcBorders>
              <w:top w:val="single" w:color="000000" w:sz="12" w:space="0"/>
              <w:left w:val="single" w:color="000000" w:sz="4" w:space="0"/>
              <w:bottom w:val="single" w:color="000000" w:sz="4" w:space="0"/>
              <w:right w:val="single" w:color="000000" w:sz="4" w:space="0"/>
            </w:tcBorders>
            <w:noWrap w:val="0"/>
            <w:vAlign w:val="center"/>
          </w:tcPr>
          <w:p w14:paraId="670201B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采样时间</w:t>
            </w:r>
          </w:p>
        </w:tc>
        <w:tc>
          <w:tcPr>
            <w:tcW w:w="5670" w:type="dxa"/>
            <w:gridSpan w:val="5"/>
            <w:tcBorders>
              <w:top w:val="single" w:color="000000" w:sz="12" w:space="0"/>
              <w:left w:val="single" w:color="000000" w:sz="4" w:space="0"/>
              <w:bottom w:val="single" w:color="000000" w:sz="4" w:space="0"/>
            </w:tcBorders>
            <w:noWrap w:val="0"/>
            <w:vAlign w:val="center"/>
          </w:tcPr>
          <w:p w14:paraId="6618CDA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2026.02.24</w:t>
            </w:r>
          </w:p>
        </w:tc>
        <w:tc>
          <w:tcPr>
            <w:tcW w:w="728" w:type="dxa"/>
            <w:vMerge w:val="restart"/>
            <w:tcBorders>
              <w:left w:val="single" w:color="000000" w:sz="4" w:space="0"/>
            </w:tcBorders>
            <w:noWrap w:val="0"/>
            <w:vAlign w:val="center"/>
          </w:tcPr>
          <w:p w14:paraId="74A29C3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标准</w:t>
            </w:r>
          </w:p>
          <w:p w14:paraId="4A2C558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限值</w:t>
            </w:r>
          </w:p>
        </w:tc>
      </w:tr>
      <w:tr w14:paraId="70A72B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721" w:type="dxa"/>
            <w:vMerge w:val="continue"/>
            <w:tcBorders>
              <w:right w:val="single" w:color="000000" w:sz="4" w:space="0"/>
            </w:tcBorders>
            <w:noWrap w:val="0"/>
            <w:vAlign w:val="center"/>
          </w:tcPr>
          <w:p w14:paraId="643BA41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197" w:type="dxa"/>
            <w:tcBorders>
              <w:top w:val="single" w:color="000000" w:sz="4" w:space="0"/>
              <w:left w:val="single" w:color="000000" w:sz="4" w:space="0"/>
              <w:bottom w:val="single" w:color="000000" w:sz="4" w:space="0"/>
              <w:right w:val="single" w:color="000000" w:sz="4" w:space="0"/>
            </w:tcBorders>
            <w:noWrap w:val="0"/>
            <w:vAlign w:val="center"/>
          </w:tcPr>
          <w:p w14:paraId="2406D1F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采样点位</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B113DE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占地范围内■6</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430EB3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占地范围内■7</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F23155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w:t>
            </w:r>
            <w:r>
              <w:rPr>
                <w:rFonts w:hint="eastAsia" w:ascii="Times New Roman" w:hAnsi="Times New Roman" w:eastAsia="宋体" w:cs="Times New Roman"/>
                <w:b w:val="0"/>
                <w:bCs/>
                <w:spacing w:val="-4"/>
                <w:sz w:val="21"/>
                <w:szCs w:val="21"/>
                <w:highlight w:val="none"/>
                <w:lang w:eastAsia="zh-CN"/>
              </w:rPr>
              <w:t>外</w:t>
            </w:r>
            <w:r>
              <w:rPr>
                <w:rFonts w:hint="eastAsia" w:ascii="Times New Roman" w:hAnsi="Times New Roman" w:eastAsia="宋体" w:cs="Times New Roman"/>
                <w:b w:val="0"/>
                <w:bCs/>
                <w:spacing w:val="-4"/>
                <w:sz w:val="21"/>
                <w:szCs w:val="21"/>
                <w:highlight w:val="none"/>
              </w:rPr>
              <w:t>■9</w:t>
            </w:r>
          </w:p>
        </w:tc>
        <w:tc>
          <w:tcPr>
            <w:tcW w:w="1134" w:type="dxa"/>
            <w:tcBorders>
              <w:left w:val="single" w:color="000000" w:sz="4" w:space="0"/>
              <w:right w:val="single" w:color="000000" w:sz="4" w:space="0"/>
            </w:tcBorders>
            <w:noWrap w:val="0"/>
            <w:vAlign w:val="center"/>
          </w:tcPr>
          <w:p w14:paraId="7BCF0B6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w:t>
            </w:r>
            <w:r>
              <w:rPr>
                <w:rFonts w:hint="eastAsia" w:ascii="Times New Roman" w:hAnsi="Times New Roman" w:eastAsia="宋体" w:cs="Times New Roman"/>
                <w:b w:val="0"/>
                <w:bCs/>
                <w:spacing w:val="-4"/>
                <w:sz w:val="21"/>
                <w:szCs w:val="21"/>
                <w:highlight w:val="none"/>
                <w:lang w:eastAsia="zh-CN"/>
              </w:rPr>
              <w:t>外</w:t>
            </w:r>
            <w:r>
              <w:rPr>
                <w:rFonts w:hint="eastAsia" w:ascii="Times New Roman" w:hAnsi="Times New Roman" w:eastAsia="宋体" w:cs="Times New Roman"/>
                <w:b w:val="0"/>
                <w:bCs/>
                <w:spacing w:val="-4"/>
                <w:sz w:val="21"/>
                <w:szCs w:val="21"/>
                <w:highlight w:val="none"/>
              </w:rPr>
              <w:t>■10</w:t>
            </w:r>
          </w:p>
        </w:tc>
        <w:tc>
          <w:tcPr>
            <w:tcW w:w="1134" w:type="dxa"/>
            <w:tcBorders>
              <w:left w:val="single" w:color="000000" w:sz="4" w:space="0"/>
            </w:tcBorders>
            <w:noWrap w:val="0"/>
            <w:vAlign w:val="center"/>
          </w:tcPr>
          <w:p w14:paraId="0CBE42F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w:t>
            </w:r>
            <w:r>
              <w:rPr>
                <w:rFonts w:hint="eastAsia" w:ascii="Times New Roman" w:hAnsi="Times New Roman" w:eastAsia="宋体" w:cs="Times New Roman"/>
                <w:b w:val="0"/>
                <w:bCs/>
                <w:spacing w:val="-4"/>
                <w:sz w:val="21"/>
                <w:szCs w:val="21"/>
                <w:highlight w:val="none"/>
                <w:lang w:eastAsia="zh-CN"/>
              </w:rPr>
              <w:t>外</w:t>
            </w:r>
            <w:r>
              <w:rPr>
                <w:rFonts w:hint="eastAsia" w:ascii="Times New Roman" w:hAnsi="Times New Roman" w:eastAsia="宋体" w:cs="Times New Roman"/>
                <w:b w:val="0"/>
                <w:bCs/>
                <w:spacing w:val="-4"/>
                <w:sz w:val="21"/>
                <w:szCs w:val="21"/>
                <w:highlight w:val="none"/>
              </w:rPr>
              <w:t>■11</w:t>
            </w:r>
          </w:p>
        </w:tc>
        <w:tc>
          <w:tcPr>
            <w:tcW w:w="728" w:type="dxa"/>
            <w:vMerge w:val="continue"/>
            <w:tcBorders>
              <w:left w:val="single" w:color="000000" w:sz="4" w:space="0"/>
            </w:tcBorders>
            <w:noWrap w:val="0"/>
            <w:vAlign w:val="center"/>
          </w:tcPr>
          <w:p w14:paraId="2CB0449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33761B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721" w:type="dxa"/>
            <w:vMerge w:val="continue"/>
            <w:tcBorders>
              <w:right w:val="single" w:color="000000" w:sz="4" w:space="0"/>
            </w:tcBorders>
            <w:noWrap w:val="0"/>
            <w:vAlign w:val="center"/>
          </w:tcPr>
          <w:p w14:paraId="0D3FC5F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197" w:type="dxa"/>
            <w:tcBorders>
              <w:top w:val="single" w:color="000000" w:sz="4" w:space="0"/>
              <w:left w:val="single" w:color="000000" w:sz="4" w:space="0"/>
              <w:bottom w:val="single" w:color="000000" w:sz="4" w:space="0"/>
              <w:right w:val="single" w:color="000000" w:sz="4" w:space="0"/>
            </w:tcBorders>
            <w:noWrap w:val="0"/>
            <w:vAlign w:val="center"/>
          </w:tcPr>
          <w:p w14:paraId="5CE4D0C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样品性状</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26FDC3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134" w:type="dxa"/>
            <w:tcBorders>
              <w:top w:val="single" w:color="000000" w:sz="4" w:space="0"/>
              <w:left w:val="single" w:color="000000" w:sz="4" w:space="0"/>
              <w:right w:val="single" w:color="000000" w:sz="4" w:space="0"/>
            </w:tcBorders>
            <w:noWrap w:val="0"/>
            <w:vAlign w:val="center"/>
          </w:tcPr>
          <w:p w14:paraId="3C2316C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134" w:type="dxa"/>
            <w:tcBorders>
              <w:top w:val="single" w:color="000000" w:sz="4" w:space="0"/>
              <w:left w:val="single" w:color="000000" w:sz="4" w:space="0"/>
              <w:right w:val="single" w:color="000000" w:sz="4" w:space="0"/>
            </w:tcBorders>
            <w:noWrap w:val="0"/>
            <w:vAlign w:val="center"/>
          </w:tcPr>
          <w:p w14:paraId="246F6E6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134" w:type="dxa"/>
            <w:tcBorders>
              <w:left w:val="single" w:color="000000" w:sz="4" w:space="0"/>
              <w:right w:val="single" w:color="000000" w:sz="4" w:space="0"/>
            </w:tcBorders>
            <w:noWrap w:val="0"/>
            <w:vAlign w:val="center"/>
          </w:tcPr>
          <w:p w14:paraId="203536A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134" w:type="dxa"/>
            <w:tcBorders>
              <w:left w:val="single" w:color="000000" w:sz="4" w:space="0"/>
            </w:tcBorders>
            <w:noWrap w:val="0"/>
            <w:vAlign w:val="center"/>
          </w:tcPr>
          <w:p w14:paraId="497D188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728" w:type="dxa"/>
            <w:vMerge w:val="continue"/>
            <w:tcBorders>
              <w:left w:val="single" w:color="000000" w:sz="4" w:space="0"/>
            </w:tcBorders>
            <w:noWrap w:val="0"/>
            <w:vAlign w:val="center"/>
          </w:tcPr>
          <w:p w14:paraId="1AEF690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4784A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721" w:type="dxa"/>
            <w:vMerge w:val="continue"/>
            <w:tcBorders>
              <w:bottom w:val="single" w:color="000000" w:sz="4" w:space="0"/>
              <w:right w:val="single" w:color="000000" w:sz="4" w:space="0"/>
            </w:tcBorders>
            <w:noWrap w:val="0"/>
            <w:vAlign w:val="center"/>
          </w:tcPr>
          <w:p w14:paraId="47C146E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197" w:type="dxa"/>
            <w:tcBorders>
              <w:top w:val="single" w:color="000000" w:sz="4" w:space="0"/>
              <w:left w:val="single" w:color="000000" w:sz="4" w:space="0"/>
              <w:bottom w:val="single" w:color="000000" w:sz="4" w:space="0"/>
              <w:right w:val="single" w:color="000000" w:sz="4" w:space="0"/>
            </w:tcBorders>
            <w:noWrap w:val="0"/>
            <w:vAlign w:val="center"/>
          </w:tcPr>
          <w:p w14:paraId="2012BEF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样品编号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3E4B04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G260224020601</w:t>
            </w:r>
          </w:p>
        </w:tc>
        <w:tc>
          <w:tcPr>
            <w:tcW w:w="1134" w:type="dxa"/>
            <w:tcBorders>
              <w:left w:val="single" w:color="000000" w:sz="4" w:space="0"/>
              <w:bottom w:val="single" w:color="000000" w:sz="4" w:space="0"/>
              <w:right w:val="single" w:color="000000" w:sz="4" w:space="0"/>
            </w:tcBorders>
            <w:noWrap w:val="0"/>
            <w:vAlign w:val="center"/>
          </w:tcPr>
          <w:p w14:paraId="4F46375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G260224020701</w:t>
            </w:r>
          </w:p>
        </w:tc>
        <w:tc>
          <w:tcPr>
            <w:tcW w:w="1134" w:type="dxa"/>
            <w:tcBorders>
              <w:left w:val="single" w:color="000000" w:sz="4" w:space="0"/>
              <w:bottom w:val="single" w:color="000000" w:sz="4" w:space="0"/>
              <w:right w:val="single" w:color="000000" w:sz="4" w:space="0"/>
            </w:tcBorders>
            <w:noWrap w:val="0"/>
            <w:vAlign w:val="center"/>
          </w:tcPr>
          <w:p w14:paraId="21CD169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G260224020901</w:t>
            </w:r>
          </w:p>
        </w:tc>
        <w:tc>
          <w:tcPr>
            <w:tcW w:w="1134" w:type="dxa"/>
            <w:tcBorders>
              <w:left w:val="single" w:color="000000" w:sz="4" w:space="0"/>
              <w:bottom w:val="single" w:color="000000" w:sz="4" w:space="0"/>
              <w:right w:val="single" w:color="000000" w:sz="4" w:space="0"/>
            </w:tcBorders>
            <w:noWrap w:val="0"/>
            <w:vAlign w:val="center"/>
          </w:tcPr>
          <w:p w14:paraId="20DD2C5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G260224021001</w:t>
            </w:r>
          </w:p>
        </w:tc>
        <w:tc>
          <w:tcPr>
            <w:tcW w:w="1134" w:type="dxa"/>
            <w:tcBorders>
              <w:left w:val="single" w:color="000000" w:sz="4" w:space="0"/>
              <w:bottom w:val="single" w:color="000000" w:sz="4" w:space="0"/>
            </w:tcBorders>
            <w:noWrap w:val="0"/>
            <w:vAlign w:val="center"/>
          </w:tcPr>
          <w:p w14:paraId="53C0C40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G260224021101</w:t>
            </w:r>
          </w:p>
        </w:tc>
        <w:tc>
          <w:tcPr>
            <w:tcW w:w="728" w:type="dxa"/>
            <w:vMerge w:val="continue"/>
            <w:tcBorders>
              <w:left w:val="single" w:color="000000" w:sz="4" w:space="0"/>
              <w:bottom w:val="single" w:color="000000" w:sz="4" w:space="0"/>
            </w:tcBorders>
            <w:noWrap w:val="0"/>
            <w:vAlign w:val="center"/>
          </w:tcPr>
          <w:p w14:paraId="5901025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3CCBDF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721" w:type="dxa"/>
            <w:tcBorders>
              <w:top w:val="single" w:color="000000" w:sz="4" w:space="0"/>
              <w:bottom w:val="single" w:color="000000" w:sz="4" w:space="0"/>
              <w:right w:val="single" w:color="000000" w:sz="4" w:space="0"/>
            </w:tcBorders>
            <w:noWrap w:val="0"/>
            <w:vAlign w:val="center"/>
          </w:tcPr>
          <w:p w14:paraId="608D804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pH</w:t>
            </w:r>
          </w:p>
        </w:tc>
        <w:tc>
          <w:tcPr>
            <w:tcW w:w="1197" w:type="dxa"/>
            <w:tcBorders>
              <w:top w:val="single" w:color="000000" w:sz="4" w:space="0"/>
              <w:left w:val="single" w:color="000000" w:sz="4" w:space="0"/>
              <w:bottom w:val="single" w:color="000000" w:sz="4" w:space="0"/>
              <w:right w:val="single" w:color="000000" w:sz="4" w:space="0"/>
            </w:tcBorders>
            <w:noWrap w:val="0"/>
            <w:vAlign w:val="center"/>
          </w:tcPr>
          <w:p w14:paraId="1CE3D63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无量纲</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9B95AE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8.29</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AA00C8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8.07</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790AF7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7.92</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DD58E6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8.26</w:t>
            </w:r>
          </w:p>
        </w:tc>
        <w:tc>
          <w:tcPr>
            <w:tcW w:w="1134" w:type="dxa"/>
            <w:tcBorders>
              <w:top w:val="single" w:color="000000" w:sz="4" w:space="0"/>
              <w:left w:val="single" w:color="000000" w:sz="4" w:space="0"/>
              <w:bottom w:val="single" w:color="000000" w:sz="4" w:space="0"/>
            </w:tcBorders>
            <w:noWrap w:val="0"/>
            <w:vAlign w:val="center"/>
          </w:tcPr>
          <w:p w14:paraId="28018A4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8.41</w:t>
            </w:r>
          </w:p>
        </w:tc>
        <w:tc>
          <w:tcPr>
            <w:tcW w:w="728" w:type="dxa"/>
            <w:tcBorders>
              <w:top w:val="single" w:color="000000" w:sz="4" w:space="0"/>
              <w:left w:val="single" w:color="000000" w:sz="4" w:space="0"/>
              <w:bottom w:val="single" w:color="000000" w:sz="4" w:space="0"/>
            </w:tcBorders>
            <w:noWrap w:val="0"/>
            <w:vAlign w:val="center"/>
          </w:tcPr>
          <w:p w14:paraId="4FE05B4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7C323D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721" w:type="dxa"/>
            <w:tcBorders>
              <w:top w:val="single" w:color="000000" w:sz="4" w:space="0"/>
              <w:bottom w:val="single" w:color="000000" w:sz="4" w:space="0"/>
              <w:right w:val="single" w:color="000000" w:sz="4" w:space="0"/>
            </w:tcBorders>
            <w:noWrap w:val="0"/>
            <w:vAlign w:val="center"/>
          </w:tcPr>
          <w:p w14:paraId="0EF7484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石油烃（C10-C40）</w:t>
            </w:r>
          </w:p>
        </w:tc>
        <w:tc>
          <w:tcPr>
            <w:tcW w:w="1197" w:type="dxa"/>
            <w:tcBorders>
              <w:top w:val="single" w:color="000000" w:sz="4" w:space="0"/>
              <w:left w:val="single" w:color="000000" w:sz="4" w:space="0"/>
              <w:bottom w:val="single" w:color="000000" w:sz="4" w:space="0"/>
              <w:right w:val="single" w:color="000000" w:sz="4" w:space="0"/>
            </w:tcBorders>
            <w:noWrap w:val="0"/>
            <w:vAlign w:val="center"/>
          </w:tcPr>
          <w:p w14:paraId="6ABED13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99E4CD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31</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12B4B9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6L</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9F5446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6L</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4398F7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6L</w:t>
            </w:r>
          </w:p>
        </w:tc>
        <w:tc>
          <w:tcPr>
            <w:tcW w:w="1134" w:type="dxa"/>
            <w:tcBorders>
              <w:top w:val="single" w:color="000000" w:sz="4" w:space="0"/>
              <w:left w:val="single" w:color="000000" w:sz="4" w:space="0"/>
              <w:bottom w:val="single" w:color="000000" w:sz="4" w:space="0"/>
            </w:tcBorders>
            <w:noWrap w:val="0"/>
            <w:vAlign w:val="center"/>
          </w:tcPr>
          <w:p w14:paraId="0A41758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6L</w:t>
            </w:r>
          </w:p>
        </w:tc>
        <w:tc>
          <w:tcPr>
            <w:tcW w:w="728" w:type="dxa"/>
            <w:tcBorders>
              <w:top w:val="single" w:color="000000" w:sz="4" w:space="0"/>
              <w:left w:val="single" w:color="000000" w:sz="4" w:space="0"/>
              <w:bottom w:val="single" w:color="000000" w:sz="4" w:space="0"/>
            </w:tcBorders>
            <w:noWrap w:val="0"/>
            <w:vAlign w:val="center"/>
          </w:tcPr>
          <w:p w14:paraId="0B9DC6A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4500</w:t>
            </w:r>
          </w:p>
        </w:tc>
      </w:tr>
      <w:tr w14:paraId="57627F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721" w:type="dxa"/>
            <w:tcBorders>
              <w:top w:val="single" w:color="000000" w:sz="4" w:space="0"/>
              <w:bottom w:val="single" w:color="000000" w:sz="4" w:space="0"/>
              <w:right w:val="single" w:color="000000" w:sz="4" w:space="0"/>
            </w:tcBorders>
            <w:noWrap w:val="0"/>
            <w:vAlign w:val="center"/>
          </w:tcPr>
          <w:p w14:paraId="34BF1A2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阳离子交换量</w:t>
            </w:r>
          </w:p>
        </w:tc>
        <w:tc>
          <w:tcPr>
            <w:tcW w:w="1197" w:type="dxa"/>
            <w:tcBorders>
              <w:top w:val="single" w:color="000000" w:sz="4" w:space="0"/>
              <w:left w:val="single" w:color="000000" w:sz="4" w:space="0"/>
              <w:bottom w:val="single" w:color="000000" w:sz="4" w:space="0"/>
              <w:right w:val="single" w:color="000000" w:sz="4" w:space="0"/>
            </w:tcBorders>
            <w:noWrap w:val="0"/>
            <w:vAlign w:val="center"/>
          </w:tcPr>
          <w:p w14:paraId="2D8732C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cmol+ /kg</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6842A1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10.8</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27F1D9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7.2</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D366A7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12.6</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68C3B3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16.2</w:t>
            </w:r>
          </w:p>
        </w:tc>
        <w:tc>
          <w:tcPr>
            <w:tcW w:w="1134" w:type="dxa"/>
            <w:tcBorders>
              <w:top w:val="single" w:color="000000" w:sz="4" w:space="0"/>
              <w:left w:val="single" w:color="000000" w:sz="4" w:space="0"/>
              <w:bottom w:val="single" w:color="000000" w:sz="4" w:space="0"/>
            </w:tcBorders>
            <w:noWrap w:val="0"/>
            <w:vAlign w:val="center"/>
          </w:tcPr>
          <w:p w14:paraId="46F67BF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13.1</w:t>
            </w:r>
          </w:p>
        </w:tc>
        <w:tc>
          <w:tcPr>
            <w:tcW w:w="728" w:type="dxa"/>
            <w:tcBorders>
              <w:top w:val="single" w:color="000000" w:sz="4" w:space="0"/>
              <w:left w:val="single" w:color="000000" w:sz="4" w:space="0"/>
              <w:bottom w:val="single" w:color="000000" w:sz="4" w:space="0"/>
            </w:tcBorders>
            <w:noWrap w:val="0"/>
            <w:vAlign w:val="center"/>
          </w:tcPr>
          <w:p w14:paraId="0ABDCE3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1DE652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721" w:type="dxa"/>
            <w:tcBorders>
              <w:top w:val="single" w:color="000000" w:sz="4" w:space="0"/>
              <w:bottom w:val="single" w:color="000000" w:sz="4" w:space="0"/>
              <w:right w:val="single" w:color="000000" w:sz="4" w:space="0"/>
            </w:tcBorders>
            <w:noWrap w:val="0"/>
            <w:vAlign w:val="center"/>
          </w:tcPr>
          <w:p w14:paraId="1F132F5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氧化还原电位</w:t>
            </w:r>
          </w:p>
        </w:tc>
        <w:tc>
          <w:tcPr>
            <w:tcW w:w="1197" w:type="dxa"/>
            <w:tcBorders>
              <w:top w:val="single" w:color="000000" w:sz="4" w:space="0"/>
              <w:left w:val="single" w:color="000000" w:sz="4" w:space="0"/>
              <w:bottom w:val="single" w:color="000000" w:sz="4" w:space="0"/>
              <w:right w:val="single" w:color="000000" w:sz="4" w:space="0"/>
            </w:tcBorders>
            <w:noWrap w:val="0"/>
            <w:vAlign w:val="center"/>
          </w:tcPr>
          <w:p w14:paraId="3C7ED0E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mV</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583429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199</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A63C6E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177</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198246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202</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B95C2A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176</w:t>
            </w:r>
          </w:p>
        </w:tc>
        <w:tc>
          <w:tcPr>
            <w:tcW w:w="1134" w:type="dxa"/>
            <w:tcBorders>
              <w:top w:val="single" w:color="000000" w:sz="4" w:space="0"/>
              <w:left w:val="single" w:color="000000" w:sz="4" w:space="0"/>
              <w:bottom w:val="single" w:color="000000" w:sz="4" w:space="0"/>
            </w:tcBorders>
            <w:noWrap w:val="0"/>
            <w:vAlign w:val="center"/>
          </w:tcPr>
          <w:p w14:paraId="410C43E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167</w:t>
            </w:r>
          </w:p>
        </w:tc>
        <w:tc>
          <w:tcPr>
            <w:tcW w:w="728" w:type="dxa"/>
            <w:tcBorders>
              <w:top w:val="single" w:color="000000" w:sz="4" w:space="0"/>
              <w:left w:val="single" w:color="000000" w:sz="4" w:space="0"/>
              <w:bottom w:val="single" w:color="000000" w:sz="4" w:space="0"/>
            </w:tcBorders>
            <w:noWrap w:val="0"/>
            <w:vAlign w:val="center"/>
          </w:tcPr>
          <w:p w14:paraId="4DAC4A8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534589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721" w:type="dxa"/>
            <w:tcBorders>
              <w:top w:val="single" w:color="000000" w:sz="4" w:space="0"/>
              <w:bottom w:val="single" w:color="000000" w:sz="12" w:space="0"/>
              <w:right w:val="single" w:color="000000" w:sz="4" w:space="0"/>
            </w:tcBorders>
            <w:noWrap w:val="0"/>
            <w:vAlign w:val="center"/>
          </w:tcPr>
          <w:p w14:paraId="6657CC0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容重</w:t>
            </w:r>
          </w:p>
        </w:tc>
        <w:tc>
          <w:tcPr>
            <w:tcW w:w="1197" w:type="dxa"/>
            <w:tcBorders>
              <w:top w:val="single" w:color="000000" w:sz="4" w:space="0"/>
              <w:left w:val="single" w:color="000000" w:sz="4" w:space="0"/>
              <w:bottom w:val="single" w:color="000000" w:sz="12" w:space="0"/>
              <w:right w:val="single" w:color="000000" w:sz="4" w:space="0"/>
            </w:tcBorders>
            <w:noWrap w:val="0"/>
            <w:vAlign w:val="center"/>
          </w:tcPr>
          <w:p w14:paraId="1E60072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g/cm3</w:t>
            </w:r>
          </w:p>
        </w:tc>
        <w:tc>
          <w:tcPr>
            <w:tcW w:w="1134" w:type="dxa"/>
            <w:tcBorders>
              <w:top w:val="single" w:color="000000" w:sz="4" w:space="0"/>
              <w:left w:val="single" w:color="000000" w:sz="4" w:space="0"/>
              <w:bottom w:val="single" w:color="000000" w:sz="12" w:space="0"/>
              <w:right w:val="single" w:color="000000" w:sz="4" w:space="0"/>
            </w:tcBorders>
            <w:noWrap w:val="0"/>
            <w:vAlign w:val="center"/>
          </w:tcPr>
          <w:p w14:paraId="51FDB3B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1.05</w:t>
            </w:r>
          </w:p>
        </w:tc>
        <w:tc>
          <w:tcPr>
            <w:tcW w:w="1134" w:type="dxa"/>
            <w:tcBorders>
              <w:top w:val="single" w:color="000000" w:sz="4" w:space="0"/>
              <w:left w:val="single" w:color="000000" w:sz="4" w:space="0"/>
              <w:bottom w:val="single" w:color="000000" w:sz="12" w:space="0"/>
              <w:right w:val="single" w:color="000000" w:sz="4" w:space="0"/>
            </w:tcBorders>
            <w:noWrap w:val="0"/>
            <w:vAlign w:val="center"/>
          </w:tcPr>
          <w:p w14:paraId="58BEA75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1.15</w:t>
            </w:r>
          </w:p>
        </w:tc>
        <w:tc>
          <w:tcPr>
            <w:tcW w:w="1134" w:type="dxa"/>
            <w:tcBorders>
              <w:top w:val="single" w:color="000000" w:sz="4" w:space="0"/>
              <w:left w:val="single" w:color="000000" w:sz="4" w:space="0"/>
              <w:bottom w:val="single" w:color="000000" w:sz="12" w:space="0"/>
              <w:right w:val="single" w:color="000000" w:sz="4" w:space="0"/>
            </w:tcBorders>
            <w:noWrap w:val="0"/>
            <w:vAlign w:val="center"/>
          </w:tcPr>
          <w:p w14:paraId="33B1BD7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1.09</w:t>
            </w:r>
          </w:p>
        </w:tc>
        <w:tc>
          <w:tcPr>
            <w:tcW w:w="1134" w:type="dxa"/>
            <w:tcBorders>
              <w:top w:val="single" w:color="000000" w:sz="4" w:space="0"/>
              <w:left w:val="single" w:color="000000" w:sz="4" w:space="0"/>
              <w:bottom w:val="single" w:color="000000" w:sz="12" w:space="0"/>
              <w:right w:val="single" w:color="000000" w:sz="4" w:space="0"/>
            </w:tcBorders>
            <w:noWrap w:val="0"/>
            <w:vAlign w:val="center"/>
          </w:tcPr>
          <w:p w14:paraId="71DF5ED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1.14</w:t>
            </w:r>
          </w:p>
        </w:tc>
        <w:tc>
          <w:tcPr>
            <w:tcW w:w="1134" w:type="dxa"/>
            <w:tcBorders>
              <w:top w:val="single" w:color="000000" w:sz="4" w:space="0"/>
              <w:left w:val="single" w:color="000000" w:sz="4" w:space="0"/>
              <w:bottom w:val="single" w:color="000000" w:sz="12" w:space="0"/>
            </w:tcBorders>
            <w:noWrap w:val="0"/>
            <w:vAlign w:val="center"/>
          </w:tcPr>
          <w:p w14:paraId="35347B9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1.08</w:t>
            </w:r>
          </w:p>
        </w:tc>
        <w:tc>
          <w:tcPr>
            <w:tcW w:w="728" w:type="dxa"/>
            <w:tcBorders>
              <w:top w:val="single" w:color="000000" w:sz="4" w:space="0"/>
              <w:left w:val="single" w:color="000000" w:sz="4" w:space="0"/>
              <w:bottom w:val="single" w:color="000000" w:sz="12" w:space="0"/>
            </w:tcBorders>
            <w:noWrap w:val="0"/>
            <w:vAlign w:val="center"/>
          </w:tcPr>
          <w:p w14:paraId="32AA9E9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bl>
    <w:p w14:paraId="3853D0C5">
      <w:pPr>
        <w:snapToGrid w:val="0"/>
        <w:jc w:val="left"/>
        <w:rPr>
          <w:rFonts w:hint="eastAsia" w:ascii="Times New Roman" w:hAnsi="Times New Roman" w:cs="Times New Roman"/>
          <w:b/>
          <w:sz w:val="18"/>
          <w:szCs w:val="18"/>
        </w:rPr>
      </w:pPr>
      <w:r>
        <w:rPr>
          <w:rFonts w:ascii="Times New Roman" w:hAnsi="Times New Roman" w:cs="Times New Roman"/>
          <w:b/>
          <w:sz w:val="18"/>
          <w:szCs w:val="18"/>
        </w:rPr>
        <w:t>注：L为低于检出限。</w:t>
      </w:r>
    </w:p>
    <w:p w14:paraId="6D01124C">
      <w:pPr>
        <w:pStyle w:val="7"/>
        <w:bidi w:val="0"/>
        <w:rPr>
          <w:highlight w:val="none"/>
        </w:rPr>
      </w:pPr>
      <w:r>
        <w:rPr>
          <w:rFonts w:hint="eastAsia"/>
          <w:highlight w:val="none"/>
          <w:lang w:val="en-US" w:eastAsia="zh-CN"/>
        </w:rPr>
        <w:t>续</w:t>
      </w:r>
      <w:r>
        <w:rPr>
          <w:rFonts w:hint="default"/>
          <w:highlight w:val="none"/>
        </w:rPr>
        <w:t>表4-2-1</w:t>
      </w:r>
      <w:r>
        <w:rPr>
          <w:rFonts w:hint="eastAsia"/>
          <w:highlight w:val="none"/>
          <w:lang w:val="en-US" w:eastAsia="zh-CN"/>
        </w:rPr>
        <w:t>9</w:t>
      </w:r>
      <w:r>
        <w:rPr>
          <w:rFonts w:hint="default"/>
          <w:highlight w:val="none"/>
        </w:rPr>
        <w:t>土壤检测结果表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21"/>
        <w:gridCol w:w="1434"/>
        <w:gridCol w:w="3745"/>
        <w:gridCol w:w="1322"/>
      </w:tblGrid>
      <w:tr w14:paraId="1AE66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vMerge w:val="restart"/>
            <w:tcBorders>
              <w:right w:val="single" w:color="000000" w:sz="4" w:space="0"/>
            </w:tcBorders>
            <w:noWrap w:val="0"/>
            <w:vAlign w:val="center"/>
          </w:tcPr>
          <w:p w14:paraId="34E4996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检测项目</w:t>
            </w:r>
          </w:p>
        </w:tc>
        <w:tc>
          <w:tcPr>
            <w:tcW w:w="1434" w:type="dxa"/>
            <w:tcBorders>
              <w:top w:val="single" w:color="000000" w:sz="12" w:space="0"/>
              <w:left w:val="single" w:color="000000" w:sz="4" w:space="0"/>
              <w:bottom w:val="single" w:color="000000" w:sz="4" w:space="0"/>
              <w:right w:val="single" w:color="000000" w:sz="4" w:space="0"/>
            </w:tcBorders>
            <w:noWrap w:val="0"/>
            <w:vAlign w:val="center"/>
          </w:tcPr>
          <w:p w14:paraId="14A3C1F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采样时间</w:t>
            </w:r>
          </w:p>
        </w:tc>
        <w:tc>
          <w:tcPr>
            <w:tcW w:w="3745" w:type="dxa"/>
            <w:tcBorders>
              <w:top w:val="single" w:color="000000" w:sz="12" w:space="0"/>
              <w:left w:val="single" w:color="000000" w:sz="4" w:space="0"/>
              <w:bottom w:val="single" w:color="000000" w:sz="4" w:space="0"/>
              <w:right w:val="single" w:color="000000" w:sz="4" w:space="0"/>
            </w:tcBorders>
            <w:noWrap w:val="0"/>
            <w:vAlign w:val="center"/>
          </w:tcPr>
          <w:p w14:paraId="13DAB19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2026.02.24</w:t>
            </w:r>
          </w:p>
        </w:tc>
        <w:tc>
          <w:tcPr>
            <w:tcW w:w="1322" w:type="dxa"/>
            <w:vMerge w:val="restart"/>
            <w:tcBorders>
              <w:left w:val="single" w:color="000000" w:sz="4" w:space="0"/>
            </w:tcBorders>
            <w:noWrap w:val="0"/>
            <w:vAlign w:val="center"/>
          </w:tcPr>
          <w:p w14:paraId="41023B9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标准限值</w:t>
            </w:r>
          </w:p>
          <w:p w14:paraId="117D80B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r>
      <w:tr w14:paraId="7AD05A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vMerge w:val="continue"/>
            <w:tcBorders>
              <w:right w:val="single" w:color="000000" w:sz="4" w:space="0"/>
            </w:tcBorders>
            <w:noWrap w:val="0"/>
            <w:vAlign w:val="center"/>
          </w:tcPr>
          <w:p w14:paraId="150F66F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784B0B5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采样点位</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3D3C042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占地范围外■8</w:t>
            </w:r>
          </w:p>
        </w:tc>
        <w:tc>
          <w:tcPr>
            <w:tcW w:w="1322" w:type="dxa"/>
            <w:vMerge w:val="continue"/>
            <w:tcBorders>
              <w:left w:val="single" w:color="000000" w:sz="4" w:space="0"/>
            </w:tcBorders>
            <w:noWrap w:val="0"/>
            <w:vAlign w:val="center"/>
          </w:tcPr>
          <w:p w14:paraId="0F1B259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2AE037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vMerge w:val="continue"/>
            <w:tcBorders>
              <w:right w:val="single" w:color="000000" w:sz="4" w:space="0"/>
            </w:tcBorders>
            <w:noWrap w:val="0"/>
            <w:vAlign w:val="center"/>
          </w:tcPr>
          <w:p w14:paraId="4ABCCCE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28166A6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样品性状</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7114A74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灰色、壤土</w:t>
            </w:r>
          </w:p>
        </w:tc>
        <w:tc>
          <w:tcPr>
            <w:tcW w:w="1322" w:type="dxa"/>
            <w:vMerge w:val="continue"/>
            <w:tcBorders>
              <w:left w:val="single" w:color="000000" w:sz="4" w:space="0"/>
            </w:tcBorders>
            <w:noWrap w:val="0"/>
            <w:vAlign w:val="center"/>
          </w:tcPr>
          <w:p w14:paraId="3F0ECD2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27D425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vMerge w:val="continue"/>
            <w:tcBorders>
              <w:bottom w:val="single" w:color="000000" w:sz="4" w:space="0"/>
              <w:right w:val="single" w:color="000000" w:sz="4" w:space="0"/>
            </w:tcBorders>
            <w:noWrap w:val="0"/>
            <w:vAlign w:val="center"/>
          </w:tcPr>
          <w:p w14:paraId="0EC5F8C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2E50492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样品编号</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BA2167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G260224020801</w:t>
            </w:r>
          </w:p>
        </w:tc>
        <w:tc>
          <w:tcPr>
            <w:tcW w:w="1322" w:type="dxa"/>
            <w:vMerge w:val="continue"/>
            <w:tcBorders>
              <w:left w:val="single" w:color="000000" w:sz="4" w:space="0"/>
              <w:bottom w:val="single" w:color="000000" w:sz="4" w:space="0"/>
            </w:tcBorders>
            <w:noWrap w:val="0"/>
            <w:vAlign w:val="center"/>
          </w:tcPr>
          <w:p w14:paraId="13DE539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p>
        </w:tc>
      </w:tr>
      <w:tr w14:paraId="597432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3C4B737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pH</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7CC7730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无量纲</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35C6F20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7.89</w:t>
            </w:r>
          </w:p>
        </w:tc>
        <w:tc>
          <w:tcPr>
            <w:tcW w:w="1322" w:type="dxa"/>
            <w:tcBorders>
              <w:top w:val="single" w:color="000000" w:sz="4" w:space="0"/>
              <w:left w:val="single" w:color="000000" w:sz="4" w:space="0"/>
              <w:bottom w:val="single" w:color="000000" w:sz="4" w:space="0"/>
            </w:tcBorders>
            <w:noWrap w:val="0"/>
            <w:vAlign w:val="center"/>
          </w:tcPr>
          <w:p w14:paraId="59E4E19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7F09D0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3AADF53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B1CA9A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670A448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2.62</w:t>
            </w:r>
          </w:p>
        </w:tc>
        <w:tc>
          <w:tcPr>
            <w:tcW w:w="1322" w:type="dxa"/>
            <w:tcBorders>
              <w:top w:val="single" w:color="000000" w:sz="4" w:space="0"/>
              <w:left w:val="single" w:color="000000" w:sz="4" w:space="0"/>
              <w:bottom w:val="single" w:color="000000" w:sz="4" w:space="0"/>
            </w:tcBorders>
            <w:noWrap w:val="0"/>
            <w:vAlign w:val="center"/>
          </w:tcPr>
          <w:p w14:paraId="3C47016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60</w:t>
            </w:r>
          </w:p>
        </w:tc>
      </w:tr>
      <w:tr w14:paraId="7EC485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057ED6A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镉</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5E91F01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5B3D7DF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0.35</w:t>
            </w:r>
          </w:p>
        </w:tc>
        <w:tc>
          <w:tcPr>
            <w:tcW w:w="1322" w:type="dxa"/>
            <w:tcBorders>
              <w:top w:val="single" w:color="000000" w:sz="4" w:space="0"/>
              <w:left w:val="single" w:color="000000" w:sz="4" w:space="0"/>
              <w:bottom w:val="single" w:color="000000" w:sz="4" w:space="0"/>
            </w:tcBorders>
            <w:noWrap w:val="0"/>
            <w:vAlign w:val="center"/>
          </w:tcPr>
          <w:p w14:paraId="34C77F2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65</w:t>
            </w:r>
          </w:p>
        </w:tc>
      </w:tr>
      <w:tr w14:paraId="2CB0E8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5182576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六价铬</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F7E055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7D3BC3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0.5L</w:t>
            </w:r>
          </w:p>
        </w:tc>
        <w:tc>
          <w:tcPr>
            <w:tcW w:w="1322" w:type="dxa"/>
            <w:tcBorders>
              <w:top w:val="single" w:color="000000" w:sz="4" w:space="0"/>
              <w:left w:val="single" w:color="000000" w:sz="4" w:space="0"/>
              <w:bottom w:val="single" w:color="000000" w:sz="4" w:space="0"/>
            </w:tcBorders>
            <w:noWrap w:val="0"/>
            <w:vAlign w:val="center"/>
          </w:tcPr>
          <w:p w14:paraId="1202A3E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5.7</w:t>
            </w:r>
          </w:p>
        </w:tc>
      </w:tr>
      <w:tr w14:paraId="25686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51F41E4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铜</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403D61D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20EB9F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w:t>
            </w:r>
          </w:p>
        </w:tc>
        <w:tc>
          <w:tcPr>
            <w:tcW w:w="1322" w:type="dxa"/>
            <w:tcBorders>
              <w:top w:val="single" w:color="000000" w:sz="4" w:space="0"/>
              <w:left w:val="single" w:color="000000" w:sz="4" w:space="0"/>
              <w:bottom w:val="single" w:color="000000" w:sz="4" w:space="0"/>
            </w:tcBorders>
            <w:noWrap w:val="0"/>
            <w:vAlign w:val="center"/>
          </w:tcPr>
          <w:p w14:paraId="21969C8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18000</w:t>
            </w:r>
          </w:p>
        </w:tc>
      </w:tr>
      <w:tr w14:paraId="1AA582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4AABE20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铅</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56DE60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2C1115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23</w:t>
            </w:r>
          </w:p>
        </w:tc>
        <w:tc>
          <w:tcPr>
            <w:tcW w:w="1322" w:type="dxa"/>
            <w:tcBorders>
              <w:top w:val="single" w:color="000000" w:sz="4" w:space="0"/>
              <w:left w:val="single" w:color="000000" w:sz="4" w:space="0"/>
              <w:bottom w:val="single" w:color="000000" w:sz="4" w:space="0"/>
            </w:tcBorders>
            <w:noWrap w:val="0"/>
            <w:vAlign w:val="center"/>
          </w:tcPr>
          <w:p w14:paraId="1327F81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800</w:t>
            </w:r>
          </w:p>
        </w:tc>
      </w:tr>
      <w:tr w14:paraId="017339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5A1CAF8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汞</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5F03258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128B45C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0.0352</w:t>
            </w:r>
          </w:p>
        </w:tc>
        <w:tc>
          <w:tcPr>
            <w:tcW w:w="1322" w:type="dxa"/>
            <w:tcBorders>
              <w:top w:val="single" w:color="000000" w:sz="4" w:space="0"/>
              <w:left w:val="single" w:color="000000" w:sz="4" w:space="0"/>
              <w:bottom w:val="single" w:color="000000" w:sz="4" w:space="0"/>
            </w:tcBorders>
            <w:noWrap w:val="0"/>
            <w:vAlign w:val="center"/>
          </w:tcPr>
          <w:p w14:paraId="1847F83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38</w:t>
            </w:r>
          </w:p>
        </w:tc>
      </w:tr>
      <w:tr w14:paraId="6B092D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7227802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镍</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5812933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08779D4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23</w:t>
            </w:r>
          </w:p>
        </w:tc>
        <w:tc>
          <w:tcPr>
            <w:tcW w:w="1322" w:type="dxa"/>
            <w:tcBorders>
              <w:top w:val="single" w:color="000000" w:sz="4" w:space="0"/>
              <w:left w:val="single" w:color="000000" w:sz="4" w:space="0"/>
              <w:bottom w:val="single" w:color="000000" w:sz="4" w:space="0"/>
            </w:tcBorders>
            <w:noWrap w:val="0"/>
            <w:vAlign w:val="center"/>
          </w:tcPr>
          <w:p w14:paraId="6A20CD4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900</w:t>
            </w:r>
          </w:p>
        </w:tc>
      </w:tr>
      <w:tr w14:paraId="02420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36FBFFE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四氯化碳</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16D67C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2E758D7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322" w:type="dxa"/>
            <w:tcBorders>
              <w:top w:val="single" w:color="000000" w:sz="4" w:space="0"/>
              <w:left w:val="single" w:color="000000" w:sz="4" w:space="0"/>
              <w:bottom w:val="single" w:color="000000" w:sz="4" w:space="0"/>
            </w:tcBorders>
            <w:noWrap w:val="0"/>
            <w:vAlign w:val="center"/>
          </w:tcPr>
          <w:p w14:paraId="234589A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2.8</w:t>
            </w:r>
          </w:p>
        </w:tc>
      </w:tr>
      <w:tr w14:paraId="4D7907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1C66682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氯仿</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6245580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5C95BFA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322" w:type="dxa"/>
            <w:tcBorders>
              <w:top w:val="single" w:color="000000" w:sz="4" w:space="0"/>
              <w:left w:val="single" w:color="000000" w:sz="4" w:space="0"/>
              <w:bottom w:val="single" w:color="000000" w:sz="4" w:space="0"/>
            </w:tcBorders>
            <w:noWrap w:val="0"/>
            <w:vAlign w:val="center"/>
          </w:tcPr>
          <w:p w14:paraId="5C19FAA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0.9</w:t>
            </w:r>
          </w:p>
        </w:tc>
      </w:tr>
      <w:tr w14:paraId="5B286B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4" w:space="0"/>
              <w:right w:val="single" w:color="000000" w:sz="4" w:space="0"/>
            </w:tcBorders>
            <w:noWrap w:val="0"/>
            <w:vAlign w:val="center"/>
          </w:tcPr>
          <w:p w14:paraId="1E471CF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氯甲烷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60C4C34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0A26817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322" w:type="dxa"/>
            <w:tcBorders>
              <w:top w:val="single" w:color="000000" w:sz="4" w:space="0"/>
              <w:left w:val="single" w:color="000000" w:sz="4" w:space="0"/>
              <w:bottom w:val="single" w:color="000000" w:sz="4" w:space="0"/>
            </w:tcBorders>
            <w:noWrap w:val="0"/>
            <w:vAlign w:val="center"/>
          </w:tcPr>
          <w:p w14:paraId="6BE7B08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37</w:t>
            </w:r>
          </w:p>
        </w:tc>
      </w:tr>
      <w:tr w14:paraId="40290C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021" w:type="dxa"/>
            <w:tcBorders>
              <w:top w:val="single" w:color="000000" w:sz="4" w:space="0"/>
              <w:bottom w:val="single" w:color="000000" w:sz="12" w:space="0"/>
              <w:right w:val="single" w:color="000000" w:sz="4" w:space="0"/>
            </w:tcBorders>
            <w:noWrap w:val="0"/>
            <w:vAlign w:val="center"/>
          </w:tcPr>
          <w:p w14:paraId="4E72E66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1,1-二氯乙烷</w:t>
            </w:r>
          </w:p>
        </w:tc>
        <w:tc>
          <w:tcPr>
            <w:tcW w:w="1434" w:type="dxa"/>
            <w:tcBorders>
              <w:top w:val="single" w:color="000000" w:sz="4" w:space="0"/>
              <w:left w:val="single" w:color="000000" w:sz="4" w:space="0"/>
              <w:bottom w:val="single" w:color="000000" w:sz="12" w:space="0"/>
              <w:right w:val="single" w:color="000000" w:sz="4" w:space="0"/>
            </w:tcBorders>
            <w:noWrap w:val="0"/>
            <w:vAlign w:val="center"/>
          </w:tcPr>
          <w:p w14:paraId="070EB6C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12" w:space="0"/>
              <w:right w:val="single" w:color="000000" w:sz="4" w:space="0"/>
            </w:tcBorders>
            <w:noWrap w:val="0"/>
            <w:vAlign w:val="center"/>
          </w:tcPr>
          <w:p w14:paraId="0837B6B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12" w:space="0"/>
            </w:tcBorders>
            <w:noWrap w:val="0"/>
            <w:vAlign w:val="center"/>
          </w:tcPr>
          <w:p w14:paraId="085C866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9</w:t>
            </w:r>
          </w:p>
        </w:tc>
      </w:tr>
      <w:tr w14:paraId="0A58A1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2021" w:type="dxa"/>
            <w:tcBorders>
              <w:top w:val="single" w:color="000000" w:sz="4" w:space="0"/>
              <w:bottom w:val="single" w:color="000000" w:sz="4" w:space="0"/>
              <w:right w:val="single" w:color="000000" w:sz="4" w:space="0"/>
            </w:tcBorders>
            <w:noWrap w:val="0"/>
            <w:vAlign w:val="center"/>
          </w:tcPr>
          <w:p w14:paraId="22EFDAE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1,2-二氯乙烷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7852AF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050BC17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322" w:type="dxa"/>
            <w:tcBorders>
              <w:top w:val="single" w:color="000000" w:sz="4" w:space="0"/>
              <w:left w:val="single" w:color="000000" w:sz="4" w:space="0"/>
              <w:bottom w:val="single" w:color="000000" w:sz="4" w:space="0"/>
            </w:tcBorders>
            <w:noWrap w:val="0"/>
            <w:vAlign w:val="center"/>
          </w:tcPr>
          <w:p w14:paraId="0B28B73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w:t>
            </w:r>
          </w:p>
        </w:tc>
      </w:tr>
      <w:tr w14:paraId="684EF1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2021" w:type="dxa"/>
            <w:tcBorders>
              <w:top w:val="single" w:color="000000" w:sz="4" w:space="0"/>
              <w:bottom w:val="single" w:color="000000" w:sz="4" w:space="0"/>
              <w:right w:val="single" w:color="000000" w:sz="4" w:space="0"/>
            </w:tcBorders>
            <w:noWrap w:val="0"/>
            <w:vAlign w:val="center"/>
          </w:tcPr>
          <w:p w14:paraId="23D7BAC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1,1-二氯乙烯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6FE9A39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63B119F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322" w:type="dxa"/>
            <w:tcBorders>
              <w:top w:val="single" w:color="000000" w:sz="4" w:space="0"/>
              <w:left w:val="single" w:color="000000" w:sz="4" w:space="0"/>
              <w:bottom w:val="single" w:color="000000" w:sz="4" w:space="0"/>
            </w:tcBorders>
            <w:noWrap w:val="0"/>
            <w:vAlign w:val="center"/>
          </w:tcPr>
          <w:p w14:paraId="07A1BB3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66</w:t>
            </w:r>
          </w:p>
        </w:tc>
      </w:tr>
      <w:tr w14:paraId="3B232F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2021" w:type="dxa"/>
            <w:tcBorders>
              <w:top w:val="single" w:color="000000" w:sz="4" w:space="0"/>
              <w:bottom w:val="single" w:color="000000" w:sz="4" w:space="0"/>
              <w:right w:val="single" w:color="000000" w:sz="4" w:space="0"/>
            </w:tcBorders>
            <w:noWrap w:val="0"/>
            <w:vAlign w:val="center"/>
          </w:tcPr>
          <w:p w14:paraId="7F3A058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顺-1,2-二氯乙烯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0305413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7064960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322" w:type="dxa"/>
            <w:tcBorders>
              <w:top w:val="single" w:color="000000" w:sz="4" w:space="0"/>
              <w:left w:val="single" w:color="000000" w:sz="4" w:space="0"/>
              <w:bottom w:val="single" w:color="000000" w:sz="4" w:space="0"/>
            </w:tcBorders>
            <w:noWrap w:val="0"/>
            <w:vAlign w:val="center"/>
          </w:tcPr>
          <w:p w14:paraId="19403CB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596</w:t>
            </w:r>
          </w:p>
        </w:tc>
      </w:tr>
      <w:tr w14:paraId="492A2F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2021" w:type="dxa"/>
            <w:tcBorders>
              <w:top w:val="single" w:color="000000" w:sz="4" w:space="0"/>
              <w:bottom w:val="single" w:color="000000" w:sz="4" w:space="0"/>
              <w:right w:val="single" w:color="000000" w:sz="4" w:space="0"/>
            </w:tcBorders>
            <w:noWrap w:val="0"/>
            <w:vAlign w:val="center"/>
          </w:tcPr>
          <w:p w14:paraId="2F14354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反-1,2-二氯乙烯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23BAE34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5F268B8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1.4L</w:t>
            </w:r>
          </w:p>
        </w:tc>
        <w:tc>
          <w:tcPr>
            <w:tcW w:w="1322" w:type="dxa"/>
            <w:tcBorders>
              <w:top w:val="single" w:color="000000" w:sz="4" w:space="0"/>
              <w:left w:val="single" w:color="000000" w:sz="4" w:space="0"/>
              <w:bottom w:val="single" w:color="000000" w:sz="4" w:space="0"/>
            </w:tcBorders>
            <w:noWrap w:val="0"/>
            <w:vAlign w:val="center"/>
          </w:tcPr>
          <w:p w14:paraId="273D89E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54</w:t>
            </w:r>
          </w:p>
        </w:tc>
      </w:tr>
      <w:tr w14:paraId="62D5E3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2021" w:type="dxa"/>
            <w:tcBorders>
              <w:top w:val="single" w:color="000000" w:sz="4" w:space="0"/>
              <w:bottom w:val="single" w:color="000000" w:sz="4" w:space="0"/>
              <w:right w:val="single" w:color="000000" w:sz="4" w:space="0"/>
            </w:tcBorders>
            <w:noWrap w:val="0"/>
            <w:vAlign w:val="center"/>
          </w:tcPr>
          <w:p w14:paraId="00FFB16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二氯甲烷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5008ED1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29331EF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322" w:type="dxa"/>
            <w:tcBorders>
              <w:top w:val="single" w:color="000000" w:sz="4" w:space="0"/>
              <w:left w:val="single" w:color="000000" w:sz="4" w:space="0"/>
              <w:bottom w:val="single" w:color="000000" w:sz="4" w:space="0"/>
            </w:tcBorders>
            <w:noWrap w:val="0"/>
            <w:vAlign w:val="center"/>
          </w:tcPr>
          <w:p w14:paraId="49947FA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616</w:t>
            </w:r>
          </w:p>
        </w:tc>
      </w:tr>
      <w:tr w14:paraId="077543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19E517F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1,2-二氯丙烷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4F17238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DD9A90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322" w:type="dxa"/>
            <w:tcBorders>
              <w:top w:val="single" w:color="000000" w:sz="4" w:space="0"/>
              <w:left w:val="single" w:color="000000" w:sz="4" w:space="0"/>
              <w:bottom w:val="single" w:color="000000" w:sz="4" w:space="0"/>
            </w:tcBorders>
            <w:noWrap w:val="0"/>
            <w:vAlign w:val="center"/>
          </w:tcPr>
          <w:p w14:paraId="6AFD52C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w:t>
            </w:r>
          </w:p>
        </w:tc>
      </w:tr>
      <w:tr w14:paraId="41B9D6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7C7CFA8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1,1,1,2-四氯乙烷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90878C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D39023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4" w:space="0"/>
            </w:tcBorders>
            <w:noWrap w:val="0"/>
            <w:vAlign w:val="center"/>
          </w:tcPr>
          <w:p w14:paraId="199BD98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w:t>
            </w:r>
          </w:p>
        </w:tc>
      </w:tr>
      <w:tr w14:paraId="5AE0A2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111C1BF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1,1,2,2-四氯乙烷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47A83FB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056979F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4" w:space="0"/>
            </w:tcBorders>
            <w:noWrap w:val="0"/>
            <w:vAlign w:val="center"/>
          </w:tcPr>
          <w:p w14:paraId="0E8C89C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6.8</w:t>
            </w:r>
          </w:p>
        </w:tc>
      </w:tr>
      <w:tr w14:paraId="5DDAEE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08F9935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四氯乙烯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5324A29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5399F12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1.4L</w:t>
            </w:r>
          </w:p>
        </w:tc>
        <w:tc>
          <w:tcPr>
            <w:tcW w:w="1322" w:type="dxa"/>
            <w:tcBorders>
              <w:top w:val="single" w:color="000000" w:sz="4" w:space="0"/>
              <w:left w:val="single" w:color="000000" w:sz="4" w:space="0"/>
              <w:bottom w:val="single" w:color="000000" w:sz="4" w:space="0"/>
            </w:tcBorders>
            <w:noWrap w:val="0"/>
            <w:vAlign w:val="center"/>
          </w:tcPr>
          <w:p w14:paraId="7233194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53</w:t>
            </w:r>
          </w:p>
        </w:tc>
      </w:tr>
      <w:tr w14:paraId="1E3137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47C7F71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1,1,1-三氯乙烷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26B906F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2EAF545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322" w:type="dxa"/>
            <w:tcBorders>
              <w:top w:val="single" w:color="000000" w:sz="4" w:space="0"/>
              <w:left w:val="single" w:color="000000" w:sz="4" w:space="0"/>
              <w:bottom w:val="single" w:color="000000" w:sz="4" w:space="0"/>
            </w:tcBorders>
            <w:noWrap w:val="0"/>
            <w:vAlign w:val="center"/>
          </w:tcPr>
          <w:p w14:paraId="5B51530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840</w:t>
            </w:r>
          </w:p>
        </w:tc>
      </w:tr>
      <w:tr w14:paraId="5EE12B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7C26683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1,1,2-三氯乙烷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23D3106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277598E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4" w:space="0"/>
            </w:tcBorders>
            <w:noWrap w:val="0"/>
            <w:vAlign w:val="center"/>
          </w:tcPr>
          <w:p w14:paraId="31C8AB1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2.8</w:t>
            </w:r>
          </w:p>
        </w:tc>
      </w:tr>
      <w:tr w14:paraId="2CA28A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73FAAEA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三氯乙烯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B1EEC1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B6079F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4" w:space="0"/>
            </w:tcBorders>
            <w:noWrap w:val="0"/>
            <w:vAlign w:val="center"/>
          </w:tcPr>
          <w:p w14:paraId="4D0C5CF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2.8</w:t>
            </w:r>
          </w:p>
        </w:tc>
      </w:tr>
      <w:tr w14:paraId="4901F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26807A4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1,2,3-三氯丙烷</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8793A4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7C27EB3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4" w:space="0"/>
            </w:tcBorders>
            <w:noWrap w:val="0"/>
            <w:vAlign w:val="center"/>
          </w:tcPr>
          <w:p w14:paraId="78B59ED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0.5</w:t>
            </w:r>
          </w:p>
        </w:tc>
      </w:tr>
      <w:tr w14:paraId="6C85A9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50C6E8A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氯乙烯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67D5E8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58EC97D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1.0L</w:t>
            </w:r>
          </w:p>
        </w:tc>
        <w:tc>
          <w:tcPr>
            <w:tcW w:w="1322" w:type="dxa"/>
            <w:tcBorders>
              <w:top w:val="single" w:color="000000" w:sz="4" w:space="0"/>
              <w:left w:val="single" w:color="000000" w:sz="4" w:space="0"/>
              <w:bottom w:val="single" w:color="000000" w:sz="4" w:space="0"/>
            </w:tcBorders>
            <w:noWrap w:val="0"/>
            <w:vAlign w:val="center"/>
          </w:tcPr>
          <w:p w14:paraId="7B5F8F9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0.43</w:t>
            </w:r>
          </w:p>
        </w:tc>
      </w:tr>
      <w:tr w14:paraId="1E2C0D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47883A7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4EF097C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4F23E4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1.9L</w:t>
            </w:r>
          </w:p>
        </w:tc>
        <w:tc>
          <w:tcPr>
            <w:tcW w:w="1322" w:type="dxa"/>
            <w:tcBorders>
              <w:top w:val="single" w:color="000000" w:sz="4" w:space="0"/>
              <w:left w:val="single" w:color="000000" w:sz="4" w:space="0"/>
              <w:bottom w:val="single" w:color="000000" w:sz="4" w:space="0"/>
            </w:tcBorders>
            <w:noWrap w:val="0"/>
            <w:vAlign w:val="center"/>
          </w:tcPr>
          <w:p w14:paraId="7C162FE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w:t>
            </w:r>
          </w:p>
        </w:tc>
      </w:tr>
      <w:tr w14:paraId="42B6A0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413912A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氯苯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5ACDF70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23014D5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4" w:space="0"/>
            </w:tcBorders>
            <w:noWrap w:val="0"/>
            <w:vAlign w:val="center"/>
          </w:tcPr>
          <w:p w14:paraId="7C3F114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270</w:t>
            </w:r>
          </w:p>
        </w:tc>
      </w:tr>
      <w:tr w14:paraId="24F16C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378DBD4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1,2-二氯苯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9B5C83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00DD808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322" w:type="dxa"/>
            <w:tcBorders>
              <w:top w:val="single" w:color="000000" w:sz="4" w:space="0"/>
              <w:left w:val="single" w:color="000000" w:sz="4" w:space="0"/>
              <w:bottom w:val="single" w:color="000000" w:sz="4" w:space="0"/>
            </w:tcBorders>
            <w:noWrap w:val="0"/>
            <w:vAlign w:val="center"/>
          </w:tcPr>
          <w:p w14:paraId="1AD1F61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560</w:t>
            </w:r>
          </w:p>
        </w:tc>
      </w:tr>
      <w:tr w14:paraId="152F87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7F2677C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1,4-二氯苯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563B103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0C35B59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1.5L</w:t>
            </w:r>
          </w:p>
        </w:tc>
        <w:tc>
          <w:tcPr>
            <w:tcW w:w="1322" w:type="dxa"/>
            <w:tcBorders>
              <w:top w:val="single" w:color="000000" w:sz="4" w:space="0"/>
              <w:left w:val="single" w:color="000000" w:sz="4" w:space="0"/>
              <w:bottom w:val="single" w:color="000000" w:sz="4" w:space="0"/>
            </w:tcBorders>
            <w:noWrap w:val="0"/>
            <w:vAlign w:val="center"/>
          </w:tcPr>
          <w:p w14:paraId="7C3DD4F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20</w:t>
            </w:r>
          </w:p>
        </w:tc>
      </w:tr>
      <w:tr w14:paraId="62ABF7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2F74A04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乙苯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6670BB1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110536A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4" w:space="0"/>
            </w:tcBorders>
            <w:noWrap w:val="0"/>
            <w:vAlign w:val="center"/>
          </w:tcPr>
          <w:p w14:paraId="4FB2BA2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28</w:t>
            </w:r>
          </w:p>
        </w:tc>
      </w:tr>
      <w:tr w14:paraId="73D21B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2021" w:type="dxa"/>
            <w:tcBorders>
              <w:top w:val="single" w:color="000000" w:sz="4" w:space="0"/>
              <w:bottom w:val="single" w:color="000000" w:sz="4" w:space="0"/>
              <w:right w:val="single" w:color="000000" w:sz="4" w:space="0"/>
            </w:tcBorders>
            <w:noWrap w:val="0"/>
            <w:vAlign w:val="center"/>
          </w:tcPr>
          <w:p w14:paraId="5D1E8E3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苯乙烯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6B4FAD6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579150A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1.1L</w:t>
            </w:r>
          </w:p>
        </w:tc>
        <w:tc>
          <w:tcPr>
            <w:tcW w:w="1322" w:type="dxa"/>
            <w:tcBorders>
              <w:top w:val="single" w:color="000000" w:sz="4" w:space="0"/>
              <w:left w:val="single" w:color="000000" w:sz="4" w:space="0"/>
              <w:bottom w:val="single" w:color="000000" w:sz="4" w:space="0"/>
            </w:tcBorders>
            <w:noWrap w:val="0"/>
            <w:vAlign w:val="center"/>
          </w:tcPr>
          <w:p w14:paraId="04DF9C5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1290</w:t>
            </w:r>
          </w:p>
        </w:tc>
      </w:tr>
      <w:tr w14:paraId="6D2ADF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574F2BE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甲苯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4240545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179DB21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1.3L</w:t>
            </w:r>
          </w:p>
        </w:tc>
        <w:tc>
          <w:tcPr>
            <w:tcW w:w="1322" w:type="dxa"/>
            <w:tcBorders>
              <w:top w:val="single" w:color="000000" w:sz="4" w:space="0"/>
              <w:left w:val="single" w:color="000000" w:sz="4" w:space="0"/>
              <w:bottom w:val="single" w:color="000000" w:sz="4" w:space="0"/>
            </w:tcBorders>
            <w:noWrap w:val="0"/>
            <w:vAlign w:val="center"/>
          </w:tcPr>
          <w:p w14:paraId="4BFC0DF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1200</w:t>
            </w:r>
          </w:p>
        </w:tc>
      </w:tr>
      <w:tr w14:paraId="5BFDAC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7AE5723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间二甲苯+对二甲苯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82A332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6896944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4" w:space="0"/>
            </w:tcBorders>
            <w:noWrap w:val="0"/>
            <w:vAlign w:val="center"/>
          </w:tcPr>
          <w:p w14:paraId="645966B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570</w:t>
            </w:r>
          </w:p>
        </w:tc>
      </w:tr>
      <w:tr w14:paraId="3718B0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7247810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邻二甲苯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6A3FC18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μg/kg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20DA0F2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1.2L</w:t>
            </w:r>
          </w:p>
        </w:tc>
        <w:tc>
          <w:tcPr>
            <w:tcW w:w="1322" w:type="dxa"/>
            <w:tcBorders>
              <w:top w:val="single" w:color="000000" w:sz="4" w:space="0"/>
              <w:left w:val="single" w:color="000000" w:sz="4" w:space="0"/>
              <w:bottom w:val="single" w:color="000000" w:sz="4" w:space="0"/>
            </w:tcBorders>
            <w:noWrap w:val="0"/>
            <w:vAlign w:val="center"/>
          </w:tcPr>
          <w:p w14:paraId="5B527EB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640</w:t>
            </w:r>
          </w:p>
        </w:tc>
      </w:tr>
      <w:tr w14:paraId="33BC43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3DC90EA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硝基苯</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053873E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50A8F20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0.09L</w:t>
            </w:r>
          </w:p>
        </w:tc>
        <w:tc>
          <w:tcPr>
            <w:tcW w:w="1322" w:type="dxa"/>
            <w:tcBorders>
              <w:top w:val="single" w:color="000000" w:sz="4" w:space="0"/>
              <w:left w:val="single" w:color="000000" w:sz="4" w:space="0"/>
              <w:bottom w:val="single" w:color="000000" w:sz="4" w:space="0"/>
            </w:tcBorders>
            <w:noWrap w:val="0"/>
            <w:vAlign w:val="center"/>
          </w:tcPr>
          <w:p w14:paraId="5ABAB50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76</w:t>
            </w:r>
          </w:p>
        </w:tc>
      </w:tr>
      <w:tr w14:paraId="3DE7F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0F27352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苯胺</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44D6907A">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1FB621D6">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未检出</w:t>
            </w:r>
          </w:p>
        </w:tc>
        <w:tc>
          <w:tcPr>
            <w:tcW w:w="1322" w:type="dxa"/>
            <w:tcBorders>
              <w:top w:val="single" w:color="000000" w:sz="4" w:space="0"/>
              <w:left w:val="single" w:color="000000" w:sz="4" w:space="0"/>
              <w:bottom w:val="single" w:color="000000" w:sz="4" w:space="0"/>
            </w:tcBorders>
            <w:noWrap w:val="0"/>
            <w:vAlign w:val="center"/>
          </w:tcPr>
          <w:p w14:paraId="23D91BD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260</w:t>
            </w:r>
          </w:p>
        </w:tc>
      </w:tr>
      <w:tr w14:paraId="52306F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653BE63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2-氯酚</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3AF1924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2024C0F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0.06L</w:t>
            </w:r>
          </w:p>
        </w:tc>
        <w:tc>
          <w:tcPr>
            <w:tcW w:w="1322" w:type="dxa"/>
            <w:tcBorders>
              <w:top w:val="single" w:color="000000" w:sz="4" w:space="0"/>
              <w:left w:val="single" w:color="000000" w:sz="4" w:space="0"/>
              <w:bottom w:val="single" w:color="000000" w:sz="4" w:space="0"/>
            </w:tcBorders>
            <w:noWrap w:val="0"/>
            <w:vAlign w:val="center"/>
          </w:tcPr>
          <w:p w14:paraId="2DFCD7E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2256</w:t>
            </w:r>
          </w:p>
        </w:tc>
      </w:tr>
      <w:tr w14:paraId="05FD0B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74997EE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苯并[a]蒽</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68B084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37AC4F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322" w:type="dxa"/>
            <w:tcBorders>
              <w:top w:val="single" w:color="000000" w:sz="4" w:space="0"/>
              <w:left w:val="single" w:color="000000" w:sz="4" w:space="0"/>
              <w:bottom w:val="single" w:color="000000" w:sz="4" w:space="0"/>
            </w:tcBorders>
            <w:noWrap w:val="0"/>
            <w:vAlign w:val="center"/>
          </w:tcPr>
          <w:p w14:paraId="172F6AF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5D7534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04F104A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苯并[a]芘</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6426FD9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7E10179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322" w:type="dxa"/>
            <w:tcBorders>
              <w:top w:val="single" w:color="000000" w:sz="4" w:space="0"/>
              <w:left w:val="single" w:color="000000" w:sz="4" w:space="0"/>
              <w:bottom w:val="single" w:color="000000" w:sz="4" w:space="0"/>
            </w:tcBorders>
            <w:noWrap w:val="0"/>
            <w:vAlign w:val="center"/>
          </w:tcPr>
          <w:p w14:paraId="29FE15C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1A5DA7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6829448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苯并[b]荧蒽</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2C7C6A5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1BFA580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0.2L</w:t>
            </w:r>
          </w:p>
        </w:tc>
        <w:tc>
          <w:tcPr>
            <w:tcW w:w="1322" w:type="dxa"/>
            <w:tcBorders>
              <w:top w:val="single" w:color="000000" w:sz="4" w:space="0"/>
              <w:left w:val="single" w:color="000000" w:sz="4" w:space="0"/>
              <w:bottom w:val="single" w:color="000000" w:sz="4" w:space="0"/>
            </w:tcBorders>
            <w:noWrap w:val="0"/>
            <w:vAlign w:val="center"/>
          </w:tcPr>
          <w:p w14:paraId="3BBF04D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486D93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5ECFB5A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苯并[k]荧蒽</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FB76CB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020CC2D5">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322" w:type="dxa"/>
            <w:tcBorders>
              <w:top w:val="single" w:color="000000" w:sz="4" w:space="0"/>
              <w:left w:val="single" w:color="000000" w:sz="4" w:space="0"/>
              <w:bottom w:val="single" w:color="000000" w:sz="4" w:space="0"/>
            </w:tcBorders>
            <w:noWrap w:val="0"/>
            <w:vAlign w:val="center"/>
          </w:tcPr>
          <w:p w14:paraId="083F64B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151</w:t>
            </w:r>
          </w:p>
        </w:tc>
      </w:tr>
      <w:tr w14:paraId="333881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186AFEC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䓛</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0D1C160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7474B83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322" w:type="dxa"/>
            <w:tcBorders>
              <w:top w:val="single" w:color="000000" w:sz="4" w:space="0"/>
              <w:left w:val="single" w:color="000000" w:sz="4" w:space="0"/>
              <w:bottom w:val="single" w:color="000000" w:sz="4" w:space="0"/>
            </w:tcBorders>
            <w:noWrap w:val="0"/>
            <w:vAlign w:val="center"/>
          </w:tcPr>
          <w:p w14:paraId="7744A95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1293</w:t>
            </w:r>
          </w:p>
        </w:tc>
      </w:tr>
      <w:tr w14:paraId="16A6F5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7F90616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二苯并[a,h]蒽</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49BFE5E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65BBF04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322" w:type="dxa"/>
            <w:tcBorders>
              <w:top w:val="single" w:color="000000" w:sz="4" w:space="0"/>
              <w:left w:val="single" w:color="000000" w:sz="4" w:space="0"/>
              <w:bottom w:val="single" w:color="000000" w:sz="4" w:space="0"/>
            </w:tcBorders>
            <w:noWrap w:val="0"/>
            <w:vAlign w:val="center"/>
          </w:tcPr>
          <w:p w14:paraId="6266C59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67D069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1175933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茚并[1,2,3-cd]芘</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4EEDA16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31402B82">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0.1L</w:t>
            </w:r>
          </w:p>
        </w:tc>
        <w:tc>
          <w:tcPr>
            <w:tcW w:w="1322" w:type="dxa"/>
            <w:tcBorders>
              <w:top w:val="single" w:color="000000" w:sz="4" w:space="0"/>
              <w:left w:val="single" w:color="000000" w:sz="4" w:space="0"/>
              <w:bottom w:val="single" w:color="000000" w:sz="4" w:space="0"/>
            </w:tcBorders>
            <w:noWrap w:val="0"/>
            <w:vAlign w:val="center"/>
          </w:tcPr>
          <w:p w14:paraId="42233824">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15</w:t>
            </w:r>
          </w:p>
        </w:tc>
      </w:tr>
      <w:tr w14:paraId="45E68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2BA3B09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萘</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09175E50">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62CEC6D8">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0.09L</w:t>
            </w:r>
          </w:p>
        </w:tc>
        <w:tc>
          <w:tcPr>
            <w:tcW w:w="1322" w:type="dxa"/>
            <w:tcBorders>
              <w:top w:val="single" w:color="000000" w:sz="4" w:space="0"/>
              <w:left w:val="single" w:color="000000" w:sz="4" w:space="0"/>
              <w:bottom w:val="single" w:color="000000" w:sz="4" w:space="0"/>
            </w:tcBorders>
            <w:noWrap w:val="0"/>
            <w:vAlign w:val="center"/>
          </w:tcPr>
          <w:p w14:paraId="1745007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70</w:t>
            </w:r>
          </w:p>
        </w:tc>
      </w:tr>
      <w:tr w14:paraId="53A847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4A9DAF4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石油烃</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72086307">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mg/kg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4FD9B35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6L</w:t>
            </w:r>
          </w:p>
        </w:tc>
        <w:tc>
          <w:tcPr>
            <w:tcW w:w="1322" w:type="dxa"/>
            <w:tcBorders>
              <w:top w:val="single" w:color="000000" w:sz="4" w:space="0"/>
              <w:left w:val="single" w:color="000000" w:sz="4" w:space="0"/>
              <w:bottom w:val="single" w:color="000000" w:sz="4" w:space="0"/>
            </w:tcBorders>
            <w:noWrap w:val="0"/>
            <w:vAlign w:val="center"/>
          </w:tcPr>
          <w:p w14:paraId="26F8D94D">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4500</w:t>
            </w:r>
          </w:p>
        </w:tc>
      </w:tr>
      <w:tr w14:paraId="37A37A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0BDE77C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阳离子交换量</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1AADD5EB">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cmol+ /kg</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7E0DE64C">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5.0</w:t>
            </w:r>
          </w:p>
        </w:tc>
        <w:tc>
          <w:tcPr>
            <w:tcW w:w="1322" w:type="dxa"/>
            <w:tcBorders>
              <w:top w:val="single" w:color="000000" w:sz="4" w:space="0"/>
              <w:left w:val="single" w:color="000000" w:sz="4" w:space="0"/>
              <w:bottom w:val="single" w:color="000000" w:sz="4" w:space="0"/>
            </w:tcBorders>
            <w:noWrap w:val="0"/>
            <w:vAlign w:val="center"/>
          </w:tcPr>
          <w:p w14:paraId="260918B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4868CD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4" w:space="0"/>
              <w:right w:val="single" w:color="000000" w:sz="4" w:space="0"/>
            </w:tcBorders>
            <w:noWrap w:val="0"/>
            <w:vAlign w:val="center"/>
          </w:tcPr>
          <w:p w14:paraId="420C4E5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氧化还原电位</w:t>
            </w:r>
          </w:p>
        </w:tc>
        <w:tc>
          <w:tcPr>
            <w:tcW w:w="1434" w:type="dxa"/>
            <w:tcBorders>
              <w:top w:val="single" w:color="000000" w:sz="4" w:space="0"/>
              <w:left w:val="single" w:color="000000" w:sz="4" w:space="0"/>
              <w:bottom w:val="single" w:color="000000" w:sz="4" w:space="0"/>
              <w:right w:val="single" w:color="000000" w:sz="4" w:space="0"/>
            </w:tcBorders>
            <w:noWrap w:val="0"/>
            <w:vAlign w:val="center"/>
          </w:tcPr>
          <w:p w14:paraId="7380CA9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mV</w:t>
            </w:r>
          </w:p>
        </w:tc>
        <w:tc>
          <w:tcPr>
            <w:tcW w:w="3745" w:type="dxa"/>
            <w:tcBorders>
              <w:top w:val="single" w:color="000000" w:sz="4" w:space="0"/>
              <w:left w:val="single" w:color="000000" w:sz="4" w:space="0"/>
              <w:bottom w:val="single" w:color="000000" w:sz="4" w:space="0"/>
              <w:right w:val="single" w:color="000000" w:sz="4" w:space="0"/>
            </w:tcBorders>
            <w:noWrap w:val="0"/>
            <w:vAlign w:val="center"/>
          </w:tcPr>
          <w:p w14:paraId="358D110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210</w:t>
            </w:r>
          </w:p>
        </w:tc>
        <w:tc>
          <w:tcPr>
            <w:tcW w:w="1322" w:type="dxa"/>
            <w:tcBorders>
              <w:top w:val="single" w:color="000000" w:sz="4" w:space="0"/>
              <w:left w:val="single" w:color="000000" w:sz="4" w:space="0"/>
              <w:bottom w:val="single" w:color="000000" w:sz="4" w:space="0"/>
            </w:tcBorders>
            <w:noWrap w:val="0"/>
            <w:vAlign w:val="center"/>
          </w:tcPr>
          <w:p w14:paraId="3D8660AF">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r w14:paraId="4AECE7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021" w:type="dxa"/>
            <w:tcBorders>
              <w:top w:val="single" w:color="000000" w:sz="4" w:space="0"/>
              <w:bottom w:val="single" w:color="000000" w:sz="12" w:space="0"/>
              <w:right w:val="single" w:color="000000" w:sz="4" w:space="0"/>
            </w:tcBorders>
            <w:noWrap w:val="0"/>
            <w:vAlign w:val="center"/>
          </w:tcPr>
          <w:p w14:paraId="5E866B51">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容重</w:t>
            </w:r>
          </w:p>
        </w:tc>
        <w:tc>
          <w:tcPr>
            <w:tcW w:w="1434" w:type="dxa"/>
            <w:tcBorders>
              <w:top w:val="single" w:color="000000" w:sz="4" w:space="0"/>
              <w:left w:val="single" w:color="000000" w:sz="4" w:space="0"/>
              <w:bottom w:val="single" w:color="000000" w:sz="12" w:space="0"/>
              <w:right w:val="single" w:color="000000" w:sz="4" w:space="0"/>
            </w:tcBorders>
            <w:noWrap w:val="0"/>
            <w:vAlign w:val="center"/>
          </w:tcPr>
          <w:p w14:paraId="1A407AE3">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g/cm3</w:t>
            </w:r>
          </w:p>
        </w:tc>
        <w:tc>
          <w:tcPr>
            <w:tcW w:w="3745" w:type="dxa"/>
            <w:tcBorders>
              <w:top w:val="single" w:color="000000" w:sz="4" w:space="0"/>
              <w:left w:val="single" w:color="000000" w:sz="4" w:space="0"/>
              <w:bottom w:val="single" w:color="000000" w:sz="12" w:space="0"/>
              <w:right w:val="single" w:color="000000" w:sz="4" w:space="0"/>
            </w:tcBorders>
            <w:noWrap w:val="0"/>
            <w:vAlign w:val="center"/>
          </w:tcPr>
          <w:p w14:paraId="23C5579E">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1.07</w:t>
            </w:r>
          </w:p>
        </w:tc>
        <w:tc>
          <w:tcPr>
            <w:tcW w:w="1322" w:type="dxa"/>
            <w:tcBorders>
              <w:top w:val="single" w:color="000000" w:sz="4" w:space="0"/>
              <w:left w:val="single" w:color="000000" w:sz="4" w:space="0"/>
              <w:bottom w:val="single" w:color="000000" w:sz="12" w:space="0"/>
            </w:tcBorders>
            <w:noWrap w:val="0"/>
            <w:vAlign w:val="center"/>
          </w:tcPr>
          <w:p w14:paraId="259C5549">
            <w:pPr>
              <w:keepNext w:val="0"/>
              <w:keepLines w:val="0"/>
              <w:suppressLineNumbers w:val="0"/>
              <w:wordWrap/>
              <w:adjustRightInd/>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spacing w:val="-4"/>
                <w:sz w:val="21"/>
                <w:szCs w:val="21"/>
                <w:highlight w:val="none"/>
              </w:rPr>
            </w:pPr>
            <w:r>
              <w:rPr>
                <w:rFonts w:hint="eastAsia" w:ascii="Times New Roman" w:hAnsi="Times New Roman" w:eastAsia="宋体" w:cs="Times New Roman"/>
                <w:b w:val="0"/>
                <w:bCs/>
                <w:spacing w:val="-4"/>
                <w:sz w:val="21"/>
                <w:szCs w:val="21"/>
                <w:highlight w:val="none"/>
              </w:rPr>
              <w:t>/</w:t>
            </w:r>
          </w:p>
        </w:tc>
      </w:tr>
    </w:tbl>
    <w:p w14:paraId="7AFFFEE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Autospacing="0" w:line="240" w:lineRule="auto"/>
        <w:ind w:left="0" w:right="0" w:firstLine="0" w:firstLineChars="0"/>
        <w:jc w:val="both"/>
        <w:textAlignment w:val="auto"/>
        <w:outlineLvl w:val="9"/>
        <w:rPr>
          <w:rFonts w:ascii="Times New Roman" w:hAnsi="Times New Roman" w:eastAsia="宋体" w:cs="Times New Roman"/>
          <w:b/>
          <w:sz w:val="18"/>
          <w:szCs w:val="18"/>
          <w:highlight w:val="none"/>
        </w:rPr>
      </w:pPr>
      <w:r>
        <w:rPr>
          <w:rFonts w:ascii="Times New Roman" w:hAnsi="Times New Roman" w:eastAsia="宋体" w:cs="Times New Roman"/>
          <w:b/>
          <w:sz w:val="18"/>
          <w:szCs w:val="18"/>
          <w:highlight w:val="none"/>
        </w:rPr>
        <w:t>注：L为低于检出限。</w:t>
      </w:r>
    </w:p>
    <w:p w14:paraId="65FD95AC">
      <w:pPr>
        <w:pStyle w:val="6"/>
        <w:bidi w:val="0"/>
        <w:rPr>
          <w:rFonts w:hint="default"/>
          <w:highlight w:val="none"/>
          <w:lang w:val="en-US"/>
        </w:rPr>
      </w:pPr>
      <w:r>
        <w:rPr>
          <w:rFonts w:hint="default"/>
          <w:highlight w:val="none"/>
          <w:lang w:val="en-US" w:eastAsia="zh-CN"/>
        </w:rPr>
        <w:t>4.2.5.2</w:t>
      </w:r>
      <w:r>
        <w:rPr>
          <w:rFonts w:hint="eastAsia"/>
          <w:highlight w:val="none"/>
          <w:lang w:val="en-US" w:eastAsia="zh-CN"/>
        </w:rPr>
        <w:t>评价方法</w:t>
      </w:r>
      <w:bookmarkEnd w:id="332"/>
    </w:p>
    <w:p w14:paraId="496AFA9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jc w:val="both"/>
        <w:textAlignment w:val="auto"/>
        <w:outlineLvl w:val="9"/>
        <w:rPr>
          <w:rFonts w:hint="default" w:ascii="Times New Roman" w:hAnsi="Times New Roman" w:cs="Times New Roman"/>
          <w:snapToGrid w:val="0"/>
          <w:kern w:val="24"/>
          <w:highlight w:val="none"/>
          <w:lang w:val="en-US"/>
        </w:rPr>
      </w:pPr>
      <w:bookmarkStart w:id="338" w:name="_Toc27428"/>
      <w:r>
        <w:rPr>
          <w:rFonts w:hint="eastAsia" w:ascii="Times New Roman" w:hAnsi="Times New Roman" w:eastAsia="宋体" w:cs="宋体"/>
          <w:snapToGrid w:val="0"/>
          <w:kern w:val="24"/>
          <w:sz w:val="24"/>
          <w:szCs w:val="24"/>
          <w:highlight w:val="none"/>
          <w:lang w:val="en-US" w:eastAsia="zh-CN" w:bidi="ar"/>
        </w:rPr>
        <w:t>土壤质量评价采用单因子标准指数法进行评价。</w:t>
      </w:r>
      <w:bookmarkEnd w:id="338"/>
    </w:p>
    <w:p w14:paraId="4502852D">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jc w:val="both"/>
        <w:textAlignment w:val="auto"/>
        <w:outlineLvl w:val="9"/>
        <w:rPr>
          <w:rFonts w:hint="default" w:ascii="Times New Roman" w:hAnsi="Times New Roman" w:cs="Times New Roman"/>
          <w:snapToGrid w:val="0"/>
          <w:kern w:val="24"/>
          <w:highlight w:val="none"/>
          <w:lang w:val="en-US"/>
        </w:rPr>
      </w:pPr>
      <w:bookmarkStart w:id="339" w:name="_Toc32335"/>
      <w:r>
        <w:rPr>
          <w:rFonts w:hint="eastAsia" w:ascii="Times New Roman" w:hAnsi="Times New Roman" w:eastAsia="宋体" w:cs="宋体"/>
          <w:snapToGrid w:val="0"/>
          <w:kern w:val="24"/>
          <w:sz w:val="24"/>
          <w:szCs w:val="24"/>
          <w:highlight w:val="none"/>
          <w:lang w:val="en-US" w:eastAsia="zh-CN" w:bidi="ar"/>
        </w:rPr>
        <w:t>单因子标准指数法评价公式如下：</w:t>
      </w:r>
      <w:bookmarkEnd w:id="339"/>
    </w:p>
    <w:p w14:paraId="3E2D6A14">
      <w:pPr>
        <w:bidi w:val="0"/>
        <w:jc w:val="center"/>
        <w:rPr>
          <w:rFonts w:hint="default"/>
          <w:highlight w:val="none"/>
          <w:lang w:val="en-US"/>
        </w:rPr>
      </w:pPr>
      <w:bookmarkStart w:id="340" w:name="_Toc22980"/>
      <w:bookmarkStart w:id="341" w:name="_Toc483218424"/>
      <w:r>
        <w:rPr>
          <w:rFonts w:hint="default"/>
          <w:highlight w:val="none"/>
          <w:lang w:val="en-US" w:eastAsia="zh-CN"/>
        </w:rPr>
        <w:t>Pi=Ci/Si</w:t>
      </w:r>
      <w:bookmarkEnd w:id="340"/>
      <w:bookmarkEnd w:id="341"/>
    </w:p>
    <w:p w14:paraId="4ECFE4A6">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jc w:val="both"/>
        <w:textAlignment w:val="auto"/>
        <w:outlineLvl w:val="9"/>
        <w:rPr>
          <w:rFonts w:hint="default" w:ascii="Times New Roman" w:hAnsi="Times New Roman" w:cs="Times New Roman"/>
          <w:snapToGrid w:val="0"/>
          <w:kern w:val="24"/>
          <w:highlight w:val="none"/>
          <w:lang w:val="en-US"/>
        </w:rPr>
      </w:pPr>
      <w:bookmarkStart w:id="342" w:name="_Toc7988"/>
      <w:r>
        <w:rPr>
          <w:rFonts w:hint="eastAsia" w:ascii="Times New Roman" w:hAnsi="Times New Roman" w:eastAsia="宋体" w:cs="宋体"/>
          <w:snapToGrid w:val="0"/>
          <w:kern w:val="24"/>
          <w:sz w:val="24"/>
          <w:szCs w:val="24"/>
          <w:highlight w:val="none"/>
          <w:lang w:val="en-US" w:eastAsia="zh-CN" w:bidi="ar"/>
        </w:rPr>
        <w:t>式中：</w:t>
      </w:r>
      <w:r>
        <w:rPr>
          <w:rFonts w:hint="default" w:ascii="Times New Roman" w:hAnsi="Times New Roman" w:eastAsia="宋体" w:cs="Times New Roman"/>
          <w:snapToGrid w:val="0"/>
          <w:kern w:val="24"/>
          <w:sz w:val="24"/>
          <w:szCs w:val="24"/>
          <w:highlight w:val="none"/>
          <w:lang w:val="en-US" w:eastAsia="zh-CN" w:bidi="ar"/>
        </w:rPr>
        <w:t>Pi――</w:t>
      </w:r>
      <w:r>
        <w:rPr>
          <w:rFonts w:hint="eastAsia" w:ascii="Times New Roman" w:hAnsi="Times New Roman" w:eastAsia="宋体" w:cs="宋体"/>
          <w:snapToGrid w:val="0"/>
          <w:kern w:val="24"/>
          <w:sz w:val="24"/>
          <w:szCs w:val="24"/>
          <w:highlight w:val="none"/>
          <w:lang w:val="en-US" w:eastAsia="zh-CN" w:bidi="ar"/>
        </w:rPr>
        <w:t>土壤污染物的标准指数，标准指数大于</w:t>
      </w:r>
      <w:r>
        <w:rPr>
          <w:rFonts w:hint="default" w:ascii="Times New Roman" w:hAnsi="Times New Roman" w:eastAsia="宋体" w:cs="Times New Roman"/>
          <w:snapToGrid w:val="0"/>
          <w:kern w:val="24"/>
          <w:sz w:val="24"/>
          <w:szCs w:val="24"/>
          <w:highlight w:val="none"/>
          <w:lang w:val="en-US" w:eastAsia="zh-CN" w:bidi="ar"/>
        </w:rPr>
        <w:t>1</w:t>
      </w:r>
      <w:r>
        <w:rPr>
          <w:rFonts w:hint="eastAsia" w:ascii="Times New Roman" w:hAnsi="Times New Roman" w:eastAsia="宋体" w:cs="宋体"/>
          <w:snapToGrid w:val="0"/>
          <w:kern w:val="24"/>
          <w:sz w:val="24"/>
          <w:szCs w:val="24"/>
          <w:highlight w:val="none"/>
          <w:lang w:val="en-US" w:eastAsia="zh-CN" w:bidi="ar"/>
        </w:rPr>
        <w:t>，说明土壤已受到污染物的污染；</w:t>
      </w:r>
      <w:bookmarkEnd w:id="342"/>
    </w:p>
    <w:p w14:paraId="3EA6B13C">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jc w:val="both"/>
        <w:textAlignment w:val="auto"/>
        <w:outlineLvl w:val="9"/>
        <w:rPr>
          <w:rFonts w:hint="default" w:ascii="Times New Roman" w:hAnsi="Times New Roman" w:cs="Times New Roman"/>
          <w:snapToGrid w:val="0"/>
          <w:kern w:val="24"/>
          <w:highlight w:val="none"/>
          <w:lang w:val="en-US"/>
        </w:rPr>
      </w:pPr>
      <w:bookmarkStart w:id="343" w:name="_Toc17258"/>
      <w:r>
        <w:rPr>
          <w:rFonts w:hint="default" w:ascii="Times New Roman" w:hAnsi="Times New Roman" w:eastAsia="宋体" w:cs="Times New Roman"/>
          <w:snapToGrid w:val="0"/>
          <w:kern w:val="24"/>
          <w:sz w:val="24"/>
          <w:szCs w:val="24"/>
          <w:highlight w:val="none"/>
          <w:lang w:val="en-US" w:eastAsia="zh-CN" w:bidi="ar"/>
        </w:rPr>
        <w:t>Ci――</w:t>
      </w:r>
      <w:r>
        <w:rPr>
          <w:rFonts w:hint="eastAsia" w:ascii="Times New Roman" w:hAnsi="Times New Roman" w:eastAsia="宋体" w:cs="宋体"/>
          <w:snapToGrid w:val="0"/>
          <w:kern w:val="24"/>
          <w:sz w:val="24"/>
          <w:szCs w:val="24"/>
          <w:highlight w:val="none"/>
          <w:lang w:val="en-US" w:eastAsia="zh-CN" w:bidi="ar"/>
        </w:rPr>
        <w:t>土壤中污染物的含量，</w:t>
      </w:r>
      <w:r>
        <w:rPr>
          <w:rFonts w:hint="default" w:ascii="Times New Roman" w:hAnsi="Times New Roman" w:eastAsia="宋体" w:cs="Times New Roman"/>
          <w:snapToGrid w:val="0"/>
          <w:kern w:val="24"/>
          <w:sz w:val="24"/>
          <w:szCs w:val="24"/>
          <w:highlight w:val="none"/>
          <w:lang w:val="en-US" w:eastAsia="zh-CN" w:bidi="ar"/>
        </w:rPr>
        <w:t>mg/kg</w:t>
      </w:r>
      <w:r>
        <w:rPr>
          <w:rFonts w:hint="eastAsia" w:ascii="Times New Roman" w:hAnsi="Times New Roman" w:eastAsia="宋体" w:cs="宋体"/>
          <w:snapToGrid w:val="0"/>
          <w:kern w:val="24"/>
          <w:sz w:val="24"/>
          <w:szCs w:val="24"/>
          <w:highlight w:val="none"/>
          <w:lang w:val="en-US" w:eastAsia="zh-CN" w:bidi="ar"/>
        </w:rPr>
        <w:t>；</w:t>
      </w:r>
      <w:bookmarkEnd w:id="343"/>
    </w:p>
    <w:p w14:paraId="0595763C">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jc w:val="both"/>
        <w:textAlignment w:val="auto"/>
        <w:outlineLvl w:val="9"/>
        <w:rPr>
          <w:rFonts w:hint="default" w:ascii="Times New Roman" w:hAnsi="Times New Roman" w:cs="Times New Roman"/>
          <w:snapToGrid w:val="0"/>
          <w:kern w:val="24"/>
          <w:highlight w:val="none"/>
          <w:lang w:val="en-US"/>
        </w:rPr>
      </w:pPr>
      <w:bookmarkStart w:id="344" w:name="_Toc17769"/>
      <w:r>
        <w:rPr>
          <w:rFonts w:hint="default" w:ascii="Times New Roman" w:hAnsi="Times New Roman" w:eastAsia="宋体" w:cs="Times New Roman"/>
          <w:snapToGrid w:val="0"/>
          <w:kern w:val="24"/>
          <w:sz w:val="24"/>
          <w:szCs w:val="24"/>
          <w:highlight w:val="none"/>
          <w:lang w:val="en-US" w:eastAsia="zh-CN" w:bidi="ar"/>
        </w:rPr>
        <w:t>Si――</w:t>
      </w:r>
      <w:r>
        <w:rPr>
          <w:rFonts w:hint="eastAsia" w:ascii="Times New Roman" w:hAnsi="Times New Roman" w:eastAsia="宋体" w:cs="宋体"/>
          <w:snapToGrid w:val="0"/>
          <w:kern w:val="24"/>
          <w:sz w:val="24"/>
          <w:szCs w:val="24"/>
          <w:highlight w:val="none"/>
          <w:lang w:val="en-US" w:eastAsia="zh-CN" w:bidi="ar"/>
        </w:rPr>
        <w:t>土壤质量标准，</w:t>
      </w:r>
      <w:r>
        <w:rPr>
          <w:rFonts w:hint="default" w:ascii="Times New Roman" w:hAnsi="Times New Roman" w:eastAsia="宋体" w:cs="Times New Roman"/>
          <w:snapToGrid w:val="0"/>
          <w:kern w:val="24"/>
          <w:sz w:val="24"/>
          <w:szCs w:val="24"/>
          <w:highlight w:val="none"/>
          <w:lang w:val="en-US" w:eastAsia="zh-CN" w:bidi="ar"/>
        </w:rPr>
        <w:t>mg/kg</w:t>
      </w:r>
      <w:r>
        <w:rPr>
          <w:rFonts w:hint="eastAsia" w:ascii="Times New Roman" w:hAnsi="Times New Roman" w:eastAsia="宋体" w:cs="宋体"/>
          <w:snapToGrid w:val="0"/>
          <w:kern w:val="24"/>
          <w:sz w:val="24"/>
          <w:szCs w:val="24"/>
          <w:highlight w:val="none"/>
          <w:lang w:val="en-US" w:eastAsia="zh-CN" w:bidi="ar"/>
        </w:rPr>
        <w:t>。</w:t>
      </w:r>
      <w:bookmarkEnd w:id="344"/>
    </w:p>
    <w:bookmarkEnd w:id="333"/>
    <w:bookmarkEnd w:id="334"/>
    <w:bookmarkEnd w:id="335"/>
    <w:bookmarkEnd w:id="336"/>
    <w:bookmarkEnd w:id="337"/>
    <w:p w14:paraId="18834AF1">
      <w:pPr>
        <w:pStyle w:val="6"/>
        <w:bidi w:val="0"/>
        <w:rPr>
          <w:rFonts w:hint="default"/>
          <w:highlight w:val="none"/>
          <w:lang w:val="en-US"/>
        </w:rPr>
      </w:pPr>
      <w:bookmarkStart w:id="345" w:name="_Toc20218"/>
      <w:r>
        <w:rPr>
          <w:rFonts w:hint="default"/>
          <w:highlight w:val="none"/>
          <w:lang w:val="en-US" w:eastAsia="zh-CN"/>
        </w:rPr>
        <w:t>4.2.5.3</w:t>
      </w:r>
      <w:r>
        <w:rPr>
          <w:rFonts w:hint="eastAsia"/>
          <w:highlight w:val="none"/>
          <w:lang w:val="en-US" w:eastAsia="zh-CN"/>
        </w:rPr>
        <w:t>评价标准</w:t>
      </w:r>
      <w:bookmarkEnd w:id="345"/>
    </w:p>
    <w:p w14:paraId="21FCB5B1">
      <w:pPr>
        <w:bidi w:val="0"/>
        <w:rPr>
          <w:rFonts w:hint="default"/>
          <w:highlight w:val="none"/>
          <w:lang w:val="en-US"/>
        </w:rPr>
      </w:pPr>
      <w:bookmarkStart w:id="346" w:name="_Toc12615"/>
      <w:r>
        <w:rPr>
          <w:rFonts w:hint="eastAsia"/>
          <w:highlight w:val="none"/>
          <w:lang w:val="en-US" w:eastAsia="zh-CN"/>
        </w:rPr>
        <w:t>土壤环境质量评价监测点位结果低于《土壤环境质量建设用地土壤污染风险管控标准（试行）》（</w:t>
      </w:r>
      <w:r>
        <w:rPr>
          <w:rFonts w:hint="default"/>
          <w:highlight w:val="none"/>
          <w:lang w:val="en-US" w:eastAsia="zh-CN"/>
        </w:rPr>
        <w:t>GB36600-2018</w:t>
      </w:r>
      <w:r>
        <w:rPr>
          <w:rFonts w:hint="eastAsia"/>
          <w:highlight w:val="none"/>
          <w:lang w:val="en-US" w:eastAsia="zh-CN"/>
        </w:rPr>
        <w:t>）第二类用地中的筛选值。</w:t>
      </w:r>
      <w:bookmarkEnd w:id="346"/>
    </w:p>
    <w:p w14:paraId="744F5F0F">
      <w:pPr>
        <w:pStyle w:val="6"/>
        <w:bidi w:val="0"/>
        <w:rPr>
          <w:rFonts w:hint="default"/>
          <w:highlight w:val="none"/>
          <w:lang w:val="en-US"/>
        </w:rPr>
      </w:pPr>
      <w:bookmarkStart w:id="347" w:name="_Toc17486"/>
      <w:r>
        <w:rPr>
          <w:rFonts w:hint="default"/>
          <w:highlight w:val="none"/>
          <w:lang w:val="en-US" w:eastAsia="zh-CN"/>
        </w:rPr>
        <w:t>4.2.5.4</w:t>
      </w:r>
      <w:r>
        <w:rPr>
          <w:rFonts w:hint="eastAsia"/>
          <w:highlight w:val="none"/>
          <w:lang w:val="en-US" w:eastAsia="zh-CN"/>
        </w:rPr>
        <w:t>监测分析统计结果及评价</w:t>
      </w:r>
      <w:bookmarkEnd w:id="347"/>
    </w:p>
    <w:p w14:paraId="45D43544">
      <w:pPr>
        <w:bidi w:val="0"/>
        <w:rPr>
          <w:rFonts w:hint="default"/>
          <w:highlight w:val="none"/>
          <w:lang w:val="en-US"/>
        </w:rPr>
      </w:pPr>
      <w:bookmarkStart w:id="348" w:name="_Toc30882"/>
      <w:r>
        <w:rPr>
          <w:rFonts w:hint="eastAsia"/>
          <w:highlight w:val="none"/>
          <w:lang w:val="en-US" w:eastAsia="zh-CN"/>
        </w:rPr>
        <w:t>土壤监测因子现状评价结果见下表。</w:t>
      </w:r>
      <w:bookmarkEnd w:id="348"/>
    </w:p>
    <w:p w14:paraId="7C15FBAC">
      <w:pPr>
        <w:pStyle w:val="7"/>
        <w:bidi w:val="0"/>
        <w:rPr>
          <w:rFonts w:hint="default"/>
          <w:highlight w:val="none"/>
          <w:lang w:val="en-US"/>
        </w:rPr>
      </w:pPr>
      <w:r>
        <w:rPr>
          <w:rFonts w:hint="eastAsia"/>
          <w:highlight w:val="none"/>
          <w:lang w:val="en-US" w:eastAsia="zh-CN"/>
        </w:rPr>
        <w:t>表</w:t>
      </w:r>
      <w:r>
        <w:rPr>
          <w:rFonts w:hint="default"/>
          <w:highlight w:val="none"/>
          <w:lang w:val="en-US" w:eastAsia="zh-CN"/>
        </w:rPr>
        <w:t>4-2-</w:t>
      </w:r>
      <w:r>
        <w:rPr>
          <w:rFonts w:hint="eastAsia"/>
          <w:highlight w:val="none"/>
          <w:lang w:val="en-US" w:eastAsia="zh-CN"/>
        </w:rPr>
        <w:t>20</w:t>
      </w:r>
      <w:r>
        <w:rPr>
          <w:rFonts w:hint="eastAsia"/>
          <w:highlight w:val="none"/>
        </w:rPr>
        <w:t>土壤</w:t>
      </w:r>
      <w:r>
        <w:rPr>
          <w:highlight w:val="none"/>
        </w:rPr>
        <w:t>现状评价因子统计结果</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2"/>
        <w:gridCol w:w="708"/>
        <w:gridCol w:w="3"/>
        <w:gridCol w:w="993"/>
        <w:gridCol w:w="3"/>
        <w:gridCol w:w="988"/>
        <w:gridCol w:w="3"/>
        <w:gridCol w:w="843"/>
        <w:gridCol w:w="3"/>
        <w:gridCol w:w="848"/>
        <w:gridCol w:w="3"/>
        <w:gridCol w:w="990"/>
        <w:gridCol w:w="3"/>
        <w:gridCol w:w="993"/>
        <w:gridCol w:w="1040"/>
      </w:tblGrid>
      <w:tr w14:paraId="4F35C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4" w:type="pct"/>
            <w:vAlign w:val="center"/>
          </w:tcPr>
          <w:p w14:paraId="1C6BE7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检测项目</w:t>
            </w:r>
          </w:p>
        </w:tc>
        <w:tc>
          <w:tcPr>
            <w:tcW w:w="416" w:type="pct"/>
            <w:gridSpan w:val="2"/>
            <w:vAlign w:val="center"/>
          </w:tcPr>
          <w:p w14:paraId="4C782C2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样本数量</w:t>
            </w:r>
          </w:p>
        </w:tc>
        <w:tc>
          <w:tcPr>
            <w:tcW w:w="584" w:type="pct"/>
            <w:gridSpan w:val="2"/>
            <w:vAlign w:val="center"/>
          </w:tcPr>
          <w:p w14:paraId="087864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最大值</w:t>
            </w:r>
          </w:p>
        </w:tc>
        <w:tc>
          <w:tcPr>
            <w:tcW w:w="581" w:type="pct"/>
            <w:gridSpan w:val="2"/>
            <w:vAlign w:val="center"/>
          </w:tcPr>
          <w:p w14:paraId="5D07CF9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最小值</w:t>
            </w:r>
          </w:p>
        </w:tc>
        <w:tc>
          <w:tcPr>
            <w:tcW w:w="496" w:type="pct"/>
            <w:gridSpan w:val="2"/>
            <w:vAlign w:val="center"/>
          </w:tcPr>
          <w:p w14:paraId="309490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均值</w:t>
            </w:r>
          </w:p>
        </w:tc>
        <w:tc>
          <w:tcPr>
            <w:tcW w:w="499" w:type="pct"/>
            <w:gridSpan w:val="2"/>
            <w:vAlign w:val="center"/>
          </w:tcPr>
          <w:p w14:paraId="16F657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标准差</w:t>
            </w:r>
          </w:p>
        </w:tc>
        <w:tc>
          <w:tcPr>
            <w:tcW w:w="582" w:type="pct"/>
            <w:gridSpan w:val="2"/>
            <w:vAlign w:val="center"/>
          </w:tcPr>
          <w:p w14:paraId="16DCA2F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检出率</w:t>
            </w:r>
          </w:p>
        </w:tc>
        <w:tc>
          <w:tcPr>
            <w:tcW w:w="583" w:type="pct"/>
            <w:gridSpan w:val="2"/>
            <w:vAlign w:val="center"/>
          </w:tcPr>
          <w:p w14:paraId="76FCB2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超标率</w:t>
            </w:r>
          </w:p>
        </w:tc>
        <w:tc>
          <w:tcPr>
            <w:tcW w:w="609" w:type="pct"/>
            <w:vAlign w:val="center"/>
          </w:tcPr>
          <w:p w14:paraId="3D15EA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最大超标倍数</w:t>
            </w:r>
          </w:p>
        </w:tc>
      </w:tr>
      <w:tr w14:paraId="063B6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4C5C9DA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pH</w:t>
            </w:r>
          </w:p>
        </w:tc>
        <w:tc>
          <w:tcPr>
            <w:tcW w:w="416" w:type="pct"/>
            <w:gridSpan w:val="2"/>
            <w:vAlign w:val="center"/>
          </w:tcPr>
          <w:p w14:paraId="7BDCEB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21</w:t>
            </w:r>
          </w:p>
        </w:tc>
        <w:tc>
          <w:tcPr>
            <w:tcW w:w="584" w:type="pct"/>
            <w:gridSpan w:val="2"/>
            <w:vAlign w:val="center"/>
          </w:tcPr>
          <w:p w14:paraId="15E34C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8.12</w:t>
            </w:r>
          </w:p>
        </w:tc>
        <w:tc>
          <w:tcPr>
            <w:tcW w:w="581" w:type="pct"/>
            <w:gridSpan w:val="2"/>
            <w:vAlign w:val="center"/>
          </w:tcPr>
          <w:p w14:paraId="438894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6.95</w:t>
            </w:r>
          </w:p>
        </w:tc>
        <w:tc>
          <w:tcPr>
            <w:tcW w:w="496" w:type="pct"/>
            <w:gridSpan w:val="2"/>
            <w:vAlign w:val="center"/>
          </w:tcPr>
          <w:p w14:paraId="72ADC02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7.66</w:t>
            </w:r>
          </w:p>
        </w:tc>
        <w:tc>
          <w:tcPr>
            <w:tcW w:w="499" w:type="pct"/>
            <w:gridSpan w:val="2"/>
            <w:vAlign w:val="center"/>
          </w:tcPr>
          <w:p w14:paraId="55D70AE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0.27</w:t>
            </w:r>
          </w:p>
        </w:tc>
        <w:tc>
          <w:tcPr>
            <w:tcW w:w="582" w:type="pct"/>
            <w:gridSpan w:val="2"/>
            <w:vAlign w:val="center"/>
          </w:tcPr>
          <w:p w14:paraId="3D6E0A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583" w:type="pct"/>
            <w:gridSpan w:val="2"/>
            <w:vAlign w:val="center"/>
          </w:tcPr>
          <w:p w14:paraId="0B791D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5153EE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3C44F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798541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砷</w:t>
            </w:r>
          </w:p>
        </w:tc>
        <w:tc>
          <w:tcPr>
            <w:tcW w:w="416" w:type="pct"/>
            <w:gridSpan w:val="2"/>
            <w:vAlign w:val="center"/>
          </w:tcPr>
          <w:p w14:paraId="394019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3B1F32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6.03</w:t>
            </w:r>
          </w:p>
        </w:tc>
        <w:tc>
          <w:tcPr>
            <w:tcW w:w="581" w:type="pct"/>
            <w:gridSpan w:val="2"/>
            <w:vAlign w:val="center"/>
          </w:tcPr>
          <w:p w14:paraId="25550D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4.98</w:t>
            </w:r>
          </w:p>
        </w:tc>
        <w:tc>
          <w:tcPr>
            <w:tcW w:w="496" w:type="pct"/>
            <w:gridSpan w:val="2"/>
            <w:vAlign w:val="center"/>
          </w:tcPr>
          <w:p w14:paraId="5AE079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5.45</w:t>
            </w:r>
          </w:p>
        </w:tc>
        <w:tc>
          <w:tcPr>
            <w:tcW w:w="499" w:type="pct"/>
            <w:gridSpan w:val="2"/>
            <w:vAlign w:val="center"/>
          </w:tcPr>
          <w:p w14:paraId="12F291B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0.37</w:t>
            </w:r>
          </w:p>
        </w:tc>
        <w:tc>
          <w:tcPr>
            <w:tcW w:w="582" w:type="pct"/>
            <w:gridSpan w:val="2"/>
            <w:vAlign w:val="center"/>
          </w:tcPr>
          <w:p w14:paraId="4BAF486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583" w:type="pct"/>
            <w:gridSpan w:val="2"/>
            <w:vAlign w:val="center"/>
          </w:tcPr>
          <w:p w14:paraId="3314771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74549E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ED33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pct"/>
            <w:vAlign w:val="center"/>
          </w:tcPr>
          <w:p w14:paraId="6AB3B5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镉</w:t>
            </w:r>
          </w:p>
        </w:tc>
        <w:tc>
          <w:tcPr>
            <w:tcW w:w="416" w:type="pct"/>
            <w:gridSpan w:val="2"/>
            <w:vAlign w:val="center"/>
          </w:tcPr>
          <w:p w14:paraId="0009AE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1FA9286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0.29</w:t>
            </w:r>
          </w:p>
        </w:tc>
        <w:tc>
          <w:tcPr>
            <w:tcW w:w="581" w:type="pct"/>
            <w:gridSpan w:val="2"/>
            <w:vAlign w:val="center"/>
          </w:tcPr>
          <w:p w14:paraId="46D664F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0.12</w:t>
            </w:r>
          </w:p>
        </w:tc>
        <w:tc>
          <w:tcPr>
            <w:tcW w:w="496" w:type="pct"/>
            <w:gridSpan w:val="2"/>
            <w:vAlign w:val="center"/>
          </w:tcPr>
          <w:p w14:paraId="793D004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0.19</w:t>
            </w:r>
          </w:p>
        </w:tc>
        <w:tc>
          <w:tcPr>
            <w:tcW w:w="499" w:type="pct"/>
            <w:gridSpan w:val="2"/>
            <w:vAlign w:val="center"/>
          </w:tcPr>
          <w:p w14:paraId="428019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0.07</w:t>
            </w:r>
          </w:p>
        </w:tc>
        <w:tc>
          <w:tcPr>
            <w:tcW w:w="582" w:type="pct"/>
            <w:gridSpan w:val="2"/>
            <w:vAlign w:val="center"/>
          </w:tcPr>
          <w:p w14:paraId="0008FD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583" w:type="pct"/>
            <w:gridSpan w:val="2"/>
            <w:vAlign w:val="center"/>
          </w:tcPr>
          <w:p w14:paraId="5663DC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04E4AD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6C8C2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09DC0E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六价铬</w:t>
            </w:r>
          </w:p>
        </w:tc>
        <w:tc>
          <w:tcPr>
            <w:tcW w:w="416" w:type="pct"/>
            <w:gridSpan w:val="2"/>
            <w:vAlign w:val="center"/>
          </w:tcPr>
          <w:p w14:paraId="1D8C91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784AEDE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0.5L</w:t>
            </w:r>
          </w:p>
        </w:tc>
        <w:tc>
          <w:tcPr>
            <w:tcW w:w="581" w:type="pct"/>
            <w:gridSpan w:val="2"/>
            <w:vAlign w:val="center"/>
          </w:tcPr>
          <w:p w14:paraId="246FF7C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0.5L</w:t>
            </w:r>
          </w:p>
        </w:tc>
        <w:tc>
          <w:tcPr>
            <w:tcW w:w="496" w:type="pct"/>
            <w:gridSpan w:val="2"/>
            <w:vAlign w:val="center"/>
          </w:tcPr>
          <w:p w14:paraId="33EE91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0.5L</w:t>
            </w:r>
          </w:p>
        </w:tc>
        <w:tc>
          <w:tcPr>
            <w:tcW w:w="499" w:type="pct"/>
            <w:gridSpan w:val="2"/>
            <w:vAlign w:val="center"/>
          </w:tcPr>
          <w:p w14:paraId="19CA1D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3194420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583" w:type="pct"/>
            <w:gridSpan w:val="2"/>
            <w:vAlign w:val="center"/>
          </w:tcPr>
          <w:p w14:paraId="7C14F6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2CFD25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1221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20F544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铜</w:t>
            </w:r>
          </w:p>
        </w:tc>
        <w:tc>
          <w:tcPr>
            <w:tcW w:w="416" w:type="pct"/>
            <w:gridSpan w:val="2"/>
            <w:vAlign w:val="center"/>
          </w:tcPr>
          <w:p w14:paraId="292CC8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081401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52</w:t>
            </w:r>
          </w:p>
        </w:tc>
        <w:tc>
          <w:tcPr>
            <w:tcW w:w="581" w:type="pct"/>
            <w:gridSpan w:val="2"/>
            <w:vAlign w:val="center"/>
          </w:tcPr>
          <w:p w14:paraId="18DA54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26</w:t>
            </w:r>
          </w:p>
        </w:tc>
        <w:tc>
          <w:tcPr>
            <w:tcW w:w="496" w:type="pct"/>
            <w:gridSpan w:val="2"/>
            <w:vAlign w:val="center"/>
          </w:tcPr>
          <w:p w14:paraId="50FCD3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37.57</w:t>
            </w:r>
          </w:p>
        </w:tc>
        <w:tc>
          <w:tcPr>
            <w:tcW w:w="499" w:type="pct"/>
            <w:gridSpan w:val="2"/>
            <w:vAlign w:val="center"/>
          </w:tcPr>
          <w:p w14:paraId="0C49216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10.58</w:t>
            </w:r>
          </w:p>
        </w:tc>
        <w:tc>
          <w:tcPr>
            <w:tcW w:w="582" w:type="pct"/>
            <w:gridSpan w:val="2"/>
            <w:vAlign w:val="center"/>
          </w:tcPr>
          <w:p w14:paraId="484D2A5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583" w:type="pct"/>
            <w:gridSpan w:val="2"/>
            <w:vAlign w:val="center"/>
          </w:tcPr>
          <w:p w14:paraId="47A4ED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494ED4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C50A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140E39F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铅</w:t>
            </w:r>
          </w:p>
        </w:tc>
        <w:tc>
          <w:tcPr>
            <w:tcW w:w="416" w:type="pct"/>
            <w:gridSpan w:val="2"/>
            <w:vAlign w:val="center"/>
          </w:tcPr>
          <w:p w14:paraId="0679E3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3183599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74</w:t>
            </w:r>
          </w:p>
        </w:tc>
        <w:tc>
          <w:tcPr>
            <w:tcW w:w="581" w:type="pct"/>
            <w:gridSpan w:val="2"/>
            <w:vAlign w:val="center"/>
          </w:tcPr>
          <w:p w14:paraId="5EDF6A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41</w:t>
            </w:r>
          </w:p>
        </w:tc>
        <w:tc>
          <w:tcPr>
            <w:tcW w:w="496" w:type="pct"/>
            <w:gridSpan w:val="2"/>
            <w:vAlign w:val="center"/>
          </w:tcPr>
          <w:p w14:paraId="2019C4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59.00</w:t>
            </w:r>
          </w:p>
        </w:tc>
        <w:tc>
          <w:tcPr>
            <w:tcW w:w="499" w:type="pct"/>
            <w:gridSpan w:val="2"/>
            <w:vAlign w:val="center"/>
          </w:tcPr>
          <w:p w14:paraId="5EE1B65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12.23</w:t>
            </w:r>
          </w:p>
        </w:tc>
        <w:tc>
          <w:tcPr>
            <w:tcW w:w="582" w:type="pct"/>
            <w:gridSpan w:val="2"/>
            <w:vAlign w:val="center"/>
          </w:tcPr>
          <w:p w14:paraId="717034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85.7</w:t>
            </w:r>
            <w:r>
              <w:rPr>
                <w:rFonts w:hint="default" w:ascii="Times New Roman" w:hAnsi="Times New Roman" w:cs="Times New Roman"/>
                <w:sz w:val="21"/>
                <w:szCs w:val="21"/>
                <w:highlight w:val="none"/>
                <w:lang w:val="en-US" w:eastAsia="zh-CN"/>
              </w:rPr>
              <w:t>%</w:t>
            </w:r>
          </w:p>
        </w:tc>
        <w:tc>
          <w:tcPr>
            <w:tcW w:w="583" w:type="pct"/>
            <w:gridSpan w:val="2"/>
            <w:vAlign w:val="center"/>
          </w:tcPr>
          <w:p w14:paraId="166B3D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4BE4BD4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60C25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546690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汞</w:t>
            </w:r>
          </w:p>
        </w:tc>
        <w:tc>
          <w:tcPr>
            <w:tcW w:w="416" w:type="pct"/>
            <w:gridSpan w:val="2"/>
            <w:vAlign w:val="center"/>
          </w:tcPr>
          <w:p w14:paraId="615B1B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0BEB21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0.0532</w:t>
            </w:r>
          </w:p>
        </w:tc>
        <w:tc>
          <w:tcPr>
            <w:tcW w:w="581" w:type="pct"/>
            <w:gridSpan w:val="2"/>
            <w:vAlign w:val="center"/>
          </w:tcPr>
          <w:p w14:paraId="7AD074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0.0428</w:t>
            </w:r>
          </w:p>
        </w:tc>
        <w:tc>
          <w:tcPr>
            <w:tcW w:w="496" w:type="pct"/>
            <w:gridSpan w:val="2"/>
            <w:vAlign w:val="center"/>
          </w:tcPr>
          <w:p w14:paraId="08E5EE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0.05</w:t>
            </w:r>
          </w:p>
        </w:tc>
        <w:tc>
          <w:tcPr>
            <w:tcW w:w="499" w:type="pct"/>
            <w:gridSpan w:val="2"/>
            <w:vAlign w:val="center"/>
          </w:tcPr>
          <w:p w14:paraId="61439C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0.00</w:t>
            </w:r>
          </w:p>
        </w:tc>
        <w:tc>
          <w:tcPr>
            <w:tcW w:w="582" w:type="pct"/>
            <w:gridSpan w:val="2"/>
            <w:vAlign w:val="center"/>
          </w:tcPr>
          <w:p w14:paraId="44BE03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583" w:type="pct"/>
            <w:gridSpan w:val="2"/>
            <w:vAlign w:val="center"/>
          </w:tcPr>
          <w:p w14:paraId="6A55D8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36980B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087A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30BB6BF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镍</w:t>
            </w:r>
          </w:p>
        </w:tc>
        <w:tc>
          <w:tcPr>
            <w:tcW w:w="416" w:type="pct"/>
            <w:gridSpan w:val="2"/>
            <w:vAlign w:val="center"/>
          </w:tcPr>
          <w:p w14:paraId="5E1417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4135584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37</w:t>
            </w:r>
          </w:p>
        </w:tc>
        <w:tc>
          <w:tcPr>
            <w:tcW w:w="581" w:type="pct"/>
            <w:gridSpan w:val="2"/>
            <w:vAlign w:val="center"/>
          </w:tcPr>
          <w:p w14:paraId="6EE8516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23</w:t>
            </w:r>
          </w:p>
        </w:tc>
        <w:tc>
          <w:tcPr>
            <w:tcW w:w="496" w:type="pct"/>
            <w:gridSpan w:val="2"/>
            <w:vAlign w:val="center"/>
          </w:tcPr>
          <w:p w14:paraId="1BFF62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29.71</w:t>
            </w:r>
          </w:p>
        </w:tc>
        <w:tc>
          <w:tcPr>
            <w:tcW w:w="499" w:type="pct"/>
            <w:gridSpan w:val="2"/>
            <w:vAlign w:val="center"/>
          </w:tcPr>
          <w:p w14:paraId="21F752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4.10</w:t>
            </w:r>
          </w:p>
        </w:tc>
        <w:tc>
          <w:tcPr>
            <w:tcW w:w="582" w:type="pct"/>
            <w:gridSpan w:val="2"/>
            <w:vAlign w:val="center"/>
          </w:tcPr>
          <w:p w14:paraId="03CF97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583" w:type="pct"/>
            <w:gridSpan w:val="2"/>
            <w:vAlign w:val="center"/>
          </w:tcPr>
          <w:p w14:paraId="49299F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64F03F4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2EBB7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2780C70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四氯化碳</w:t>
            </w:r>
          </w:p>
        </w:tc>
        <w:tc>
          <w:tcPr>
            <w:tcW w:w="416" w:type="pct"/>
            <w:gridSpan w:val="2"/>
            <w:vAlign w:val="center"/>
          </w:tcPr>
          <w:p w14:paraId="6AF3100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1EFCFB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581" w:type="pct"/>
            <w:gridSpan w:val="2"/>
            <w:vAlign w:val="center"/>
          </w:tcPr>
          <w:p w14:paraId="251072E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6" w:type="pct"/>
            <w:gridSpan w:val="2"/>
            <w:vAlign w:val="center"/>
          </w:tcPr>
          <w:p w14:paraId="2561AF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9" w:type="pct"/>
            <w:gridSpan w:val="2"/>
            <w:vAlign w:val="center"/>
          </w:tcPr>
          <w:p w14:paraId="6CAEF3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262B355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2D1FC82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42E3F9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66464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4DED68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氯仿</w:t>
            </w:r>
          </w:p>
        </w:tc>
        <w:tc>
          <w:tcPr>
            <w:tcW w:w="416" w:type="pct"/>
            <w:gridSpan w:val="2"/>
            <w:vAlign w:val="center"/>
          </w:tcPr>
          <w:p w14:paraId="4B9A25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69175C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1.1L</w:t>
            </w:r>
          </w:p>
        </w:tc>
        <w:tc>
          <w:tcPr>
            <w:tcW w:w="581" w:type="pct"/>
            <w:gridSpan w:val="2"/>
            <w:vAlign w:val="center"/>
          </w:tcPr>
          <w:p w14:paraId="277802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1.1L</w:t>
            </w:r>
          </w:p>
        </w:tc>
        <w:tc>
          <w:tcPr>
            <w:tcW w:w="496" w:type="pct"/>
            <w:gridSpan w:val="2"/>
            <w:vAlign w:val="center"/>
          </w:tcPr>
          <w:p w14:paraId="1DE994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1.1L</w:t>
            </w:r>
          </w:p>
        </w:tc>
        <w:tc>
          <w:tcPr>
            <w:tcW w:w="499" w:type="pct"/>
            <w:gridSpan w:val="2"/>
            <w:vAlign w:val="center"/>
          </w:tcPr>
          <w:p w14:paraId="1D3185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587889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1F26CC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04C1E7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493D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521BD0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氯甲烷</w:t>
            </w:r>
          </w:p>
        </w:tc>
        <w:tc>
          <w:tcPr>
            <w:tcW w:w="416" w:type="pct"/>
            <w:gridSpan w:val="2"/>
            <w:vAlign w:val="center"/>
          </w:tcPr>
          <w:p w14:paraId="484C332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36D939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1.0L</w:t>
            </w:r>
          </w:p>
        </w:tc>
        <w:tc>
          <w:tcPr>
            <w:tcW w:w="581" w:type="pct"/>
            <w:gridSpan w:val="2"/>
            <w:vAlign w:val="center"/>
          </w:tcPr>
          <w:p w14:paraId="1F722F0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1.0L</w:t>
            </w:r>
          </w:p>
        </w:tc>
        <w:tc>
          <w:tcPr>
            <w:tcW w:w="496" w:type="pct"/>
            <w:gridSpan w:val="2"/>
            <w:vAlign w:val="center"/>
          </w:tcPr>
          <w:p w14:paraId="7ABFB2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1.0L</w:t>
            </w:r>
          </w:p>
        </w:tc>
        <w:tc>
          <w:tcPr>
            <w:tcW w:w="499" w:type="pct"/>
            <w:gridSpan w:val="2"/>
            <w:vAlign w:val="center"/>
          </w:tcPr>
          <w:p w14:paraId="443B77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698360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77F998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6F650A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3FF3D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469E29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1,1-二氯乙烷</w:t>
            </w:r>
          </w:p>
        </w:tc>
        <w:tc>
          <w:tcPr>
            <w:tcW w:w="416" w:type="pct"/>
            <w:gridSpan w:val="2"/>
            <w:vAlign w:val="center"/>
          </w:tcPr>
          <w:p w14:paraId="29696F9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57E4EF9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gridSpan w:val="2"/>
            <w:vAlign w:val="center"/>
          </w:tcPr>
          <w:p w14:paraId="36D063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gridSpan w:val="2"/>
            <w:vAlign w:val="center"/>
          </w:tcPr>
          <w:p w14:paraId="773E0B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gridSpan w:val="2"/>
            <w:vAlign w:val="center"/>
          </w:tcPr>
          <w:p w14:paraId="55B85F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4AA185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36CF38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1705D4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61EE6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64E143F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1,2-二氯乙烷</w:t>
            </w:r>
          </w:p>
        </w:tc>
        <w:tc>
          <w:tcPr>
            <w:tcW w:w="416" w:type="pct"/>
            <w:gridSpan w:val="2"/>
            <w:vAlign w:val="center"/>
          </w:tcPr>
          <w:p w14:paraId="1DC000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296F24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581" w:type="pct"/>
            <w:gridSpan w:val="2"/>
            <w:vAlign w:val="center"/>
          </w:tcPr>
          <w:p w14:paraId="2B4258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6" w:type="pct"/>
            <w:gridSpan w:val="2"/>
            <w:vAlign w:val="center"/>
          </w:tcPr>
          <w:p w14:paraId="390695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9" w:type="pct"/>
            <w:gridSpan w:val="2"/>
            <w:vAlign w:val="center"/>
          </w:tcPr>
          <w:p w14:paraId="19F6DC4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63ABD5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2C1CCBD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084A9C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766C0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2ABB6DE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1,1-二氯乙烯</w:t>
            </w:r>
          </w:p>
        </w:tc>
        <w:tc>
          <w:tcPr>
            <w:tcW w:w="416" w:type="pct"/>
            <w:gridSpan w:val="2"/>
            <w:vAlign w:val="center"/>
          </w:tcPr>
          <w:p w14:paraId="17E40E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1E43A7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1.0L</w:t>
            </w:r>
          </w:p>
        </w:tc>
        <w:tc>
          <w:tcPr>
            <w:tcW w:w="581" w:type="pct"/>
            <w:gridSpan w:val="2"/>
            <w:vAlign w:val="center"/>
          </w:tcPr>
          <w:p w14:paraId="699897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1.0L</w:t>
            </w:r>
          </w:p>
        </w:tc>
        <w:tc>
          <w:tcPr>
            <w:tcW w:w="496" w:type="pct"/>
            <w:gridSpan w:val="2"/>
            <w:vAlign w:val="center"/>
          </w:tcPr>
          <w:p w14:paraId="2B36C2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1.0L</w:t>
            </w:r>
          </w:p>
        </w:tc>
        <w:tc>
          <w:tcPr>
            <w:tcW w:w="499" w:type="pct"/>
            <w:gridSpan w:val="2"/>
            <w:vAlign w:val="center"/>
          </w:tcPr>
          <w:p w14:paraId="76F7EE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2EC92E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7E5F6A8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2B8DDE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50A01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169584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顺-1,2-二氯乙烯</w:t>
            </w:r>
          </w:p>
        </w:tc>
        <w:tc>
          <w:tcPr>
            <w:tcW w:w="416" w:type="pct"/>
            <w:gridSpan w:val="2"/>
            <w:vAlign w:val="center"/>
          </w:tcPr>
          <w:p w14:paraId="263236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0459A7E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581" w:type="pct"/>
            <w:gridSpan w:val="2"/>
            <w:vAlign w:val="center"/>
          </w:tcPr>
          <w:p w14:paraId="0DD43D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6" w:type="pct"/>
            <w:gridSpan w:val="2"/>
            <w:vAlign w:val="center"/>
          </w:tcPr>
          <w:p w14:paraId="722C1E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9" w:type="pct"/>
            <w:gridSpan w:val="2"/>
            <w:vAlign w:val="center"/>
          </w:tcPr>
          <w:p w14:paraId="5B914A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17274AE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11A237C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683471F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87AF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1849B3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反-1,2-二氯乙烯</w:t>
            </w:r>
          </w:p>
        </w:tc>
        <w:tc>
          <w:tcPr>
            <w:tcW w:w="416" w:type="pct"/>
            <w:gridSpan w:val="2"/>
            <w:vAlign w:val="center"/>
          </w:tcPr>
          <w:p w14:paraId="38A54C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19140D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1.4L</w:t>
            </w:r>
          </w:p>
        </w:tc>
        <w:tc>
          <w:tcPr>
            <w:tcW w:w="581" w:type="pct"/>
            <w:gridSpan w:val="2"/>
            <w:vAlign w:val="center"/>
          </w:tcPr>
          <w:p w14:paraId="03F6FC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1.4L</w:t>
            </w:r>
          </w:p>
        </w:tc>
        <w:tc>
          <w:tcPr>
            <w:tcW w:w="496" w:type="pct"/>
            <w:gridSpan w:val="2"/>
            <w:vAlign w:val="center"/>
          </w:tcPr>
          <w:p w14:paraId="6C9B9C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1.4L</w:t>
            </w:r>
          </w:p>
        </w:tc>
        <w:tc>
          <w:tcPr>
            <w:tcW w:w="499" w:type="pct"/>
            <w:gridSpan w:val="2"/>
            <w:vAlign w:val="center"/>
          </w:tcPr>
          <w:p w14:paraId="38A87B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7F29713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0CEFA5D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169046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20C65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14F8BC9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二氯甲烷</w:t>
            </w:r>
          </w:p>
        </w:tc>
        <w:tc>
          <w:tcPr>
            <w:tcW w:w="416" w:type="pct"/>
            <w:gridSpan w:val="2"/>
            <w:vAlign w:val="center"/>
          </w:tcPr>
          <w:p w14:paraId="5BB6B2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111507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1.5L</w:t>
            </w:r>
          </w:p>
        </w:tc>
        <w:tc>
          <w:tcPr>
            <w:tcW w:w="581" w:type="pct"/>
            <w:gridSpan w:val="2"/>
            <w:vAlign w:val="center"/>
          </w:tcPr>
          <w:p w14:paraId="3DD05F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1.5L</w:t>
            </w:r>
          </w:p>
        </w:tc>
        <w:tc>
          <w:tcPr>
            <w:tcW w:w="496" w:type="pct"/>
            <w:gridSpan w:val="2"/>
            <w:vAlign w:val="center"/>
          </w:tcPr>
          <w:p w14:paraId="2FF696A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1.5L</w:t>
            </w:r>
          </w:p>
        </w:tc>
        <w:tc>
          <w:tcPr>
            <w:tcW w:w="499" w:type="pct"/>
            <w:gridSpan w:val="2"/>
            <w:vAlign w:val="center"/>
          </w:tcPr>
          <w:p w14:paraId="639B4E4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078ECB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56CB08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08B6AD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024C6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625FF7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1,2-二氯丙烷</w:t>
            </w:r>
          </w:p>
        </w:tc>
        <w:tc>
          <w:tcPr>
            <w:tcW w:w="416" w:type="pct"/>
            <w:gridSpan w:val="2"/>
            <w:vAlign w:val="center"/>
          </w:tcPr>
          <w:p w14:paraId="0A2329E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134855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1.1L</w:t>
            </w:r>
          </w:p>
        </w:tc>
        <w:tc>
          <w:tcPr>
            <w:tcW w:w="581" w:type="pct"/>
            <w:gridSpan w:val="2"/>
            <w:vAlign w:val="center"/>
          </w:tcPr>
          <w:p w14:paraId="37EB02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1.1L</w:t>
            </w:r>
          </w:p>
        </w:tc>
        <w:tc>
          <w:tcPr>
            <w:tcW w:w="496" w:type="pct"/>
            <w:gridSpan w:val="2"/>
            <w:vAlign w:val="center"/>
          </w:tcPr>
          <w:p w14:paraId="098D94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1.1L</w:t>
            </w:r>
          </w:p>
        </w:tc>
        <w:tc>
          <w:tcPr>
            <w:tcW w:w="499" w:type="pct"/>
            <w:gridSpan w:val="2"/>
            <w:vAlign w:val="center"/>
          </w:tcPr>
          <w:p w14:paraId="4F459E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273588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0E228E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27F5325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3872C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03C0F14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1,1,1,2-四氯乙烷</w:t>
            </w:r>
          </w:p>
        </w:tc>
        <w:tc>
          <w:tcPr>
            <w:tcW w:w="416" w:type="pct"/>
            <w:gridSpan w:val="2"/>
            <w:vAlign w:val="center"/>
          </w:tcPr>
          <w:p w14:paraId="597FC8F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09ABB9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gridSpan w:val="2"/>
            <w:vAlign w:val="center"/>
          </w:tcPr>
          <w:p w14:paraId="7365E6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gridSpan w:val="2"/>
            <w:vAlign w:val="center"/>
          </w:tcPr>
          <w:p w14:paraId="33B8658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gridSpan w:val="2"/>
            <w:vAlign w:val="center"/>
          </w:tcPr>
          <w:p w14:paraId="02AFC0A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4AAA294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465077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79BB29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2179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1A59BA3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1,1,2,2-四氯乙烷</w:t>
            </w:r>
          </w:p>
        </w:tc>
        <w:tc>
          <w:tcPr>
            <w:tcW w:w="416" w:type="pct"/>
            <w:gridSpan w:val="2"/>
            <w:vAlign w:val="center"/>
          </w:tcPr>
          <w:p w14:paraId="2B1737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1AA5F2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gridSpan w:val="2"/>
            <w:vAlign w:val="center"/>
          </w:tcPr>
          <w:p w14:paraId="16C29A2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gridSpan w:val="2"/>
            <w:vAlign w:val="center"/>
          </w:tcPr>
          <w:p w14:paraId="7EF5EE8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gridSpan w:val="2"/>
            <w:vAlign w:val="center"/>
          </w:tcPr>
          <w:p w14:paraId="68AD0F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61BD1E9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2BBC93B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5474BC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3DE64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579334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四氯乙烯</w:t>
            </w:r>
          </w:p>
        </w:tc>
        <w:tc>
          <w:tcPr>
            <w:tcW w:w="416" w:type="pct"/>
            <w:gridSpan w:val="2"/>
            <w:vAlign w:val="center"/>
          </w:tcPr>
          <w:p w14:paraId="7DAC34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034FE5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1.4L</w:t>
            </w:r>
          </w:p>
        </w:tc>
        <w:tc>
          <w:tcPr>
            <w:tcW w:w="581" w:type="pct"/>
            <w:gridSpan w:val="2"/>
            <w:vAlign w:val="center"/>
          </w:tcPr>
          <w:p w14:paraId="6970EC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1.4L</w:t>
            </w:r>
          </w:p>
        </w:tc>
        <w:tc>
          <w:tcPr>
            <w:tcW w:w="496" w:type="pct"/>
            <w:gridSpan w:val="2"/>
            <w:vAlign w:val="center"/>
          </w:tcPr>
          <w:p w14:paraId="78E90E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1.4L</w:t>
            </w:r>
          </w:p>
        </w:tc>
        <w:tc>
          <w:tcPr>
            <w:tcW w:w="499" w:type="pct"/>
            <w:gridSpan w:val="2"/>
            <w:vAlign w:val="center"/>
          </w:tcPr>
          <w:p w14:paraId="5011305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785125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67F419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493333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68297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6A4D67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1,1,1-三氯乙烷</w:t>
            </w:r>
          </w:p>
        </w:tc>
        <w:tc>
          <w:tcPr>
            <w:tcW w:w="416" w:type="pct"/>
            <w:gridSpan w:val="2"/>
            <w:vAlign w:val="center"/>
          </w:tcPr>
          <w:p w14:paraId="17D1D2B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0459FE2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581" w:type="pct"/>
            <w:gridSpan w:val="2"/>
            <w:vAlign w:val="center"/>
          </w:tcPr>
          <w:p w14:paraId="6ED537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6" w:type="pct"/>
            <w:gridSpan w:val="2"/>
            <w:vAlign w:val="center"/>
          </w:tcPr>
          <w:p w14:paraId="02A95E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9" w:type="pct"/>
            <w:gridSpan w:val="2"/>
            <w:vAlign w:val="center"/>
          </w:tcPr>
          <w:p w14:paraId="7DCF924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1B3D13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4F5AD57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4E1BF94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70C99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557889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1,1,2-三氯乙烷</w:t>
            </w:r>
          </w:p>
        </w:tc>
        <w:tc>
          <w:tcPr>
            <w:tcW w:w="416" w:type="pct"/>
            <w:gridSpan w:val="2"/>
            <w:vAlign w:val="center"/>
          </w:tcPr>
          <w:p w14:paraId="0DFEB0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27A72E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gridSpan w:val="2"/>
            <w:vAlign w:val="center"/>
          </w:tcPr>
          <w:p w14:paraId="565F4B0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gridSpan w:val="2"/>
            <w:vAlign w:val="center"/>
          </w:tcPr>
          <w:p w14:paraId="2554B6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gridSpan w:val="2"/>
            <w:vAlign w:val="center"/>
          </w:tcPr>
          <w:p w14:paraId="3E0028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54DC67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0512C6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407945D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52A2E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5CD778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三氯乙烯</w:t>
            </w:r>
          </w:p>
        </w:tc>
        <w:tc>
          <w:tcPr>
            <w:tcW w:w="416" w:type="pct"/>
            <w:gridSpan w:val="2"/>
            <w:vAlign w:val="center"/>
          </w:tcPr>
          <w:p w14:paraId="04D384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7DE40A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gridSpan w:val="2"/>
            <w:vAlign w:val="center"/>
          </w:tcPr>
          <w:p w14:paraId="0E5410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gridSpan w:val="2"/>
            <w:vAlign w:val="center"/>
          </w:tcPr>
          <w:p w14:paraId="0979C0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gridSpan w:val="2"/>
            <w:vAlign w:val="center"/>
          </w:tcPr>
          <w:p w14:paraId="07F91F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449217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55F65B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01CFAA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25BCA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60DDFF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1,2,3-三氯丙烷</w:t>
            </w:r>
          </w:p>
        </w:tc>
        <w:tc>
          <w:tcPr>
            <w:tcW w:w="416" w:type="pct"/>
            <w:gridSpan w:val="2"/>
            <w:vAlign w:val="center"/>
          </w:tcPr>
          <w:p w14:paraId="611CFDE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425417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gridSpan w:val="2"/>
            <w:vAlign w:val="center"/>
          </w:tcPr>
          <w:p w14:paraId="51D3B4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gridSpan w:val="2"/>
            <w:vAlign w:val="center"/>
          </w:tcPr>
          <w:p w14:paraId="255D13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gridSpan w:val="2"/>
            <w:vAlign w:val="center"/>
          </w:tcPr>
          <w:p w14:paraId="116414D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1B7D970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121B55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16DDCF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7F999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4" w:type="pct"/>
            <w:vAlign w:val="center"/>
          </w:tcPr>
          <w:p w14:paraId="577796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氯乙烯</w:t>
            </w:r>
          </w:p>
        </w:tc>
        <w:tc>
          <w:tcPr>
            <w:tcW w:w="416" w:type="pct"/>
            <w:gridSpan w:val="2"/>
            <w:vAlign w:val="center"/>
          </w:tcPr>
          <w:p w14:paraId="42C31D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06465A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1.0L</w:t>
            </w:r>
          </w:p>
        </w:tc>
        <w:tc>
          <w:tcPr>
            <w:tcW w:w="581" w:type="pct"/>
            <w:gridSpan w:val="2"/>
            <w:vAlign w:val="center"/>
          </w:tcPr>
          <w:p w14:paraId="33603A8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1.0L</w:t>
            </w:r>
          </w:p>
        </w:tc>
        <w:tc>
          <w:tcPr>
            <w:tcW w:w="496" w:type="pct"/>
            <w:gridSpan w:val="2"/>
            <w:vAlign w:val="center"/>
          </w:tcPr>
          <w:p w14:paraId="6457746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1.0L</w:t>
            </w:r>
          </w:p>
        </w:tc>
        <w:tc>
          <w:tcPr>
            <w:tcW w:w="499" w:type="pct"/>
            <w:gridSpan w:val="2"/>
            <w:vAlign w:val="center"/>
          </w:tcPr>
          <w:p w14:paraId="52B2809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2DEF1B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3" w:type="pct"/>
            <w:gridSpan w:val="2"/>
            <w:vAlign w:val="center"/>
          </w:tcPr>
          <w:p w14:paraId="65D680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2904111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6518B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gridSpan w:val="2"/>
            <w:vAlign w:val="center"/>
          </w:tcPr>
          <w:p w14:paraId="7874ED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苯</w:t>
            </w:r>
          </w:p>
        </w:tc>
        <w:tc>
          <w:tcPr>
            <w:tcW w:w="417" w:type="pct"/>
            <w:gridSpan w:val="2"/>
            <w:vAlign w:val="center"/>
          </w:tcPr>
          <w:p w14:paraId="6241D15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356909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1.9L</w:t>
            </w:r>
          </w:p>
        </w:tc>
        <w:tc>
          <w:tcPr>
            <w:tcW w:w="581" w:type="pct"/>
            <w:gridSpan w:val="2"/>
            <w:vAlign w:val="center"/>
          </w:tcPr>
          <w:p w14:paraId="61CBE62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1.9L</w:t>
            </w:r>
          </w:p>
        </w:tc>
        <w:tc>
          <w:tcPr>
            <w:tcW w:w="496" w:type="pct"/>
            <w:gridSpan w:val="2"/>
            <w:vAlign w:val="center"/>
          </w:tcPr>
          <w:p w14:paraId="0DE51F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1.9L</w:t>
            </w:r>
          </w:p>
        </w:tc>
        <w:tc>
          <w:tcPr>
            <w:tcW w:w="499" w:type="pct"/>
            <w:gridSpan w:val="2"/>
            <w:vAlign w:val="center"/>
          </w:tcPr>
          <w:p w14:paraId="0999DC3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4C6E3F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5D4FA41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4F82C12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BF05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gridSpan w:val="2"/>
            <w:vAlign w:val="center"/>
          </w:tcPr>
          <w:p w14:paraId="73FD18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氯苯</w:t>
            </w:r>
          </w:p>
        </w:tc>
        <w:tc>
          <w:tcPr>
            <w:tcW w:w="417" w:type="pct"/>
            <w:gridSpan w:val="2"/>
            <w:vAlign w:val="center"/>
          </w:tcPr>
          <w:p w14:paraId="28571E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0E523CD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gridSpan w:val="2"/>
            <w:vAlign w:val="center"/>
          </w:tcPr>
          <w:p w14:paraId="3989D8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gridSpan w:val="2"/>
            <w:vAlign w:val="center"/>
          </w:tcPr>
          <w:p w14:paraId="7A52EE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gridSpan w:val="2"/>
            <w:vAlign w:val="center"/>
          </w:tcPr>
          <w:p w14:paraId="2B39480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67E7516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1C2185D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608C92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72A95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gridSpan w:val="2"/>
            <w:vAlign w:val="center"/>
          </w:tcPr>
          <w:p w14:paraId="323FF80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1,2-二氯苯</w:t>
            </w:r>
          </w:p>
        </w:tc>
        <w:tc>
          <w:tcPr>
            <w:tcW w:w="417" w:type="pct"/>
            <w:gridSpan w:val="2"/>
            <w:vAlign w:val="center"/>
          </w:tcPr>
          <w:p w14:paraId="1C59F1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183733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1.5L</w:t>
            </w:r>
          </w:p>
        </w:tc>
        <w:tc>
          <w:tcPr>
            <w:tcW w:w="581" w:type="pct"/>
            <w:gridSpan w:val="2"/>
            <w:vAlign w:val="center"/>
          </w:tcPr>
          <w:p w14:paraId="13B6485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1.5L</w:t>
            </w:r>
          </w:p>
        </w:tc>
        <w:tc>
          <w:tcPr>
            <w:tcW w:w="496" w:type="pct"/>
            <w:gridSpan w:val="2"/>
            <w:vAlign w:val="center"/>
          </w:tcPr>
          <w:p w14:paraId="6BFE15E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1.5L</w:t>
            </w:r>
          </w:p>
        </w:tc>
        <w:tc>
          <w:tcPr>
            <w:tcW w:w="499" w:type="pct"/>
            <w:gridSpan w:val="2"/>
            <w:vAlign w:val="center"/>
          </w:tcPr>
          <w:p w14:paraId="136B69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5645AF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649E51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35F3596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8E8E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gridSpan w:val="2"/>
            <w:vAlign w:val="center"/>
          </w:tcPr>
          <w:p w14:paraId="2CCC29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1,4-二氯苯</w:t>
            </w:r>
          </w:p>
        </w:tc>
        <w:tc>
          <w:tcPr>
            <w:tcW w:w="417" w:type="pct"/>
            <w:gridSpan w:val="2"/>
            <w:vAlign w:val="center"/>
          </w:tcPr>
          <w:p w14:paraId="394193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gridSpan w:val="2"/>
            <w:vAlign w:val="center"/>
          </w:tcPr>
          <w:p w14:paraId="7D3E8B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1.5L</w:t>
            </w:r>
          </w:p>
        </w:tc>
        <w:tc>
          <w:tcPr>
            <w:tcW w:w="581" w:type="pct"/>
            <w:gridSpan w:val="2"/>
            <w:vAlign w:val="center"/>
          </w:tcPr>
          <w:p w14:paraId="082D8E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1.5L</w:t>
            </w:r>
          </w:p>
        </w:tc>
        <w:tc>
          <w:tcPr>
            <w:tcW w:w="496" w:type="pct"/>
            <w:gridSpan w:val="2"/>
            <w:vAlign w:val="center"/>
          </w:tcPr>
          <w:p w14:paraId="75113C3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1.5L</w:t>
            </w:r>
          </w:p>
        </w:tc>
        <w:tc>
          <w:tcPr>
            <w:tcW w:w="499" w:type="pct"/>
            <w:gridSpan w:val="2"/>
            <w:vAlign w:val="center"/>
          </w:tcPr>
          <w:p w14:paraId="3A392C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gridSpan w:val="2"/>
            <w:vAlign w:val="center"/>
          </w:tcPr>
          <w:p w14:paraId="23FBF7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2D9DA6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09" w:type="pct"/>
            <w:vAlign w:val="center"/>
          </w:tcPr>
          <w:p w14:paraId="419113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bl>
    <w:p w14:paraId="5A7EA09B">
      <w:pPr>
        <w:pStyle w:val="8"/>
        <w:bidi w:val="0"/>
        <w:rPr>
          <w:rFonts w:hint="eastAsia"/>
          <w:highlight w:val="none"/>
          <w:lang w:val="en-US" w:eastAsia="zh-CN"/>
        </w:rPr>
      </w:pPr>
    </w:p>
    <w:p w14:paraId="1620A762">
      <w:pPr>
        <w:pStyle w:val="7"/>
        <w:bidi w:val="0"/>
        <w:rPr>
          <w:rFonts w:hint="eastAsia" w:eastAsia="宋体"/>
          <w:highlight w:val="none"/>
          <w:lang w:val="en-US" w:eastAsia="zh-CN"/>
        </w:rPr>
      </w:pPr>
      <w:r>
        <w:rPr>
          <w:rFonts w:hint="eastAsia"/>
          <w:highlight w:val="none"/>
          <w:lang w:val="en-US" w:eastAsia="zh-CN"/>
        </w:rPr>
        <w:t>续表</w:t>
      </w:r>
      <w:r>
        <w:rPr>
          <w:rFonts w:hint="default"/>
          <w:highlight w:val="none"/>
          <w:lang w:val="en-US" w:eastAsia="zh-CN"/>
        </w:rPr>
        <w:t>4-2-</w:t>
      </w:r>
      <w:r>
        <w:rPr>
          <w:rFonts w:hint="eastAsia"/>
          <w:highlight w:val="none"/>
          <w:lang w:val="en-US" w:eastAsia="zh-CN"/>
        </w:rPr>
        <w:t>20</w:t>
      </w:r>
      <w:r>
        <w:rPr>
          <w:rFonts w:hint="eastAsia"/>
          <w:highlight w:val="none"/>
        </w:rPr>
        <w:t>土壤</w:t>
      </w:r>
      <w:r>
        <w:rPr>
          <w:highlight w:val="none"/>
        </w:rPr>
        <w:t>现状评价因子统计结果</w:t>
      </w:r>
      <w:r>
        <w:rPr>
          <w:rFonts w:hint="eastAsia"/>
          <w:highlight w:val="none"/>
          <w:lang w:val="en-US" w:eastAsia="zh-CN"/>
        </w:rPr>
        <w:t xml:space="preserve"> </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711"/>
        <w:gridCol w:w="996"/>
        <w:gridCol w:w="991"/>
        <w:gridCol w:w="846"/>
        <w:gridCol w:w="851"/>
        <w:gridCol w:w="993"/>
        <w:gridCol w:w="994"/>
        <w:gridCol w:w="1040"/>
      </w:tblGrid>
      <w:tr w14:paraId="51A86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63ED956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乙苯</w:t>
            </w:r>
          </w:p>
        </w:tc>
        <w:tc>
          <w:tcPr>
            <w:tcW w:w="417" w:type="pct"/>
            <w:vAlign w:val="center"/>
          </w:tcPr>
          <w:p w14:paraId="7EB4BA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309234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vAlign w:val="center"/>
          </w:tcPr>
          <w:p w14:paraId="54E0D87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vAlign w:val="center"/>
          </w:tcPr>
          <w:p w14:paraId="7CD560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vAlign w:val="center"/>
          </w:tcPr>
          <w:p w14:paraId="3061B6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0EBE0A3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1D5F075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539BDE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54E23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55CE0EF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苯乙烯</w:t>
            </w:r>
          </w:p>
        </w:tc>
        <w:tc>
          <w:tcPr>
            <w:tcW w:w="417" w:type="pct"/>
            <w:vAlign w:val="center"/>
          </w:tcPr>
          <w:p w14:paraId="7A2171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4A358B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1.1L</w:t>
            </w:r>
          </w:p>
        </w:tc>
        <w:tc>
          <w:tcPr>
            <w:tcW w:w="581" w:type="pct"/>
            <w:vAlign w:val="center"/>
          </w:tcPr>
          <w:p w14:paraId="4EB89A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1.1L</w:t>
            </w:r>
          </w:p>
        </w:tc>
        <w:tc>
          <w:tcPr>
            <w:tcW w:w="496" w:type="pct"/>
            <w:vAlign w:val="center"/>
          </w:tcPr>
          <w:p w14:paraId="71EEAB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1.1L</w:t>
            </w:r>
          </w:p>
        </w:tc>
        <w:tc>
          <w:tcPr>
            <w:tcW w:w="499" w:type="pct"/>
            <w:vAlign w:val="center"/>
          </w:tcPr>
          <w:p w14:paraId="285D9FD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61A5C1A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4F1F7C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05531D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B44A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7B174F2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甲苯</w:t>
            </w:r>
          </w:p>
        </w:tc>
        <w:tc>
          <w:tcPr>
            <w:tcW w:w="417" w:type="pct"/>
            <w:vAlign w:val="center"/>
          </w:tcPr>
          <w:p w14:paraId="3C3431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37031E3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581" w:type="pct"/>
            <w:vAlign w:val="center"/>
          </w:tcPr>
          <w:p w14:paraId="2374873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6" w:type="pct"/>
            <w:vAlign w:val="center"/>
          </w:tcPr>
          <w:p w14:paraId="6A7069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1.3L</w:t>
            </w:r>
          </w:p>
        </w:tc>
        <w:tc>
          <w:tcPr>
            <w:tcW w:w="499" w:type="pct"/>
            <w:vAlign w:val="center"/>
          </w:tcPr>
          <w:p w14:paraId="7C236D4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299746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3B14DB6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177A852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0AAEA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3971C2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间二甲苯+对二甲苯</w:t>
            </w:r>
          </w:p>
        </w:tc>
        <w:tc>
          <w:tcPr>
            <w:tcW w:w="417" w:type="pct"/>
            <w:vAlign w:val="center"/>
          </w:tcPr>
          <w:p w14:paraId="311205C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4DDC1A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vAlign w:val="center"/>
          </w:tcPr>
          <w:p w14:paraId="7E26B6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vAlign w:val="center"/>
          </w:tcPr>
          <w:p w14:paraId="690633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vAlign w:val="center"/>
          </w:tcPr>
          <w:p w14:paraId="2F3EBD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39F44D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5E7F2E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58E2AD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5DC1C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496E9E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邻二甲苯</w:t>
            </w:r>
          </w:p>
        </w:tc>
        <w:tc>
          <w:tcPr>
            <w:tcW w:w="417" w:type="pct"/>
            <w:vAlign w:val="center"/>
          </w:tcPr>
          <w:p w14:paraId="435C340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211716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581" w:type="pct"/>
            <w:vAlign w:val="center"/>
          </w:tcPr>
          <w:p w14:paraId="5E46793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6" w:type="pct"/>
            <w:vAlign w:val="center"/>
          </w:tcPr>
          <w:p w14:paraId="619050D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1.2L</w:t>
            </w:r>
          </w:p>
        </w:tc>
        <w:tc>
          <w:tcPr>
            <w:tcW w:w="499" w:type="pct"/>
            <w:vAlign w:val="center"/>
          </w:tcPr>
          <w:p w14:paraId="2B052AE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04B0D4B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3DEDA8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30FC67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446C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558AA5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硝基苯</w:t>
            </w:r>
          </w:p>
        </w:tc>
        <w:tc>
          <w:tcPr>
            <w:tcW w:w="417" w:type="pct"/>
            <w:vAlign w:val="center"/>
          </w:tcPr>
          <w:p w14:paraId="1A86E5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08D3BB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0.09L</w:t>
            </w:r>
          </w:p>
        </w:tc>
        <w:tc>
          <w:tcPr>
            <w:tcW w:w="581" w:type="pct"/>
            <w:vAlign w:val="center"/>
          </w:tcPr>
          <w:p w14:paraId="4D52FF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0.09L</w:t>
            </w:r>
          </w:p>
        </w:tc>
        <w:tc>
          <w:tcPr>
            <w:tcW w:w="496" w:type="pct"/>
            <w:vAlign w:val="center"/>
          </w:tcPr>
          <w:p w14:paraId="325F33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0.09L</w:t>
            </w:r>
          </w:p>
        </w:tc>
        <w:tc>
          <w:tcPr>
            <w:tcW w:w="499" w:type="pct"/>
            <w:vAlign w:val="center"/>
          </w:tcPr>
          <w:p w14:paraId="18275EB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3F1937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4D0118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2CF1898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F77D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3C76D2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苯胺</w:t>
            </w:r>
          </w:p>
        </w:tc>
        <w:tc>
          <w:tcPr>
            <w:tcW w:w="417" w:type="pct"/>
            <w:vAlign w:val="center"/>
          </w:tcPr>
          <w:p w14:paraId="765815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1F5630B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未检出</w:t>
            </w:r>
          </w:p>
        </w:tc>
        <w:tc>
          <w:tcPr>
            <w:tcW w:w="581" w:type="pct"/>
            <w:vAlign w:val="center"/>
          </w:tcPr>
          <w:p w14:paraId="543E27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未检出</w:t>
            </w:r>
          </w:p>
        </w:tc>
        <w:tc>
          <w:tcPr>
            <w:tcW w:w="496" w:type="pct"/>
            <w:vAlign w:val="center"/>
          </w:tcPr>
          <w:p w14:paraId="7D7EE0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未检出</w:t>
            </w:r>
          </w:p>
        </w:tc>
        <w:tc>
          <w:tcPr>
            <w:tcW w:w="499" w:type="pct"/>
            <w:vAlign w:val="center"/>
          </w:tcPr>
          <w:p w14:paraId="04F8075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663A6B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29FB095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76B2C8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287B86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03C1500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2-氯酚</w:t>
            </w:r>
          </w:p>
        </w:tc>
        <w:tc>
          <w:tcPr>
            <w:tcW w:w="417" w:type="pct"/>
            <w:vAlign w:val="center"/>
          </w:tcPr>
          <w:p w14:paraId="63EE91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5FAB2D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0.06L</w:t>
            </w:r>
          </w:p>
        </w:tc>
        <w:tc>
          <w:tcPr>
            <w:tcW w:w="581" w:type="pct"/>
            <w:vAlign w:val="center"/>
          </w:tcPr>
          <w:p w14:paraId="170450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0.06L</w:t>
            </w:r>
          </w:p>
        </w:tc>
        <w:tc>
          <w:tcPr>
            <w:tcW w:w="496" w:type="pct"/>
            <w:vAlign w:val="center"/>
          </w:tcPr>
          <w:p w14:paraId="0A951A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0.06L</w:t>
            </w:r>
          </w:p>
        </w:tc>
        <w:tc>
          <w:tcPr>
            <w:tcW w:w="499" w:type="pct"/>
            <w:vAlign w:val="center"/>
          </w:tcPr>
          <w:p w14:paraId="10AEB4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6CD51D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12F2FE9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5B5A3E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36308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1892AB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苯并[a]蒽</w:t>
            </w:r>
          </w:p>
        </w:tc>
        <w:tc>
          <w:tcPr>
            <w:tcW w:w="417" w:type="pct"/>
            <w:vAlign w:val="center"/>
          </w:tcPr>
          <w:p w14:paraId="3DC81DC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2E40ADA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581" w:type="pct"/>
            <w:vAlign w:val="center"/>
          </w:tcPr>
          <w:p w14:paraId="006DFCF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6" w:type="pct"/>
            <w:vAlign w:val="center"/>
          </w:tcPr>
          <w:p w14:paraId="39A7230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9" w:type="pct"/>
            <w:vAlign w:val="center"/>
          </w:tcPr>
          <w:p w14:paraId="306733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11F6C7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159C35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39CB36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0FE62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755BD55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苯并[a]芘</w:t>
            </w:r>
          </w:p>
        </w:tc>
        <w:tc>
          <w:tcPr>
            <w:tcW w:w="417" w:type="pct"/>
            <w:vAlign w:val="center"/>
          </w:tcPr>
          <w:p w14:paraId="094BAE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00A0911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581" w:type="pct"/>
            <w:vAlign w:val="center"/>
          </w:tcPr>
          <w:p w14:paraId="48FBAA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6" w:type="pct"/>
            <w:vAlign w:val="center"/>
          </w:tcPr>
          <w:p w14:paraId="0104AB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9" w:type="pct"/>
            <w:vAlign w:val="center"/>
          </w:tcPr>
          <w:p w14:paraId="7348EC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324AF09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567D0A8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1B2062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3041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2DE47CF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苯并[b]荧蒽</w:t>
            </w:r>
          </w:p>
        </w:tc>
        <w:tc>
          <w:tcPr>
            <w:tcW w:w="417" w:type="pct"/>
            <w:vAlign w:val="center"/>
          </w:tcPr>
          <w:p w14:paraId="42FF93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3A7EAE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0.2L</w:t>
            </w:r>
          </w:p>
        </w:tc>
        <w:tc>
          <w:tcPr>
            <w:tcW w:w="581" w:type="pct"/>
            <w:vAlign w:val="center"/>
          </w:tcPr>
          <w:p w14:paraId="371BB5E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0.2L</w:t>
            </w:r>
          </w:p>
        </w:tc>
        <w:tc>
          <w:tcPr>
            <w:tcW w:w="496" w:type="pct"/>
            <w:vAlign w:val="center"/>
          </w:tcPr>
          <w:p w14:paraId="6AB9DD5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0.2L</w:t>
            </w:r>
          </w:p>
        </w:tc>
        <w:tc>
          <w:tcPr>
            <w:tcW w:w="499" w:type="pct"/>
            <w:vAlign w:val="center"/>
          </w:tcPr>
          <w:p w14:paraId="3B1329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608D94B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3C48130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6F91E2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048CE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229112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苯并[k]荧蒽</w:t>
            </w:r>
          </w:p>
        </w:tc>
        <w:tc>
          <w:tcPr>
            <w:tcW w:w="417" w:type="pct"/>
            <w:vAlign w:val="center"/>
          </w:tcPr>
          <w:p w14:paraId="0F7C33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36B3A14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581" w:type="pct"/>
            <w:vAlign w:val="center"/>
          </w:tcPr>
          <w:p w14:paraId="085149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6" w:type="pct"/>
            <w:vAlign w:val="center"/>
          </w:tcPr>
          <w:p w14:paraId="2AE810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9" w:type="pct"/>
            <w:vAlign w:val="center"/>
          </w:tcPr>
          <w:p w14:paraId="0723405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417B60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423ECB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36773D0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3E94A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5BDDCD4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䓛</w:t>
            </w:r>
          </w:p>
        </w:tc>
        <w:tc>
          <w:tcPr>
            <w:tcW w:w="417" w:type="pct"/>
            <w:vAlign w:val="center"/>
          </w:tcPr>
          <w:p w14:paraId="2F611E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6B7B9E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581" w:type="pct"/>
            <w:vAlign w:val="center"/>
          </w:tcPr>
          <w:p w14:paraId="511620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6" w:type="pct"/>
            <w:vAlign w:val="center"/>
          </w:tcPr>
          <w:p w14:paraId="5CCA9A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9" w:type="pct"/>
            <w:vAlign w:val="center"/>
          </w:tcPr>
          <w:p w14:paraId="41A7921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5F5F26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2E27AEC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49F7A0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34E9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12CE14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二苯并[a,h]蒽</w:t>
            </w:r>
          </w:p>
        </w:tc>
        <w:tc>
          <w:tcPr>
            <w:tcW w:w="417" w:type="pct"/>
            <w:vAlign w:val="center"/>
          </w:tcPr>
          <w:p w14:paraId="55C1C96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5931D4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581" w:type="pct"/>
            <w:vAlign w:val="center"/>
          </w:tcPr>
          <w:p w14:paraId="723CB13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6" w:type="pct"/>
            <w:vAlign w:val="center"/>
          </w:tcPr>
          <w:p w14:paraId="7689AA4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9" w:type="pct"/>
            <w:vAlign w:val="center"/>
          </w:tcPr>
          <w:p w14:paraId="3BE9B8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5FE2B06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46C1019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38232F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035CE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3E419F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茚并[1,2,3-cd]芘</w:t>
            </w:r>
          </w:p>
        </w:tc>
        <w:tc>
          <w:tcPr>
            <w:tcW w:w="417" w:type="pct"/>
            <w:vAlign w:val="center"/>
          </w:tcPr>
          <w:p w14:paraId="2A03747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31A5C7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581" w:type="pct"/>
            <w:vAlign w:val="center"/>
          </w:tcPr>
          <w:p w14:paraId="19D918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6" w:type="pct"/>
            <w:vAlign w:val="center"/>
          </w:tcPr>
          <w:p w14:paraId="19C816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0.1L</w:t>
            </w:r>
          </w:p>
        </w:tc>
        <w:tc>
          <w:tcPr>
            <w:tcW w:w="499" w:type="pct"/>
            <w:vAlign w:val="center"/>
          </w:tcPr>
          <w:p w14:paraId="0770DD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35DD88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2A9AE6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21C4BE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7756D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247B25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萘</w:t>
            </w:r>
          </w:p>
        </w:tc>
        <w:tc>
          <w:tcPr>
            <w:tcW w:w="417" w:type="pct"/>
            <w:vAlign w:val="center"/>
          </w:tcPr>
          <w:p w14:paraId="192DF5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584" w:type="pct"/>
            <w:vAlign w:val="center"/>
          </w:tcPr>
          <w:p w14:paraId="4ACE337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0.09L</w:t>
            </w:r>
          </w:p>
        </w:tc>
        <w:tc>
          <w:tcPr>
            <w:tcW w:w="581" w:type="pct"/>
            <w:vAlign w:val="center"/>
          </w:tcPr>
          <w:p w14:paraId="5EEA73F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0.09L</w:t>
            </w:r>
          </w:p>
        </w:tc>
        <w:tc>
          <w:tcPr>
            <w:tcW w:w="496" w:type="pct"/>
            <w:vAlign w:val="center"/>
          </w:tcPr>
          <w:p w14:paraId="49C1A93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0.09L</w:t>
            </w:r>
          </w:p>
        </w:tc>
        <w:tc>
          <w:tcPr>
            <w:tcW w:w="499" w:type="pct"/>
            <w:vAlign w:val="center"/>
          </w:tcPr>
          <w:p w14:paraId="5FE234D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582" w:type="pct"/>
            <w:vAlign w:val="center"/>
          </w:tcPr>
          <w:p w14:paraId="562C48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82" w:type="pct"/>
            <w:vAlign w:val="center"/>
          </w:tcPr>
          <w:p w14:paraId="566D01D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25D2E3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27F02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35DFE07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石油烃（C10-C40）</w:t>
            </w:r>
          </w:p>
        </w:tc>
        <w:tc>
          <w:tcPr>
            <w:tcW w:w="417" w:type="pct"/>
            <w:vAlign w:val="center"/>
          </w:tcPr>
          <w:p w14:paraId="651B24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21</w:t>
            </w:r>
          </w:p>
        </w:tc>
        <w:tc>
          <w:tcPr>
            <w:tcW w:w="584" w:type="pct"/>
            <w:vAlign w:val="center"/>
          </w:tcPr>
          <w:p w14:paraId="2A1A8F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c>
          <w:tcPr>
            <w:tcW w:w="581" w:type="pct"/>
            <w:vAlign w:val="center"/>
          </w:tcPr>
          <w:p w14:paraId="657B4B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c>
          <w:tcPr>
            <w:tcW w:w="496" w:type="pct"/>
            <w:vAlign w:val="center"/>
          </w:tcPr>
          <w:p w14:paraId="5354139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20.38</w:t>
            </w:r>
          </w:p>
        </w:tc>
        <w:tc>
          <w:tcPr>
            <w:tcW w:w="499" w:type="pct"/>
            <w:vAlign w:val="center"/>
          </w:tcPr>
          <w:p w14:paraId="724D13A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7.43</w:t>
            </w:r>
          </w:p>
        </w:tc>
        <w:tc>
          <w:tcPr>
            <w:tcW w:w="582" w:type="pct"/>
            <w:vAlign w:val="center"/>
          </w:tcPr>
          <w:p w14:paraId="4392B1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38.1</w:t>
            </w:r>
          </w:p>
        </w:tc>
        <w:tc>
          <w:tcPr>
            <w:tcW w:w="582" w:type="pct"/>
            <w:vAlign w:val="center"/>
          </w:tcPr>
          <w:p w14:paraId="5EAFAF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default" w:ascii="Times New Roman" w:hAnsi="Times New Roman" w:cs="Times New Roman"/>
                <w:sz w:val="21"/>
                <w:szCs w:val="21"/>
                <w:highlight w:val="none"/>
                <w:lang w:val="en-US" w:eastAsia="zh-CN"/>
              </w:rPr>
              <w:t>%</w:t>
            </w:r>
          </w:p>
        </w:tc>
        <w:tc>
          <w:tcPr>
            <w:tcW w:w="609" w:type="pct"/>
            <w:vAlign w:val="center"/>
          </w:tcPr>
          <w:p w14:paraId="44A677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5855C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2E9EBC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阳离子交换量</w:t>
            </w:r>
          </w:p>
        </w:tc>
        <w:tc>
          <w:tcPr>
            <w:tcW w:w="417" w:type="pct"/>
            <w:vAlign w:val="center"/>
          </w:tcPr>
          <w:p w14:paraId="6BDA6AE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21</w:t>
            </w:r>
          </w:p>
        </w:tc>
        <w:tc>
          <w:tcPr>
            <w:tcW w:w="584" w:type="pct"/>
            <w:vAlign w:val="center"/>
          </w:tcPr>
          <w:p w14:paraId="55D8D1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16.2</w:t>
            </w:r>
          </w:p>
        </w:tc>
        <w:tc>
          <w:tcPr>
            <w:tcW w:w="581" w:type="pct"/>
            <w:vAlign w:val="center"/>
          </w:tcPr>
          <w:p w14:paraId="1D8C6B9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2.7</w:t>
            </w:r>
          </w:p>
        </w:tc>
        <w:tc>
          <w:tcPr>
            <w:tcW w:w="496" w:type="pct"/>
            <w:vAlign w:val="center"/>
          </w:tcPr>
          <w:p w14:paraId="55C1B94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7.64</w:t>
            </w:r>
          </w:p>
        </w:tc>
        <w:tc>
          <w:tcPr>
            <w:tcW w:w="499" w:type="pct"/>
            <w:vAlign w:val="center"/>
          </w:tcPr>
          <w:p w14:paraId="034DD9E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3.70</w:t>
            </w:r>
          </w:p>
        </w:tc>
        <w:tc>
          <w:tcPr>
            <w:tcW w:w="582" w:type="pct"/>
            <w:vAlign w:val="center"/>
          </w:tcPr>
          <w:p w14:paraId="1712E9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p>
        </w:tc>
        <w:tc>
          <w:tcPr>
            <w:tcW w:w="582" w:type="pct"/>
            <w:vAlign w:val="center"/>
          </w:tcPr>
          <w:p w14:paraId="575742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56D4C69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167D2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0ACD8C4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氧化还原电位</w:t>
            </w:r>
          </w:p>
        </w:tc>
        <w:tc>
          <w:tcPr>
            <w:tcW w:w="417" w:type="pct"/>
            <w:vAlign w:val="center"/>
          </w:tcPr>
          <w:p w14:paraId="590DFB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21</w:t>
            </w:r>
          </w:p>
        </w:tc>
        <w:tc>
          <w:tcPr>
            <w:tcW w:w="584" w:type="pct"/>
            <w:vAlign w:val="center"/>
          </w:tcPr>
          <w:p w14:paraId="5CEAA7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c>
          <w:tcPr>
            <w:tcW w:w="581" w:type="pct"/>
            <w:vAlign w:val="center"/>
          </w:tcPr>
          <w:p w14:paraId="138252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138</w:t>
            </w:r>
          </w:p>
        </w:tc>
        <w:tc>
          <w:tcPr>
            <w:tcW w:w="496" w:type="pct"/>
            <w:vAlign w:val="center"/>
          </w:tcPr>
          <w:p w14:paraId="5D61A0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172.57</w:t>
            </w:r>
          </w:p>
        </w:tc>
        <w:tc>
          <w:tcPr>
            <w:tcW w:w="499" w:type="pct"/>
            <w:vAlign w:val="center"/>
          </w:tcPr>
          <w:p w14:paraId="74500C3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20.30</w:t>
            </w:r>
          </w:p>
        </w:tc>
        <w:tc>
          <w:tcPr>
            <w:tcW w:w="582" w:type="pct"/>
            <w:vAlign w:val="center"/>
          </w:tcPr>
          <w:p w14:paraId="2D9C394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p>
        </w:tc>
        <w:tc>
          <w:tcPr>
            <w:tcW w:w="582" w:type="pct"/>
            <w:vAlign w:val="center"/>
          </w:tcPr>
          <w:p w14:paraId="6F29F9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76FA31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435E0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45" w:type="pct"/>
            <w:vAlign w:val="center"/>
          </w:tcPr>
          <w:p w14:paraId="6CF0B6B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容重</w:t>
            </w:r>
          </w:p>
        </w:tc>
        <w:tc>
          <w:tcPr>
            <w:tcW w:w="417" w:type="pct"/>
            <w:vAlign w:val="center"/>
          </w:tcPr>
          <w:p w14:paraId="2E556C2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21</w:t>
            </w:r>
          </w:p>
        </w:tc>
        <w:tc>
          <w:tcPr>
            <w:tcW w:w="584" w:type="pct"/>
            <w:vAlign w:val="center"/>
          </w:tcPr>
          <w:p w14:paraId="43D2E6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w:t>
            </w:r>
          </w:p>
        </w:tc>
        <w:tc>
          <w:tcPr>
            <w:tcW w:w="581" w:type="pct"/>
            <w:vAlign w:val="center"/>
          </w:tcPr>
          <w:p w14:paraId="1DCBFB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1.18</w:t>
            </w:r>
          </w:p>
        </w:tc>
        <w:tc>
          <w:tcPr>
            <w:tcW w:w="496" w:type="pct"/>
            <w:vAlign w:val="center"/>
          </w:tcPr>
          <w:p w14:paraId="34076E1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1.30</w:t>
            </w:r>
          </w:p>
        </w:tc>
        <w:tc>
          <w:tcPr>
            <w:tcW w:w="499" w:type="pct"/>
            <w:vAlign w:val="center"/>
          </w:tcPr>
          <w:p w14:paraId="69678B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0.06</w:t>
            </w:r>
          </w:p>
        </w:tc>
        <w:tc>
          <w:tcPr>
            <w:tcW w:w="582" w:type="pct"/>
            <w:vAlign w:val="center"/>
          </w:tcPr>
          <w:p w14:paraId="0E47AC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w:t>
            </w:r>
          </w:p>
        </w:tc>
        <w:tc>
          <w:tcPr>
            <w:tcW w:w="582" w:type="pct"/>
            <w:vAlign w:val="center"/>
          </w:tcPr>
          <w:p w14:paraId="6FA42D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w:t>
            </w:r>
          </w:p>
        </w:tc>
        <w:tc>
          <w:tcPr>
            <w:tcW w:w="609" w:type="pct"/>
            <w:vAlign w:val="center"/>
          </w:tcPr>
          <w:p w14:paraId="3072FB8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bl>
    <w:p w14:paraId="3A7DE701">
      <w:pPr>
        <w:pStyle w:val="7"/>
        <w:bidi w:val="0"/>
        <w:rPr>
          <w:rFonts w:hint="eastAsia"/>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p>
    <w:p w14:paraId="5F8EFC77">
      <w:pPr>
        <w:pStyle w:val="7"/>
        <w:bidi w:val="0"/>
        <w:rPr>
          <w:rFonts w:hint="default"/>
          <w:highlight w:val="none"/>
          <w:lang w:val="en-US" w:eastAsia="zh-CN"/>
        </w:rPr>
      </w:pPr>
      <w:r>
        <w:rPr>
          <w:rFonts w:hint="eastAsia"/>
          <w:highlight w:val="none"/>
          <w:lang w:val="en-US" w:eastAsia="zh-CN"/>
        </w:rPr>
        <w:t>表</w:t>
      </w:r>
      <w:r>
        <w:rPr>
          <w:rFonts w:hint="default"/>
          <w:highlight w:val="none"/>
          <w:lang w:val="en-US" w:eastAsia="zh-CN"/>
        </w:rPr>
        <w:t>4-2-</w:t>
      </w:r>
      <w:r>
        <w:rPr>
          <w:rFonts w:hint="eastAsia"/>
          <w:highlight w:val="none"/>
          <w:lang w:val="en-US" w:eastAsia="zh-CN"/>
        </w:rPr>
        <w:t>21土壤标准指数表单位：mg/kg</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631"/>
        <w:gridCol w:w="573"/>
        <w:gridCol w:w="514"/>
        <w:gridCol w:w="500"/>
        <w:gridCol w:w="591"/>
        <w:gridCol w:w="591"/>
        <w:gridCol w:w="597"/>
        <w:gridCol w:w="591"/>
        <w:gridCol w:w="591"/>
        <w:gridCol w:w="597"/>
        <w:gridCol w:w="591"/>
        <w:gridCol w:w="591"/>
        <w:gridCol w:w="597"/>
        <w:gridCol w:w="591"/>
        <w:gridCol w:w="591"/>
        <w:gridCol w:w="591"/>
        <w:gridCol w:w="591"/>
        <w:gridCol w:w="591"/>
        <w:gridCol w:w="591"/>
        <w:gridCol w:w="591"/>
        <w:gridCol w:w="591"/>
        <w:gridCol w:w="591"/>
        <w:gridCol w:w="298"/>
        <w:gridCol w:w="344"/>
      </w:tblGrid>
      <w:tr w14:paraId="0A217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vMerge w:val="restart"/>
            <w:tcBorders>
              <w:tl2br w:val="nil"/>
              <w:tr2bl w:val="nil"/>
            </w:tcBorders>
            <w:shd w:val="solid" w:color="FFFFFF" w:fill="auto"/>
            <w:vAlign w:val="center"/>
          </w:tcPr>
          <w:p w14:paraId="421EA6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采样地点</w:t>
            </w:r>
          </w:p>
          <w:p w14:paraId="03DF9E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zh-CN"/>
              </w:rPr>
              <w:t>检测项目</w:t>
            </w:r>
          </w:p>
        </w:tc>
        <w:tc>
          <w:tcPr>
            <w:tcW w:w="222" w:type="pct"/>
            <w:vMerge w:val="restart"/>
            <w:tcBorders>
              <w:tl2br w:val="nil"/>
              <w:tr2bl w:val="nil"/>
            </w:tcBorders>
            <w:shd w:val="solid" w:color="FFFFFF" w:fill="auto"/>
            <w:vAlign w:val="center"/>
          </w:tcPr>
          <w:p w14:paraId="5D4569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占地范围外</w:t>
            </w:r>
            <w:r>
              <w:rPr>
                <w:rFonts w:hint="default" w:ascii="Times New Roman" w:hAnsi="Times New Roman" w:eastAsia="宋体" w:cs="Times New Roman"/>
                <w:sz w:val="21"/>
                <w:szCs w:val="21"/>
                <w:highlight w:val="none"/>
                <w:lang w:val="en-US" w:eastAsia="zh-CN"/>
              </w:rPr>
              <w:t>■1</w:t>
            </w:r>
          </w:p>
        </w:tc>
        <w:tc>
          <w:tcPr>
            <w:tcW w:w="202" w:type="pct"/>
            <w:vMerge w:val="restart"/>
            <w:tcBorders>
              <w:tl2br w:val="nil"/>
              <w:tr2bl w:val="nil"/>
            </w:tcBorders>
            <w:shd w:val="solid" w:color="FFFFFF" w:fill="auto"/>
            <w:vAlign w:val="center"/>
          </w:tcPr>
          <w:p w14:paraId="1D1458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占地范围外■</w:t>
            </w:r>
            <w:r>
              <w:rPr>
                <w:rFonts w:hint="eastAsia" w:ascii="Times New Roman" w:hAnsi="Times New Roman" w:eastAsia="宋体" w:cs="Times New Roman"/>
                <w:sz w:val="21"/>
                <w:szCs w:val="21"/>
                <w:highlight w:val="none"/>
                <w:lang w:val="en-US" w:eastAsia="zh-CN"/>
              </w:rPr>
              <w:t>2</w:t>
            </w:r>
          </w:p>
        </w:tc>
        <w:tc>
          <w:tcPr>
            <w:tcW w:w="181" w:type="pct"/>
            <w:vMerge w:val="restart"/>
            <w:tcBorders>
              <w:tl2br w:val="nil"/>
              <w:tr2bl w:val="nil"/>
            </w:tcBorders>
            <w:shd w:val="solid" w:color="FFFFFF" w:fill="auto"/>
            <w:vAlign w:val="center"/>
          </w:tcPr>
          <w:p w14:paraId="5161C8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占地范围外</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3</w:t>
            </w:r>
          </w:p>
        </w:tc>
        <w:tc>
          <w:tcPr>
            <w:tcW w:w="176" w:type="pct"/>
            <w:vMerge w:val="restart"/>
            <w:tcBorders>
              <w:tl2br w:val="nil"/>
              <w:tr2bl w:val="nil"/>
            </w:tcBorders>
            <w:shd w:val="solid" w:color="FFFFFF" w:fill="auto"/>
            <w:vAlign w:val="center"/>
          </w:tcPr>
          <w:p w14:paraId="4D5CB59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占地范围外</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4</w:t>
            </w:r>
          </w:p>
        </w:tc>
        <w:tc>
          <w:tcPr>
            <w:tcW w:w="627" w:type="pct"/>
            <w:gridSpan w:val="3"/>
            <w:tcBorders>
              <w:tl2br w:val="nil"/>
              <w:tr2bl w:val="nil"/>
            </w:tcBorders>
            <w:shd w:val="solid" w:color="FFFFFF" w:fill="auto"/>
            <w:vAlign w:val="center"/>
          </w:tcPr>
          <w:p w14:paraId="6FEA4EE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占地范围内■5</w:t>
            </w:r>
          </w:p>
        </w:tc>
        <w:tc>
          <w:tcPr>
            <w:tcW w:w="627" w:type="pct"/>
            <w:gridSpan w:val="3"/>
            <w:tcBorders>
              <w:tl2br w:val="nil"/>
              <w:tr2bl w:val="nil"/>
            </w:tcBorders>
            <w:shd w:val="solid" w:color="FFFFFF" w:fill="auto"/>
            <w:vAlign w:val="center"/>
          </w:tcPr>
          <w:p w14:paraId="7425C8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占地范围内■6</w:t>
            </w:r>
          </w:p>
        </w:tc>
        <w:tc>
          <w:tcPr>
            <w:tcW w:w="627" w:type="pct"/>
            <w:gridSpan w:val="3"/>
            <w:tcBorders>
              <w:tl2br w:val="nil"/>
              <w:tr2bl w:val="nil"/>
            </w:tcBorders>
            <w:shd w:val="solid" w:color="FFFFFF" w:fill="auto"/>
            <w:vAlign w:val="center"/>
          </w:tcPr>
          <w:p w14:paraId="59BEE53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占地范围内■7</w:t>
            </w:r>
          </w:p>
        </w:tc>
        <w:tc>
          <w:tcPr>
            <w:tcW w:w="625" w:type="pct"/>
            <w:gridSpan w:val="3"/>
            <w:tcBorders>
              <w:tl2br w:val="nil"/>
              <w:tr2bl w:val="nil"/>
            </w:tcBorders>
            <w:shd w:val="solid" w:color="FFFFFF" w:fill="auto"/>
            <w:vAlign w:val="center"/>
          </w:tcPr>
          <w:p w14:paraId="7EFBC9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占地范围内■8</w:t>
            </w:r>
          </w:p>
        </w:tc>
        <w:tc>
          <w:tcPr>
            <w:tcW w:w="625" w:type="pct"/>
            <w:gridSpan w:val="3"/>
            <w:tcBorders>
              <w:tl2br w:val="nil"/>
              <w:tr2bl w:val="nil"/>
            </w:tcBorders>
            <w:shd w:val="solid" w:color="FFFFFF" w:fill="auto"/>
            <w:vAlign w:val="center"/>
          </w:tcPr>
          <w:p w14:paraId="49840D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占地范围内■9</w:t>
            </w:r>
          </w:p>
        </w:tc>
        <w:tc>
          <w:tcPr>
            <w:tcW w:w="208" w:type="pct"/>
            <w:vMerge w:val="restart"/>
            <w:tcBorders>
              <w:tl2br w:val="nil"/>
              <w:tr2bl w:val="nil"/>
            </w:tcBorders>
            <w:shd w:val="clear" w:color="auto" w:fill="auto"/>
            <w:vAlign w:val="center"/>
          </w:tcPr>
          <w:p w14:paraId="054CA1D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占地范围内■10</w:t>
            </w:r>
          </w:p>
        </w:tc>
        <w:tc>
          <w:tcPr>
            <w:tcW w:w="208" w:type="pct"/>
            <w:vMerge w:val="restart"/>
            <w:tcBorders>
              <w:tl2br w:val="nil"/>
              <w:tr2bl w:val="nil"/>
            </w:tcBorders>
            <w:shd w:val="clear" w:color="auto" w:fill="auto"/>
            <w:vAlign w:val="center"/>
          </w:tcPr>
          <w:p w14:paraId="3C8C69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占地范围内■11</w:t>
            </w:r>
          </w:p>
        </w:tc>
        <w:tc>
          <w:tcPr>
            <w:tcW w:w="208" w:type="pct"/>
            <w:vMerge w:val="restart"/>
            <w:tcBorders>
              <w:tl2br w:val="nil"/>
              <w:tr2bl w:val="nil"/>
            </w:tcBorders>
            <w:shd w:val="solid" w:color="FFFFFF" w:fill="auto"/>
            <w:vAlign w:val="center"/>
          </w:tcPr>
          <w:p w14:paraId="54F2A1D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标准值</w:t>
            </w:r>
          </w:p>
        </w:tc>
        <w:tc>
          <w:tcPr>
            <w:tcW w:w="105" w:type="pct"/>
            <w:vMerge w:val="restart"/>
            <w:tcBorders>
              <w:tl2br w:val="nil"/>
              <w:tr2bl w:val="nil"/>
            </w:tcBorders>
            <w:shd w:val="solid" w:color="FFFFFF" w:fill="auto"/>
            <w:vAlign w:val="center"/>
          </w:tcPr>
          <w:p w14:paraId="34EADC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超标率</w:t>
            </w:r>
          </w:p>
        </w:tc>
        <w:tc>
          <w:tcPr>
            <w:tcW w:w="121" w:type="pct"/>
            <w:vMerge w:val="restart"/>
            <w:tcBorders>
              <w:tl2br w:val="nil"/>
              <w:tr2bl w:val="nil"/>
            </w:tcBorders>
            <w:shd w:val="solid" w:color="FFFFFF" w:fill="auto"/>
            <w:vAlign w:val="center"/>
          </w:tcPr>
          <w:p w14:paraId="1169B1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达标情况</w:t>
            </w:r>
          </w:p>
        </w:tc>
      </w:tr>
      <w:tr w14:paraId="4C29A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vMerge w:val="continue"/>
            <w:tcBorders>
              <w:tl2br w:val="nil"/>
              <w:tr2bl w:val="nil"/>
            </w:tcBorders>
            <w:shd w:val="solid" w:color="FFFFFF" w:fill="auto"/>
            <w:vAlign w:val="center"/>
          </w:tcPr>
          <w:p w14:paraId="1CD74A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p>
        </w:tc>
        <w:tc>
          <w:tcPr>
            <w:tcW w:w="222" w:type="pct"/>
            <w:vMerge w:val="continue"/>
            <w:tcBorders>
              <w:tl2br w:val="nil"/>
              <w:tr2bl w:val="nil"/>
            </w:tcBorders>
            <w:shd w:val="solid" w:color="FFFFFF" w:fill="auto"/>
            <w:vAlign w:val="center"/>
          </w:tcPr>
          <w:p w14:paraId="20CA214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p>
        </w:tc>
        <w:tc>
          <w:tcPr>
            <w:tcW w:w="202" w:type="pct"/>
            <w:vMerge w:val="continue"/>
            <w:tcBorders>
              <w:tl2br w:val="nil"/>
              <w:tr2bl w:val="nil"/>
            </w:tcBorders>
            <w:shd w:val="solid" w:color="FFFFFF" w:fill="auto"/>
            <w:vAlign w:val="center"/>
          </w:tcPr>
          <w:p w14:paraId="44AB12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p>
        </w:tc>
        <w:tc>
          <w:tcPr>
            <w:tcW w:w="181" w:type="pct"/>
            <w:vMerge w:val="continue"/>
            <w:tcBorders>
              <w:tl2br w:val="nil"/>
              <w:tr2bl w:val="nil"/>
            </w:tcBorders>
            <w:shd w:val="solid" w:color="FFFFFF" w:fill="auto"/>
            <w:vAlign w:val="center"/>
          </w:tcPr>
          <w:p w14:paraId="5761CD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p>
        </w:tc>
        <w:tc>
          <w:tcPr>
            <w:tcW w:w="176" w:type="pct"/>
            <w:vMerge w:val="continue"/>
            <w:tcBorders>
              <w:tl2br w:val="nil"/>
              <w:tr2bl w:val="nil"/>
            </w:tcBorders>
            <w:shd w:val="solid" w:color="FFFFFF" w:fill="auto"/>
            <w:vAlign w:val="center"/>
          </w:tcPr>
          <w:p w14:paraId="2182502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p>
        </w:tc>
        <w:tc>
          <w:tcPr>
            <w:tcW w:w="208" w:type="pct"/>
            <w:tcBorders>
              <w:tl2br w:val="nil"/>
              <w:tr2bl w:val="nil"/>
            </w:tcBorders>
            <w:shd w:val="solid" w:color="FFFFFF" w:fill="auto"/>
            <w:vAlign w:val="center"/>
          </w:tcPr>
          <w:p w14:paraId="08D59A5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柱状样0.5m</w:t>
            </w:r>
          </w:p>
        </w:tc>
        <w:tc>
          <w:tcPr>
            <w:tcW w:w="208" w:type="pct"/>
            <w:tcBorders>
              <w:tl2br w:val="nil"/>
              <w:tr2bl w:val="nil"/>
            </w:tcBorders>
            <w:shd w:val="solid" w:color="FFFFFF" w:fill="auto"/>
            <w:vAlign w:val="center"/>
          </w:tcPr>
          <w:p w14:paraId="177CB6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柱状样1.0m</w:t>
            </w:r>
          </w:p>
        </w:tc>
        <w:tc>
          <w:tcPr>
            <w:tcW w:w="210" w:type="pct"/>
            <w:tcBorders>
              <w:tl2br w:val="nil"/>
              <w:tr2bl w:val="nil"/>
            </w:tcBorders>
            <w:shd w:val="solid" w:color="FFFFFF" w:fill="auto"/>
            <w:vAlign w:val="center"/>
          </w:tcPr>
          <w:p w14:paraId="445DFEF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柱状样2.0m</w:t>
            </w:r>
          </w:p>
        </w:tc>
        <w:tc>
          <w:tcPr>
            <w:tcW w:w="208" w:type="pct"/>
            <w:tcBorders>
              <w:tl2br w:val="nil"/>
              <w:tr2bl w:val="nil"/>
            </w:tcBorders>
            <w:shd w:val="solid" w:color="FFFFFF" w:fill="auto"/>
            <w:vAlign w:val="center"/>
          </w:tcPr>
          <w:p w14:paraId="46B66F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柱状样0.5m</w:t>
            </w:r>
          </w:p>
        </w:tc>
        <w:tc>
          <w:tcPr>
            <w:tcW w:w="208" w:type="pct"/>
            <w:tcBorders>
              <w:tl2br w:val="nil"/>
              <w:tr2bl w:val="nil"/>
            </w:tcBorders>
            <w:shd w:val="solid" w:color="FFFFFF" w:fill="auto"/>
            <w:vAlign w:val="center"/>
          </w:tcPr>
          <w:p w14:paraId="3FED2D0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柱状样1.0m</w:t>
            </w:r>
          </w:p>
        </w:tc>
        <w:tc>
          <w:tcPr>
            <w:tcW w:w="210" w:type="pct"/>
            <w:tcBorders>
              <w:tl2br w:val="nil"/>
              <w:tr2bl w:val="nil"/>
            </w:tcBorders>
            <w:shd w:val="solid" w:color="FFFFFF" w:fill="auto"/>
            <w:vAlign w:val="center"/>
          </w:tcPr>
          <w:p w14:paraId="6B293D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柱状样2.0m</w:t>
            </w:r>
          </w:p>
        </w:tc>
        <w:tc>
          <w:tcPr>
            <w:tcW w:w="208" w:type="pct"/>
            <w:tcBorders>
              <w:tl2br w:val="nil"/>
              <w:tr2bl w:val="nil"/>
            </w:tcBorders>
            <w:shd w:val="solid" w:color="FFFFFF" w:fill="auto"/>
            <w:vAlign w:val="center"/>
          </w:tcPr>
          <w:p w14:paraId="39A787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柱状样0.5m</w:t>
            </w:r>
          </w:p>
        </w:tc>
        <w:tc>
          <w:tcPr>
            <w:tcW w:w="208" w:type="pct"/>
            <w:tcBorders>
              <w:tl2br w:val="nil"/>
              <w:tr2bl w:val="nil"/>
            </w:tcBorders>
            <w:shd w:val="solid" w:color="FFFFFF" w:fill="auto"/>
            <w:vAlign w:val="center"/>
          </w:tcPr>
          <w:p w14:paraId="7F70E70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柱状样1.0m</w:t>
            </w:r>
          </w:p>
        </w:tc>
        <w:tc>
          <w:tcPr>
            <w:tcW w:w="210" w:type="pct"/>
            <w:tcBorders>
              <w:tl2br w:val="nil"/>
              <w:tr2bl w:val="nil"/>
            </w:tcBorders>
            <w:shd w:val="solid" w:color="FFFFFF" w:fill="auto"/>
            <w:vAlign w:val="center"/>
          </w:tcPr>
          <w:p w14:paraId="235B6A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柱状样2.0m</w:t>
            </w:r>
          </w:p>
        </w:tc>
        <w:tc>
          <w:tcPr>
            <w:tcW w:w="208" w:type="pct"/>
            <w:tcBorders>
              <w:tl2br w:val="nil"/>
              <w:tr2bl w:val="nil"/>
            </w:tcBorders>
            <w:shd w:val="solid" w:color="FFFFFF" w:fill="auto"/>
            <w:vAlign w:val="center"/>
          </w:tcPr>
          <w:p w14:paraId="204CB7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柱状样0.5m</w:t>
            </w:r>
          </w:p>
        </w:tc>
        <w:tc>
          <w:tcPr>
            <w:tcW w:w="208" w:type="pct"/>
            <w:tcBorders>
              <w:tl2br w:val="nil"/>
              <w:tr2bl w:val="nil"/>
            </w:tcBorders>
            <w:shd w:val="solid" w:color="FFFFFF" w:fill="auto"/>
            <w:vAlign w:val="center"/>
          </w:tcPr>
          <w:p w14:paraId="36013B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柱状样1.0m</w:t>
            </w:r>
          </w:p>
        </w:tc>
        <w:tc>
          <w:tcPr>
            <w:tcW w:w="208" w:type="pct"/>
            <w:tcBorders>
              <w:tl2br w:val="nil"/>
              <w:tr2bl w:val="nil"/>
            </w:tcBorders>
            <w:shd w:val="solid" w:color="FFFFFF" w:fill="auto"/>
            <w:vAlign w:val="center"/>
          </w:tcPr>
          <w:p w14:paraId="2C1107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柱状样2.0m</w:t>
            </w:r>
          </w:p>
        </w:tc>
        <w:tc>
          <w:tcPr>
            <w:tcW w:w="208" w:type="pct"/>
            <w:tcBorders>
              <w:tl2br w:val="nil"/>
              <w:tr2bl w:val="nil"/>
            </w:tcBorders>
            <w:shd w:val="solid" w:color="FFFFFF" w:fill="auto"/>
            <w:vAlign w:val="center"/>
          </w:tcPr>
          <w:p w14:paraId="1F9363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柱状样0.5m</w:t>
            </w:r>
          </w:p>
        </w:tc>
        <w:tc>
          <w:tcPr>
            <w:tcW w:w="208" w:type="pct"/>
            <w:tcBorders>
              <w:tl2br w:val="nil"/>
              <w:tr2bl w:val="nil"/>
            </w:tcBorders>
            <w:shd w:val="solid" w:color="FFFFFF" w:fill="auto"/>
            <w:vAlign w:val="center"/>
          </w:tcPr>
          <w:p w14:paraId="3E51A2B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柱状样1.0m</w:t>
            </w:r>
          </w:p>
        </w:tc>
        <w:tc>
          <w:tcPr>
            <w:tcW w:w="208" w:type="pct"/>
            <w:tcBorders>
              <w:tl2br w:val="nil"/>
              <w:tr2bl w:val="nil"/>
            </w:tcBorders>
            <w:shd w:val="solid" w:color="FFFFFF" w:fill="auto"/>
            <w:vAlign w:val="center"/>
          </w:tcPr>
          <w:p w14:paraId="70BF80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柱状样2.0m</w:t>
            </w:r>
          </w:p>
        </w:tc>
        <w:tc>
          <w:tcPr>
            <w:tcW w:w="208" w:type="pct"/>
            <w:vMerge w:val="continue"/>
            <w:tcBorders>
              <w:tl2br w:val="nil"/>
              <w:tr2bl w:val="nil"/>
            </w:tcBorders>
            <w:shd w:val="solid" w:color="FFFFFF" w:fill="auto"/>
            <w:vAlign w:val="center"/>
          </w:tcPr>
          <w:p w14:paraId="18229A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p>
        </w:tc>
        <w:tc>
          <w:tcPr>
            <w:tcW w:w="208" w:type="pct"/>
            <w:vMerge w:val="continue"/>
            <w:tcBorders>
              <w:tl2br w:val="nil"/>
              <w:tr2bl w:val="nil"/>
            </w:tcBorders>
            <w:shd w:val="solid" w:color="FFFFFF" w:fill="auto"/>
            <w:vAlign w:val="center"/>
          </w:tcPr>
          <w:p w14:paraId="6EE2990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p>
        </w:tc>
        <w:tc>
          <w:tcPr>
            <w:tcW w:w="208" w:type="pct"/>
            <w:vMerge w:val="continue"/>
            <w:tcBorders>
              <w:tl2br w:val="nil"/>
              <w:tr2bl w:val="nil"/>
            </w:tcBorders>
            <w:shd w:val="solid" w:color="FFFFFF" w:fill="auto"/>
            <w:vAlign w:val="center"/>
          </w:tcPr>
          <w:p w14:paraId="2CEC2F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p>
        </w:tc>
        <w:tc>
          <w:tcPr>
            <w:tcW w:w="105" w:type="pct"/>
            <w:vMerge w:val="continue"/>
            <w:tcBorders>
              <w:tl2br w:val="nil"/>
              <w:tr2bl w:val="nil"/>
            </w:tcBorders>
            <w:shd w:val="solid" w:color="FFFFFF" w:fill="auto"/>
            <w:vAlign w:val="center"/>
          </w:tcPr>
          <w:p w14:paraId="59AEF8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p>
        </w:tc>
        <w:tc>
          <w:tcPr>
            <w:tcW w:w="121" w:type="pct"/>
            <w:vMerge w:val="continue"/>
            <w:tcBorders>
              <w:tl2br w:val="nil"/>
              <w:tr2bl w:val="nil"/>
            </w:tcBorders>
            <w:shd w:val="solid" w:color="FFFFFF" w:fill="auto"/>
            <w:vAlign w:val="center"/>
          </w:tcPr>
          <w:p w14:paraId="65B87B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p>
        </w:tc>
      </w:tr>
      <w:tr w14:paraId="0D368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tcBorders>
              <w:tl2br w:val="nil"/>
              <w:tr2bl w:val="nil"/>
            </w:tcBorders>
            <w:shd w:val="clear" w:color="auto" w:fill="auto"/>
            <w:vAlign w:val="center"/>
          </w:tcPr>
          <w:p w14:paraId="6D204A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砷</w:t>
            </w:r>
          </w:p>
        </w:tc>
        <w:tc>
          <w:tcPr>
            <w:tcW w:w="222" w:type="pct"/>
            <w:tcBorders>
              <w:tl2br w:val="nil"/>
              <w:tr2bl w:val="nil"/>
            </w:tcBorders>
            <w:shd w:val="clear" w:color="auto" w:fill="auto"/>
            <w:vAlign w:val="center"/>
          </w:tcPr>
          <w:p w14:paraId="6D5B893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0.10</w:t>
            </w:r>
          </w:p>
        </w:tc>
        <w:tc>
          <w:tcPr>
            <w:tcW w:w="202" w:type="pct"/>
            <w:tcBorders>
              <w:tl2br w:val="nil"/>
              <w:tr2bl w:val="nil"/>
            </w:tcBorders>
            <w:shd w:val="solid" w:color="FFFFFF" w:fill="auto"/>
            <w:vAlign w:val="center"/>
          </w:tcPr>
          <w:p w14:paraId="5DAA1B7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tcBorders>
              <w:tl2br w:val="nil"/>
              <w:tr2bl w:val="nil"/>
            </w:tcBorders>
            <w:shd w:val="solid" w:color="FFFFFF" w:fill="auto"/>
            <w:vAlign w:val="center"/>
          </w:tcPr>
          <w:p w14:paraId="59E9347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tcBorders>
              <w:tl2br w:val="nil"/>
              <w:tr2bl w:val="nil"/>
            </w:tcBorders>
            <w:shd w:val="solid" w:color="FFFFFF" w:fill="auto"/>
            <w:vAlign w:val="center"/>
          </w:tcPr>
          <w:p w14:paraId="4E9AE8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03CF515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026E076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tcBorders>
              <w:tl2br w:val="nil"/>
              <w:tr2bl w:val="nil"/>
            </w:tcBorders>
            <w:shd w:val="solid" w:color="FFFFFF" w:fill="auto"/>
            <w:vAlign w:val="center"/>
          </w:tcPr>
          <w:p w14:paraId="6E17DF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13D5C1F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lang w:val="en-US" w:eastAsia="zh-CN"/>
              </w:rPr>
              <w:t>10</w:t>
            </w:r>
          </w:p>
        </w:tc>
        <w:tc>
          <w:tcPr>
            <w:tcW w:w="208" w:type="pct"/>
            <w:tcBorders>
              <w:tl2br w:val="nil"/>
              <w:tr2bl w:val="nil"/>
            </w:tcBorders>
            <w:shd w:val="clear" w:color="auto" w:fill="auto"/>
            <w:vAlign w:val="center"/>
          </w:tcPr>
          <w:p w14:paraId="35D7F3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0.09</w:t>
            </w:r>
          </w:p>
        </w:tc>
        <w:tc>
          <w:tcPr>
            <w:tcW w:w="210" w:type="pct"/>
            <w:tcBorders>
              <w:tl2br w:val="nil"/>
              <w:tr2bl w:val="nil"/>
            </w:tcBorders>
            <w:shd w:val="clear" w:color="auto" w:fill="auto"/>
            <w:vAlign w:val="center"/>
          </w:tcPr>
          <w:p w14:paraId="0F1C5B0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0.09</w:t>
            </w:r>
          </w:p>
        </w:tc>
        <w:tc>
          <w:tcPr>
            <w:tcW w:w="208" w:type="pct"/>
            <w:tcBorders>
              <w:tl2br w:val="nil"/>
              <w:tr2bl w:val="nil"/>
            </w:tcBorders>
            <w:shd w:val="clear" w:color="auto" w:fill="auto"/>
            <w:vAlign w:val="center"/>
          </w:tcPr>
          <w:p w14:paraId="209BC2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0.08</w:t>
            </w:r>
          </w:p>
        </w:tc>
        <w:tc>
          <w:tcPr>
            <w:tcW w:w="208" w:type="pct"/>
            <w:tcBorders>
              <w:tl2br w:val="nil"/>
              <w:tr2bl w:val="nil"/>
            </w:tcBorders>
            <w:shd w:val="clear" w:color="auto" w:fill="auto"/>
            <w:vAlign w:val="center"/>
          </w:tcPr>
          <w:p w14:paraId="05A52D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w:t>
            </w:r>
            <w:r>
              <w:rPr>
                <w:rFonts w:hint="eastAsia" w:ascii="Times New Roman" w:hAnsi="Times New Roman" w:eastAsia="宋体" w:cs="Times New Roman"/>
                <w:sz w:val="21"/>
                <w:szCs w:val="21"/>
                <w:highlight w:val="none"/>
                <w:lang w:val="en-US" w:eastAsia="zh-CN"/>
              </w:rPr>
              <w:t>9</w:t>
            </w:r>
          </w:p>
        </w:tc>
        <w:tc>
          <w:tcPr>
            <w:tcW w:w="210" w:type="pct"/>
            <w:tcBorders>
              <w:tl2br w:val="nil"/>
              <w:tr2bl w:val="nil"/>
            </w:tcBorders>
            <w:shd w:val="clear" w:color="auto" w:fill="auto"/>
            <w:vAlign w:val="center"/>
          </w:tcPr>
          <w:p w14:paraId="137E1C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0.08</w:t>
            </w:r>
          </w:p>
        </w:tc>
        <w:tc>
          <w:tcPr>
            <w:tcW w:w="208" w:type="pct"/>
            <w:tcBorders>
              <w:tl2br w:val="nil"/>
              <w:tr2bl w:val="nil"/>
            </w:tcBorders>
            <w:shd w:val="solid" w:color="FFFFFF" w:fill="auto"/>
            <w:vAlign w:val="center"/>
          </w:tcPr>
          <w:p w14:paraId="67AB2A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675CB9D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4A37F2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5E19F13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2F0710E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6E3719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62F7BB0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2178C6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177141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60</w:t>
            </w:r>
          </w:p>
        </w:tc>
        <w:tc>
          <w:tcPr>
            <w:tcW w:w="105" w:type="pct"/>
            <w:tcBorders>
              <w:tl2br w:val="nil"/>
              <w:tr2bl w:val="nil"/>
            </w:tcBorders>
            <w:shd w:val="solid" w:color="FFFFFF" w:fill="auto"/>
            <w:vAlign w:val="center"/>
          </w:tcPr>
          <w:p w14:paraId="29BA61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tcBorders>
              <w:tl2br w:val="nil"/>
              <w:tr2bl w:val="nil"/>
            </w:tcBorders>
            <w:shd w:val="solid" w:color="FFFFFF" w:fill="auto"/>
            <w:vAlign w:val="center"/>
          </w:tcPr>
          <w:p w14:paraId="39F2CB0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23CDE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tcBorders>
              <w:tl2br w:val="nil"/>
              <w:tr2bl w:val="nil"/>
            </w:tcBorders>
            <w:shd w:val="clear" w:color="auto" w:fill="auto"/>
            <w:vAlign w:val="center"/>
          </w:tcPr>
          <w:p w14:paraId="7A2325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镉</w:t>
            </w:r>
          </w:p>
        </w:tc>
        <w:tc>
          <w:tcPr>
            <w:tcW w:w="222" w:type="pct"/>
            <w:tcBorders>
              <w:tl2br w:val="nil"/>
              <w:tr2bl w:val="nil"/>
            </w:tcBorders>
            <w:shd w:val="clear" w:color="auto" w:fill="auto"/>
            <w:vAlign w:val="center"/>
          </w:tcPr>
          <w:p w14:paraId="62688B8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0.002</w:t>
            </w:r>
          </w:p>
        </w:tc>
        <w:tc>
          <w:tcPr>
            <w:tcW w:w="202" w:type="pct"/>
            <w:tcBorders>
              <w:tl2br w:val="nil"/>
              <w:tr2bl w:val="nil"/>
            </w:tcBorders>
            <w:shd w:val="solid" w:color="FFFFFF" w:fill="auto"/>
            <w:vAlign w:val="center"/>
          </w:tcPr>
          <w:p w14:paraId="2793E6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tcBorders>
              <w:tl2br w:val="nil"/>
              <w:tr2bl w:val="nil"/>
            </w:tcBorders>
            <w:shd w:val="solid" w:color="FFFFFF" w:fill="auto"/>
            <w:vAlign w:val="center"/>
          </w:tcPr>
          <w:p w14:paraId="3F87012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tcBorders>
              <w:tl2br w:val="nil"/>
              <w:tr2bl w:val="nil"/>
            </w:tcBorders>
            <w:shd w:val="solid" w:color="FFFFFF" w:fill="auto"/>
            <w:vAlign w:val="center"/>
          </w:tcPr>
          <w:p w14:paraId="6E18DF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312E21B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D7D51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tcBorders>
              <w:tl2br w:val="nil"/>
              <w:tr2bl w:val="nil"/>
            </w:tcBorders>
            <w:shd w:val="solid" w:color="FFFFFF" w:fill="auto"/>
            <w:vAlign w:val="center"/>
          </w:tcPr>
          <w:p w14:paraId="695A88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795379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0.002</w:t>
            </w:r>
          </w:p>
        </w:tc>
        <w:tc>
          <w:tcPr>
            <w:tcW w:w="208" w:type="pct"/>
            <w:tcBorders>
              <w:tl2br w:val="nil"/>
              <w:tr2bl w:val="nil"/>
            </w:tcBorders>
            <w:shd w:val="clear" w:color="auto" w:fill="auto"/>
            <w:vAlign w:val="center"/>
          </w:tcPr>
          <w:p w14:paraId="69C5D7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w:t>
            </w:r>
            <w:r>
              <w:rPr>
                <w:rFonts w:hint="eastAsia" w:ascii="Times New Roman" w:hAnsi="Times New Roman" w:eastAsia="宋体" w:cs="Times New Roman"/>
                <w:sz w:val="21"/>
                <w:szCs w:val="21"/>
                <w:highlight w:val="none"/>
                <w:lang w:val="en-US" w:eastAsia="zh-CN"/>
              </w:rPr>
              <w:t>2</w:t>
            </w:r>
          </w:p>
        </w:tc>
        <w:tc>
          <w:tcPr>
            <w:tcW w:w="210" w:type="pct"/>
            <w:tcBorders>
              <w:tl2br w:val="nil"/>
              <w:tr2bl w:val="nil"/>
            </w:tcBorders>
            <w:shd w:val="clear" w:color="auto" w:fill="auto"/>
            <w:vAlign w:val="center"/>
          </w:tcPr>
          <w:p w14:paraId="23DAC3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w:t>
            </w:r>
            <w:r>
              <w:rPr>
                <w:rFonts w:hint="eastAsia" w:ascii="Times New Roman" w:hAnsi="Times New Roman" w:eastAsia="宋体" w:cs="Times New Roman"/>
                <w:sz w:val="21"/>
                <w:szCs w:val="21"/>
                <w:highlight w:val="none"/>
                <w:lang w:val="en-US" w:eastAsia="zh-CN"/>
              </w:rPr>
              <w:t>2</w:t>
            </w:r>
          </w:p>
        </w:tc>
        <w:tc>
          <w:tcPr>
            <w:tcW w:w="208" w:type="pct"/>
            <w:tcBorders>
              <w:tl2br w:val="nil"/>
              <w:tr2bl w:val="nil"/>
            </w:tcBorders>
            <w:shd w:val="clear" w:color="auto" w:fill="auto"/>
            <w:vAlign w:val="center"/>
          </w:tcPr>
          <w:p w14:paraId="624766D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w:t>
            </w:r>
          </w:p>
        </w:tc>
        <w:tc>
          <w:tcPr>
            <w:tcW w:w="208" w:type="pct"/>
            <w:tcBorders>
              <w:tl2br w:val="nil"/>
              <w:tr2bl w:val="nil"/>
            </w:tcBorders>
            <w:shd w:val="clear" w:color="auto" w:fill="auto"/>
            <w:vAlign w:val="center"/>
          </w:tcPr>
          <w:p w14:paraId="15A35A8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w:t>
            </w:r>
            <w:r>
              <w:rPr>
                <w:rFonts w:hint="eastAsia" w:ascii="Times New Roman" w:hAnsi="Times New Roman" w:eastAsia="宋体" w:cs="Times New Roman"/>
                <w:sz w:val="21"/>
                <w:szCs w:val="21"/>
                <w:highlight w:val="none"/>
                <w:lang w:val="en-US" w:eastAsia="zh-CN"/>
              </w:rPr>
              <w:t>4</w:t>
            </w:r>
          </w:p>
        </w:tc>
        <w:tc>
          <w:tcPr>
            <w:tcW w:w="210" w:type="pct"/>
            <w:tcBorders>
              <w:tl2br w:val="nil"/>
              <w:tr2bl w:val="nil"/>
            </w:tcBorders>
            <w:shd w:val="clear" w:color="auto" w:fill="auto"/>
            <w:vAlign w:val="center"/>
          </w:tcPr>
          <w:p w14:paraId="54B06B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w:t>
            </w:r>
          </w:p>
        </w:tc>
        <w:tc>
          <w:tcPr>
            <w:tcW w:w="208" w:type="pct"/>
            <w:tcBorders>
              <w:tl2br w:val="nil"/>
              <w:tr2bl w:val="nil"/>
            </w:tcBorders>
            <w:shd w:val="solid" w:color="FFFFFF" w:fill="auto"/>
            <w:vAlign w:val="center"/>
          </w:tcPr>
          <w:p w14:paraId="6BB1269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253956B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05C878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7899E8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6A5BB05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E7595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430398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7A75B06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4119E3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65</w:t>
            </w:r>
          </w:p>
        </w:tc>
        <w:tc>
          <w:tcPr>
            <w:tcW w:w="105" w:type="pct"/>
            <w:tcBorders>
              <w:tl2br w:val="nil"/>
              <w:tr2bl w:val="nil"/>
            </w:tcBorders>
            <w:shd w:val="solid" w:color="FFFFFF" w:fill="auto"/>
            <w:vAlign w:val="center"/>
          </w:tcPr>
          <w:p w14:paraId="02574E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tcBorders>
              <w:tl2br w:val="nil"/>
              <w:tr2bl w:val="nil"/>
            </w:tcBorders>
            <w:shd w:val="solid" w:color="FFFFFF" w:fill="auto"/>
            <w:vAlign w:val="center"/>
          </w:tcPr>
          <w:p w14:paraId="5BA88C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1A7E8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32" w:type="pct"/>
            <w:tcBorders>
              <w:tl2br w:val="nil"/>
              <w:tr2bl w:val="nil"/>
            </w:tcBorders>
            <w:shd w:val="clear" w:color="auto" w:fill="auto"/>
            <w:vAlign w:val="center"/>
          </w:tcPr>
          <w:p w14:paraId="56C2DB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六价铬</w:t>
            </w:r>
          </w:p>
        </w:tc>
        <w:tc>
          <w:tcPr>
            <w:tcW w:w="222" w:type="pct"/>
            <w:tcBorders>
              <w:tl2br w:val="nil"/>
              <w:tr2bl w:val="nil"/>
            </w:tcBorders>
            <w:shd w:val="clear" w:color="auto" w:fill="auto"/>
            <w:vAlign w:val="center"/>
          </w:tcPr>
          <w:p w14:paraId="123E91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2" w:type="pct"/>
            <w:tcBorders>
              <w:tl2br w:val="nil"/>
              <w:tr2bl w:val="nil"/>
            </w:tcBorders>
            <w:shd w:val="solid" w:color="FFFFFF" w:fill="auto"/>
            <w:vAlign w:val="center"/>
          </w:tcPr>
          <w:p w14:paraId="2D5E35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tcBorders>
              <w:tl2br w:val="nil"/>
              <w:tr2bl w:val="nil"/>
            </w:tcBorders>
            <w:shd w:val="solid" w:color="FFFFFF" w:fill="auto"/>
            <w:vAlign w:val="center"/>
          </w:tcPr>
          <w:p w14:paraId="50634A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tcBorders>
              <w:tl2br w:val="nil"/>
              <w:tr2bl w:val="nil"/>
            </w:tcBorders>
            <w:shd w:val="solid" w:color="FFFFFF" w:fill="auto"/>
            <w:vAlign w:val="center"/>
          </w:tcPr>
          <w:p w14:paraId="26BA43C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DD4D77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75A77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tcBorders>
              <w:tl2br w:val="nil"/>
              <w:tr2bl w:val="nil"/>
            </w:tcBorders>
            <w:shd w:val="solid" w:color="FFFFFF" w:fill="auto"/>
            <w:vAlign w:val="center"/>
          </w:tcPr>
          <w:p w14:paraId="386ACDF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4FBF498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Borders>
              <w:tl2br w:val="nil"/>
              <w:tr2bl w:val="nil"/>
            </w:tcBorders>
            <w:shd w:val="clear" w:color="auto" w:fill="auto"/>
            <w:vAlign w:val="center"/>
          </w:tcPr>
          <w:p w14:paraId="7553050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tcBorders>
              <w:tl2br w:val="nil"/>
              <w:tr2bl w:val="nil"/>
            </w:tcBorders>
            <w:shd w:val="clear" w:color="auto" w:fill="auto"/>
            <w:vAlign w:val="center"/>
          </w:tcPr>
          <w:p w14:paraId="1D2762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Borders>
              <w:tl2br w:val="nil"/>
              <w:tr2bl w:val="nil"/>
            </w:tcBorders>
            <w:shd w:val="clear" w:color="auto" w:fill="auto"/>
            <w:vAlign w:val="center"/>
          </w:tcPr>
          <w:p w14:paraId="37595C3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Borders>
              <w:tl2br w:val="nil"/>
              <w:tr2bl w:val="nil"/>
            </w:tcBorders>
            <w:shd w:val="clear" w:color="auto" w:fill="auto"/>
            <w:vAlign w:val="center"/>
          </w:tcPr>
          <w:p w14:paraId="107D2D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tcBorders>
              <w:tl2br w:val="nil"/>
              <w:tr2bl w:val="nil"/>
            </w:tcBorders>
            <w:shd w:val="clear" w:color="auto" w:fill="auto"/>
            <w:vAlign w:val="center"/>
          </w:tcPr>
          <w:p w14:paraId="3FAC854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Borders>
              <w:tl2br w:val="nil"/>
              <w:tr2bl w:val="nil"/>
            </w:tcBorders>
            <w:shd w:val="solid" w:color="FFFFFF" w:fill="auto"/>
            <w:vAlign w:val="center"/>
          </w:tcPr>
          <w:p w14:paraId="6F867D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7F2DC8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70713F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212690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781935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C6783A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C7DF7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91AB5E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410E98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5.7</w:t>
            </w:r>
          </w:p>
        </w:tc>
        <w:tc>
          <w:tcPr>
            <w:tcW w:w="105" w:type="pct"/>
            <w:tcBorders>
              <w:tl2br w:val="nil"/>
              <w:tr2bl w:val="nil"/>
            </w:tcBorders>
            <w:shd w:val="solid" w:color="FFFFFF" w:fill="auto"/>
            <w:vAlign w:val="center"/>
          </w:tcPr>
          <w:p w14:paraId="7774D4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tcBorders>
              <w:tl2br w:val="nil"/>
              <w:tr2bl w:val="nil"/>
            </w:tcBorders>
            <w:shd w:val="solid" w:color="FFFFFF" w:fill="auto"/>
            <w:vAlign w:val="center"/>
          </w:tcPr>
          <w:p w14:paraId="3F825DF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56102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tcBorders>
              <w:tl2br w:val="nil"/>
              <w:tr2bl w:val="nil"/>
            </w:tcBorders>
            <w:shd w:val="clear" w:color="auto" w:fill="auto"/>
            <w:vAlign w:val="center"/>
          </w:tcPr>
          <w:p w14:paraId="19802F1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铜</w:t>
            </w:r>
          </w:p>
        </w:tc>
        <w:tc>
          <w:tcPr>
            <w:tcW w:w="222" w:type="pct"/>
            <w:tcBorders>
              <w:tl2br w:val="nil"/>
              <w:tr2bl w:val="nil"/>
            </w:tcBorders>
            <w:shd w:val="clear" w:color="auto" w:fill="auto"/>
            <w:vAlign w:val="center"/>
          </w:tcPr>
          <w:p w14:paraId="0B3E90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0.002</w:t>
            </w:r>
          </w:p>
        </w:tc>
        <w:tc>
          <w:tcPr>
            <w:tcW w:w="202" w:type="pct"/>
            <w:tcBorders>
              <w:tl2br w:val="nil"/>
              <w:tr2bl w:val="nil"/>
            </w:tcBorders>
            <w:shd w:val="solid" w:color="FFFFFF" w:fill="auto"/>
            <w:vAlign w:val="center"/>
          </w:tcPr>
          <w:p w14:paraId="7C80C63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tcBorders>
              <w:tl2br w:val="nil"/>
              <w:tr2bl w:val="nil"/>
            </w:tcBorders>
            <w:shd w:val="solid" w:color="FFFFFF" w:fill="auto"/>
            <w:vAlign w:val="center"/>
          </w:tcPr>
          <w:p w14:paraId="785522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tcBorders>
              <w:tl2br w:val="nil"/>
              <w:tr2bl w:val="nil"/>
            </w:tcBorders>
            <w:shd w:val="solid" w:color="FFFFFF" w:fill="auto"/>
            <w:vAlign w:val="center"/>
          </w:tcPr>
          <w:p w14:paraId="1E55EA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53DE66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5422A7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tcBorders>
              <w:tl2br w:val="nil"/>
              <w:tr2bl w:val="nil"/>
            </w:tcBorders>
            <w:shd w:val="solid" w:color="FFFFFF" w:fill="auto"/>
            <w:vAlign w:val="center"/>
          </w:tcPr>
          <w:p w14:paraId="63813A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084363B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w:t>
            </w:r>
            <w:r>
              <w:rPr>
                <w:rFonts w:hint="eastAsia" w:ascii="Times New Roman" w:hAnsi="Times New Roman" w:eastAsia="宋体" w:cs="Times New Roman"/>
                <w:sz w:val="21"/>
                <w:szCs w:val="21"/>
                <w:highlight w:val="none"/>
                <w:lang w:val="en-US" w:eastAsia="zh-CN"/>
              </w:rPr>
              <w:t>3</w:t>
            </w:r>
          </w:p>
        </w:tc>
        <w:tc>
          <w:tcPr>
            <w:tcW w:w="208" w:type="pct"/>
            <w:tcBorders>
              <w:tl2br w:val="nil"/>
              <w:tr2bl w:val="nil"/>
            </w:tcBorders>
            <w:shd w:val="clear" w:color="auto" w:fill="auto"/>
            <w:vAlign w:val="center"/>
          </w:tcPr>
          <w:p w14:paraId="6EC07A3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w:t>
            </w:r>
            <w:r>
              <w:rPr>
                <w:rFonts w:hint="eastAsia" w:ascii="Times New Roman" w:hAnsi="Times New Roman" w:eastAsia="宋体" w:cs="Times New Roman"/>
                <w:sz w:val="21"/>
                <w:szCs w:val="21"/>
                <w:highlight w:val="none"/>
                <w:lang w:val="en-US" w:eastAsia="zh-CN"/>
              </w:rPr>
              <w:t>3</w:t>
            </w:r>
          </w:p>
        </w:tc>
        <w:tc>
          <w:tcPr>
            <w:tcW w:w="210" w:type="pct"/>
            <w:tcBorders>
              <w:tl2br w:val="nil"/>
              <w:tr2bl w:val="nil"/>
            </w:tcBorders>
            <w:shd w:val="clear" w:color="auto" w:fill="auto"/>
            <w:vAlign w:val="center"/>
          </w:tcPr>
          <w:p w14:paraId="756DF28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w:t>
            </w:r>
            <w:r>
              <w:rPr>
                <w:rFonts w:hint="eastAsia" w:ascii="Times New Roman" w:hAnsi="Times New Roman" w:eastAsia="宋体" w:cs="Times New Roman"/>
                <w:sz w:val="21"/>
                <w:szCs w:val="21"/>
                <w:highlight w:val="none"/>
                <w:lang w:val="en-US" w:eastAsia="zh-CN"/>
              </w:rPr>
              <w:t>3</w:t>
            </w:r>
          </w:p>
        </w:tc>
        <w:tc>
          <w:tcPr>
            <w:tcW w:w="208" w:type="pct"/>
            <w:tcBorders>
              <w:tl2br w:val="nil"/>
              <w:tr2bl w:val="nil"/>
            </w:tcBorders>
            <w:shd w:val="clear" w:color="auto" w:fill="auto"/>
            <w:vAlign w:val="center"/>
          </w:tcPr>
          <w:p w14:paraId="399123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w:t>
            </w:r>
            <w:r>
              <w:rPr>
                <w:rFonts w:hint="eastAsia" w:ascii="Times New Roman" w:hAnsi="Times New Roman" w:eastAsia="宋体" w:cs="Times New Roman"/>
                <w:sz w:val="21"/>
                <w:szCs w:val="21"/>
                <w:highlight w:val="none"/>
                <w:lang w:val="en-US" w:eastAsia="zh-CN"/>
              </w:rPr>
              <w:t>2</w:t>
            </w:r>
          </w:p>
        </w:tc>
        <w:tc>
          <w:tcPr>
            <w:tcW w:w="208" w:type="pct"/>
            <w:tcBorders>
              <w:tl2br w:val="nil"/>
              <w:tr2bl w:val="nil"/>
            </w:tcBorders>
            <w:shd w:val="clear" w:color="auto" w:fill="auto"/>
            <w:vAlign w:val="center"/>
          </w:tcPr>
          <w:p w14:paraId="7762A4E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w:t>
            </w:r>
            <w:r>
              <w:rPr>
                <w:rFonts w:hint="eastAsia" w:ascii="Times New Roman" w:hAnsi="Times New Roman" w:eastAsia="宋体" w:cs="Times New Roman"/>
                <w:sz w:val="21"/>
                <w:szCs w:val="21"/>
                <w:highlight w:val="none"/>
                <w:lang w:val="en-US" w:eastAsia="zh-CN"/>
              </w:rPr>
              <w:t>2</w:t>
            </w:r>
          </w:p>
        </w:tc>
        <w:tc>
          <w:tcPr>
            <w:tcW w:w="210" w:type="pct"/>
            <w:tcBorders>
              <w:tl2br w:val="nil"/>
              <w:tr2bl w:val="nil"/>
            </w:tcBorders>
            <w:shd w:val="clear" w:color="auto" w:fill="auto"/>
            <w:vAlign w:val="center"/>
          </w:tcPr>
          <w:p w14:paraId="45A21CA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p>
        </w:tc>
        <w:tc>
          <w:tcPr>
            <w:tcW w:w="208" w:type="pct"/>
            <w:tcBorders>
              <w:tl2br w:val="nil"/>
              <w:tr2bl w:val="nil"/>
            </w:tcBorders>
            <w:shd w:val="solid" w:color="FFFFFF" w:fill="auto"/>
            <w:vAlign w:val="center"/>
          </w:tcPr>
          <w:p w14:paraId="30E792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5C7C00D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3256AB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6E57D7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5152038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715CA6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7E9D8F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61CB26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41A2DF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18000</w:t>
            </w:r>
          </w:p>
        </w:tc>
        <w:tc>
          <w:tcPr>
            <w:tcW w:w="105" w:type="pct"/>
            <w:tcBorders>
              <w:tl2br w:val="nil"/>
              <w:tr2bl w:val="nil"/>
            </w:tcBorders>
            <w:shd w:val="solid" w:color="FFFFFF" w:fill="auto"/>
            <w:vAlign w:val="center"/>
          </w:tcPr>
          <w:p w14:paraId="11FCA3C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tcBorders>
              <w:tl2br w:val="nil"/>
              <w:tr2bl w:val="nil"/>
            </w:tcBorders>
            <w:shd w:val="solid" w:color="FFFFFF" w:fill="auto"/>
            <w:vAlign w:val="center"/>
          </w:tcPr>
          <w:p w14:paraId="352D617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390A5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32" w:type="pct"/>
            <w:tcBorders>
              <w:tl2br w:val="nil"/>
              <w:tr2bl w:val="nil"/>
            </w:tcBorders>
            <w:shd w:val="clear" w:color="auto" w:fill="auto"/>
            <w:vAlign w:val="center"/>
          </w:tcPr>
          <w:p w14:paraId="3A0A205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铅</w:t>
            </w:r>
          </w:p>
        </w:tc>
        <w:tc>
          <w:tcPr>
            <w:tcW w:w="222" w:type="pct"/>
            <w:tcBorders>
              <w:tl2br w:val="nil"/>
              <w:tr2bl w:val="nil"/>
            </w:tcBorders>
            <w:shd w:val="clear" w:color="auto" w:fill="auto"/>
            <w:vAlign w:val="center"/>
          </w:tcPr>
          <w:p w14:paraId="054291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2" w:type="pct"/>
            <w:tcBorders>
              <w:tl2br w:val="nil"/>
              <w:tr2bl w:val="nil"/>
            </w:tcBorders>
            <w:shd w:val="solid" w:color="FFFFFF" w:fill="auto"/>
            <w:vAlign w:val="center"/>
          </w:tcPr>
          <w:p w14:paraId="7084802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tcBorders>
              <w:tl2br w:val="nil"/>
              <w:tr2bl w:val="nil"/>
            </w:tcBorders>
            <w:shd w:val="solid" w:color="FFFFFF" w:fill="auto"/>
            <w:vAlign w:val="center"/>
          </w:tcPr>
          <w:p w14:paraId="380355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tcBorders>
              <w:tl2br w:val="nil"/>
              <w:tr2bl w:val="nil"/>
            </w:tcBorders>
            <w:shd w:val="solid" w:color="FFFFFF" w:fill="auto"/>
            <w:vAlign w:val="center"/>
          </w:tcPr>
          <w:p w14:paraId="5B7C91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68AC75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30DAB85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tcBorders>
              <w:tl2br w:val="nil"/>
              <w:tr2bl w:val="nil"/>
            </w:tcBorders>
            <w:shd w:val="solid" w:color="FFFFFF" w:fill="auto"/>
            <w:vAlign w:val="center"/>
          </w:tcPr>
          <w:p w14:paraId="7D0A3E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7254DB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0.09</w:t>
            </w:r>
          </w:p>
        </w:tc>
        <w:tc>
          <w:tcPr>
            <w:tcW w:w="208" w:type="pct"/>
            <w:tcBorders>
              <w:tl2br w:val="nil"/>
              <w:tr2bl w:val="nil"/>
            </w:tcBorders>
            <w:shd w:val="clear" w:color="auto" w:fill="auto"/>
            <w:vAlign w:val="center"/>
          </w:tcPr>
          <w:p w14:paraId="73ED1AF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0.06</w:t>
            </w:r>
          </w:p>
        </w:tc>
        <w:tc>
          <w:tcPr>
            <w:tcW w:w="210" w:type="pct"/>
            <w:tcBorders>
              <w:tl2br w:val="nil"/>
              <w:tr2bl w:val="nil"/>
            </w:tcBorders>
            <w:shd w:val="clear" w:color="auto" w:fill="auto"/>
            <w:vAlign w:val="center"/>
          </w:tcPr>
          <w:p w14:paraId="2377372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0.05</w:t>
            </w:r>
          </w:p>
        </w:tc>
        <w:tc>
          <w:tcPr>
            <w:tcW w:w="208" w:type="pct"/>
            <w:tcBorders>
              <w:tl2br w:val="nil"/>
              <w:tr2bl w:val="nil"/>
            </w:tcBorders>
            <w:shd w:val="clear" w:color="auto" w:fill="auto"/>
            <w:vAlign w:val="center"/>
          </w:tcPr>
          <w:p w14:paraId="40CE2F6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0.09</w:t>
            </w:r>
          </w:p>
        </w:tc>
        <w:tc>
          <w:tcPr>
            <w:tcW w:w="208" w:type="pct"/>
            <w:tcBorders>
              <w:tl2br w:val="nil"/>
              <w:tr2bl w:val="nil"/>
            </w:tcBorders>
            <w:shd w:val="clear" w:color="auto" w:fill="auto"/>
            <w:vAlign w:val="center"/>
          </w:tcPr>
          <w:p w14:paraId="46A059A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0.06</w:t>
            </w:r>
          </w:p>
        </w:tc>
        <w:tc>
          <w:tcPr>
            <w:tcW w:w="210" w:type="pct"/>
            <w:tcBorders>
              <w:tl2br w:val="nil"/>
              <w:tr2bl w:val="nil"/>
            </w:tcBorders>
            <w:shd w:val="clear" w:color="auto" w:fill="auto"/>
            <w:vAlign w:val="center"/>
          </w:tcPr>
          <w:p w14:paraId="39CE2F7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0.08</w:t>
            </w:r>
          </w:p>
        </w:tc>
        <w:tc>
          <w:tcPr>
            <w:tcW w:w="208" w:type="pct"/>
            <w:tcBorders>
              <w:tl2br w:val="nil"/>
              <w:tr2bl w:val="nil"/>
            </w:tcBorders>
            <w:shd w:val="solid" w:color="FFFFFF" w:fill="auto"/>
            <w:vAlign w:val="center"/>
          </w:tcPr>
          <w:p w14:paraId="46AE8C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F51955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160D98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24D3C30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6110DCF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5BEA1AF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5D903F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solid" w:color="FFFFFF" w:fill="auto"/>
            <w:vAlign w:val="center"/>
          </w:tcPr>
          <w:p w14:paraId="54FF16D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71EAA18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800</w:t>
            </w:r>
          </w:p>
        </w:tc>
        <w:tc>
          <w:tcPr>
            <w:tcW w:w="105" w:type="pct"/>
            <w:tcBorders>
              <w:tl2br w:val="nil"/>
              <w:tr2bl w:val="nil"/>
            </w:tcBorders>
            <w:shd w:val="solid" w:color="FFFFFF" w:fill="auto"/>
            <w:vAlign w:val="center"/>
          </w:tcPr>
          <w:p w14:paraId="581EF9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tcBorders>
              <w:tl2br w:val="nil"/>
              <w:tr2bl w:val="nil"/>
            </w:tcBorders>
            <w:shd w:val="solid" w:color="FFFFFF" w:fill="auto"/>
            <w:vAlign w:val="center"/>
          </w:tcPr>
          <w:p w14:paraId="37D29A2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6635E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tcBorders>
              <w:tl2br w:val="nil"/>
              <w:tr2bl w:val="nil"/>
            </w:tcBorders>
            <w:shd w:val="clear" w:color="auto" w:fill="auto"/>
            <w:vAlign w:val="center"/>
          </w:tcPr>
          <w:p w14:paraId="351CF09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汞</w:t>
            </w:r>
          </w:p>
        </w:tc>
        <w:tc>
          <w:tcPr>
            <w:tcW w:w="222" w:type="pct"/>
            <w:tcBorders>
              <w:tl2br w:val="nil"/>
              <w:tr2bl w:val="nil"/>
            </w:tcBorders>
            <w:shd w:val="clear" w:color="auto" w:fill="auto"/>
            <w:vAlign w:val="center"/>
          </w:tcPr>
          <w:p w14:paraId="4110CA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w:t>
            </w:r>
            <w:r>
              <w:rPr>
                <w:rFonts w:hint="eastAsia" w:ascii="Times New Roman" w:hAnsi="Times New Roman" w:eastAsia="宋体" w:cs="Times New Roman"/>
                <w:sz w:val="21"/>
                <w:szCs w:val="21"/>
                <w:highlight w:val="none"/>
                <w:lang w:val="en-US" w:eastAsia="zh-CN"/>
              </w:rPr>
              <w:t>01</w:t>
            </w:r>
          </w:p>
        </w:tc>
        <w:tc>
          <w:tcPr>
            <w:tcW w:w="202" w:type="pct"/>
            <w:tcBorders>
              <w:tl2br w:val="nil"/>
              <w:tr2bl w:val="nil"/>
            </w:tcBorders>
            <w:shd w:val="clear" w:color="auto" w:fill="auto"/>
            <w:vAlign w:val="center"/>
          </w:tcPr>
          <w:p w14:paraId="53E4DF6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tcBorders>
              <w:tl2br w:val="nil"/>
              <w:tr2bl w:val="nil"/>
            </w:tcBorders>
            <w:shd w:val="clear" w:color="auto" w:fill="auto"/>
            <w:vAlign w:val="center"/>
          </w:tcPr>
          <w:p w14:paraId="7AD076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tcBorders>
              <w:tl2br w:val="nil"/>
              <w:tr2bl w:val="nil"/>
            </w:tcBorders>
            <w:shd w:val="clear" w:color="auto" w:fill="auto"/>
            <w:vAlign w:val="center"/>
          </w:tcPr>
          <w:p w14:paraId="0F0CF0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2F10610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3432E5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tcBorders>
              <w:tl2br w:val="nil"/>
              <w:tr2bl w:val="nil"/>
            </w:tcBorders>
            <w:shd w:val="clear" w:color="auto" w:fill="auto"/>
            <w:vAlign w:val="center"/>
          </w:tcPr>
          <w:p w14:paraId="2927C8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381260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p>
        </w:tc>
        <w:tc>
          <w:tcPr>
            <w:tcW w:w="208" w:type="pct"/>
            <w:tcBorders>
              <w:tl2br w:val="nil"/>
              <w:tr2bl w:val="nil"/>
            </w:tcBorders>
            <w:shd w:val="clear" w:color="auto" w:fill="auto"/>
            <w:vAlign w:val="center"/>
          </w:tcPr>
          <w:p w14:paraId="74DF4B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p>
        </w:tc>
        <w:tc>
          <w:tcPr>
            <w:tcW w:w="210" w:type="pct"/>
            <w:tcBorders>
              <w:tl2br w:val="nil"/>
              <w:tr2bl w:val="nil"/>
            </w:tcBorders>
            <w:shd w:val="clear" w:color="auto" w:fill="auto"/>
            <w:vAlign w:val="center"/>
          </w:tcPr>
          <w:p w14:paraId="461F58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p>
        </w:tc>
        <w:tc>
          <w:tcPr>
            <w:tcW w:w="208" w:type="pct"/>
            <w:tcBorders>
              <w:tl2br w:val="nil"/>
              <w:tr2bl w:val="nil"/>
            </w:tcBorders>
            <w:shd w:val="clear" w:color="auto" w:fill="auto"/>
            <w:vAlign w:val="center"/>
          </w:tcPr>
          <w:p w14:paraId="0EE0D3E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p>
        </w:tc>
        <w:tc>
          <w:tcPr>
            <w:tcW w:w="208" w:type="pct"/>
            <w:tcBorders>
              <w:tl2br w:val="nil"/>
              <w:tr2bl w:val="nil"/>
            </w:tcBorders>
            <w:shd w:val="clear" w:color="auto" w:fill="auto"/>
            <w:vAlign w:val="center"/>
          </w:tcPr>
          <w:p w14:paraId="55C5C76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p>
        </w:tc>
        <w:tc>
          <w:tcPr>
            <w:tcW w:w="210" w:type="pct"/>
            <w:tcBorders>
              <w:tl2br w:val="nil"/>
              <w:tr2bl w:val="nil"/>
            </w:tcBorders>
            <w:shd w:val="clear" w:color="auto" w:fill="auto"/>
            <w:vAlign w:val="center"/>
          </w:tcPr>
          <w:p w14:paraId="6891CB6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p>
        </w:tc>
        <w:tc>
          <w:tcPr>
            <w:tcW w:w="208" w:type="pct"/>
            <w:tcBorders>
              <w:tl2br w:val="nil"/>
              <w:tr2bl w:val="nil"/>
            </w:tcBorders>
            <w:shd w:val="clear" w:color="auto" w:fill="auto"/>
            <w:vAlign w:val="center"/>
          </w:tcPr>
          <w:p w14:paraId="4C59E8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3B0804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2B9C931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6F8F89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2EB015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3682B9E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392A98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1E2502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Borders>
              <w:tl2br w:val="nil"/>
              <w:tr2bl w:val="nil"/>
            </w:tcBorders>
            <w:shd w:val="clear" w:color="auto" w:fill="auto"/>
            <w:vAlign w:val="center"/>
          </w:tcPr>
          <w:p w14:paraId="45AFF0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38</w:t>
            </w:r>
          </w:p>
        </w:tc>
        <w:tc>
          <w:tcPr>
            <w:tcW w:w="105" w:type="pct"/>
            <w:tcBorders>
              <w:tl2br w:val="nil"/>
              <w:tr2bl w:val="nil"/>
            </w:tcBorders>
            <w:shd w:val="clear" w:color="auto" w:fill="auto"/>
            <w:vAlign w:val="center"/>
          </w:tcPr>
          <w:p w14:paraId="019517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tcBorders>
              <w:tl2br w:val="nil"/>
              <w:tr2bl w:val="nil"/>
            </w:tcBorders>
            <w:shd w:val="clear" w:color="auto" w:fill="auto"/>
            <w:vAlign w:val="center"/>
          </w:tcPr>
          <w:p w14:paraId="5A21A6D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78FCE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145ED66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镍</w:t>
            </w:r>
          </w:p>
        </w:tc>
        <w:tc>
          <w:tcPr>
            <w:tcW w:w="222" w:type="pct"/>
            <w:shd w:val="clear" w:color="auto" w:fill="auto"/>
            <w:vAlign w:val="center"/>
          </w:tcPr>
          <w:p w14:paraId="0DC30F8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w:t>
            </w:r>
          </w:p>
        </w:tc>
        <w:tc>
          <w:tcPr>
            <w:tcW w:w="202" w:type="pct"/>
            <w:vAlign w:val="center"/>
          </w:tcPr>
          <w:p w14:paraId="59FCB2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1571DF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5EAC25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52CFB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56358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0E3169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47CB32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w:t>
            </w:r>
          </w:p>
        </w:tc>
        <w:tc>
          <w:tcPr>
            <w:tcW w:w="208" w:type="pct"/>
            <w:shd w:val="clear" w:color="auto" w:fill="auto"/>
            <w:vAlign w:val="center"/>
          </w:tcPr>
          <w:p w14:paraId="6C3D27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w:t>
            </w:r>
          </w:p>
        </w:tc>
        <w:tc>
          <w:tcPr>
            <w:tcW w:w="210" w:type="pct"/>
            <w:shd w:val="clear" w:color="auto" w:fill="auto"/>
            <w:vAlign w:val="center"/>
          </w:tcPr>
          <w:p w14:paraId="2FE87B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w:t>
            </w:r>
            <w:r>
              <w:rPr>
                <w:rFonts w:hint="eastAsia" w:ascii="Times New Roman" w:hAnsi="Times New Roman" w:eastAsia="宋体" w:cs="Times New Roman"/>
                <w:sz w:val="21"/>
                <w:szCs w:val="21"/>
                <w:highlight w:val="none"/>
                <w:lang w:val="en-US" w:eastAsia="zh-CN"/>
              </w:rPr>
              <w:t>3</w:t>
            </w:r>
          </w:p>
        </w:tc>
        <w:tc>
          <w:tcPr>
            <w:tcW w:w="208" w:type="pct"/>
            <w:shd w:val="clear" w:color="auto" w:fill="auto"/>
            <w:vAlign w:val="center"/>
          </w:tcPr>
          <w:p w14:paraId="5BCFD8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w:t>
            </w:r>
          </w:p>
        </w:tc>
        <w:tc>
          <w:tcPr>
            <w:tcW w:w="208" w:type="pct"/>
            <w:shd w:val="clear" w:color="auto" w:fill="auto"/>
            <w:vAlign w:val="center"/>
          </w:tcPr>
          <w:p w14:paraId="79505F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w:t>
            </w:r>
            <w:r>
              <w:rPr>
                <w:rFonts w:hint="eastAsia" w:ascii="Times New Roman" w:hAnsi="Times New Roman" w:eastAsia="宋体" w:cs="Times New Roman"/>
                <w:sz w:val="21"/>
                <w:szCs w:val="21"/>
                <w:highlight w:val="none"/>
                <w:lang w:val="en-US" w:eastAsia="zh-CN"/>
              </w:rPr>
              <w:t>4</w:t>
            </w:r>
          </w:p>
        </w:tc>
        <w:tc>
          <w:tcPr>
            <w:tcW w:w="210" w:type="pct"/>
            <w:shd w:val="clear" w:color="auto" w:fill="auto"/>
            <w:vAlign w:val="center"/>
          </w:tcPr>
          <w:p w14:paraId="29C82DA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0.04</w:t>
            </w:r>
          </w:p>
        </w:tc>
        <w:tc>
          <w:tcPr>
            <w:tcW w:w="0" w:type="auto"/>
            <w:vAlign w:val="center"/>
          </w:tcPr>
          <w:p w14:paraId="712FD6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59691D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629A78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557A70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6899A2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7258D9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658006F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030D62D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shd w:val="clear" w:color="auto" w:fill="auto"/>
            <w:vAlign w:val="center"/>
          </w:tcPr>
          <w:p w14:paraId="4553981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900</w:t>
            </w:r>
          </w:p>
        </w:tc>
        <w:tc>
          <w:tcPr>
            <w:tcW w:w="105" w:type="pct"/>
            <w:vAlign w:val="center"/>
          </w:tcPr>
          <w:p w14:paraId="59A3B8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0694C5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2FBD6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655CA96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四氯化碳</w:t>
            </w:r>
          </w:p>
        </w:tc>
        <w:tc>
          <w:tcPr>
            <w:tcW w:w="222" w:type="pct"/>
            <w:shd w:val="clear" w:color="auto" w:fill="auto"/>
            <w:vAlign w:val="center"/>
          </w:tcPr>
          <w:p w14:paraId="3B9F760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2" w:type="pct"/>
            <w:vAlign w:val="center"/>
          </w:tcPr>
          <w:p w14:paraId="2616AEF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5D1B2D5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221943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A3039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97FE8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51DA8E4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shd w:val="clear" w:color="auto" w:fill="auto"/>
            <w:vAlign w:val="center"/>
          </w:tcPr>
          <w:p w14:paraId="4AEF12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0" w:type="auto"/>
            <w:shd w:val="clear" w:color="auto" w:fill="auto"/>
            <w:vAlign w:val="center"/>
          </w:tcPr>
          <w:p w14:paraId="3F60725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0" w:type="auto"/>
            <w:shd w:val="clear" w:color="auto" w:fill="auto"/>
            <w:vAlign w:val="center"/>
          </w:tcPr>
          <w:p w14:paraId="302015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5CA98F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59E229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28E8D4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0" w:type="auto"/>
            <w:vAlign w:val="center"/>
          </w:tcPr>
          <w:p w14:paraId="4A93303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0B0356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56AEE50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53577E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377150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39B24C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6500EE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18465E3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shd w:val="clear" w:color="auto" w:fill="auto"/>
            <w:vAlign w:val="center"/>
          </w:tcPr>
          <w:p w14:paraId="7DE91D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w:t>
            </w:r>
          </w:p>
        </w:tc>
        <w:tc>
          <w:tcPr>
            <w:tcW w:w="105" w:type="pct"/>
            <w:vAlign w:val="center"/>
          </w:tcPr>
          <w:p w14:paraId="3427C8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75ADFF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664B7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5B72FEC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氯仿</w:t>
            </w:r>
          </w:p>
        </w:tc>
        <w:tc>
          <w:tcPr>
            <w:tcW w:w="222" w:type="pct"/>
            <w:shd w:val="clear" w:color="auto" w:fill="auto"/>
            <w:vAlign w:val="center"/>
          </w:tcPr>
          <w:p w14:paraId="51DF82D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2" w:type="pct"/>
            <w:vAlign w:val="center"/>
          </w:tcPr>
          <w:p w14:paraId="2614276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09D964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0A9EF8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E7AEA4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82F31D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56A8437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shd w:val="clear" w:color="auto" w:fill="auto"/>
            <w:vAlign w:val="center"/>
          </w:tcPr>
          <w:p w14:paraId="53F3953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0" w:type="auto"/>
            <w:shd w:val="clear" w:color="auto" w:fill="auto"/>
            <w:vAlign w:val="center"/>
          </w:tcPr>
          <w:p w14:paraId="5C653A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0" w:type="auto"/>
            <w:shd w:val="clear" w:color="auto" w:fill="auto"/>
            <w:vAlign w:val="center"/>
          </w:tcPr>
          <w:p w14:paraId="3B3EEB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86B08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E4876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EB66A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0" w:type="auto"/>
            <w:vAlign w:val="center"/>
          </w:tcPr>
          <w:p w14:paraId="5A84EE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2ED818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459E4C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708323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39F1AB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36D90C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0DD9E13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vAlign w:val="center"/>
          </w:tcPr>
          <w:p w14:paraId="7D0C52A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0" w:type="auto"/>
            <w:shd w:val="clear" w:color="auto" w:fill="auto"/>
            <w:vAlign w:val="center"/>
          </w:tcPr>
          <w:p w14:paraId="4398A7D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0.9</w:t>
            </w:r>
          </w:p>
        </w:tc>
        <w:tc>
          <w:tcPr>
            <w:tcW w:w="105" w:type="pct"/>
            <w:vAlign w:val="center"/>
          </w:tcPr>
          <w:p w14:paraId="1F2ABA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43D94A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bl>
    <w:p w14:paraId="7F513C26">
      <w:pPr>
        <w:pStyle w:val="7"/>
        <w:bidi w:val="0"/>
        <w:rPr>
          <w:highlight w:val="none"/>
        </w:rPr>
      </w:pPr>
      <w:r>
        <w:rPr>
          <w:rFonts w:hint="eastAsia"/>
          <w:highlight w:val="none"/>
          <w:lang w:val="en-US" w:eastAsia="zh-CN"/>
        </w:rPr>
        <w:t>续表</w:t>
      </w:r>
      <w:r>
        <w:rPr>
          <w:rFonts w:hint="default"/>
          <w:highlight w:val="none"/>
          <w:lang w:val="en-US" w:eastAsia="zh-CN"/>
        </w:rPr>
        <w:t>4-2-</w:t>
      </w:r>
      <w:r>
        <w:rPr>
          <w:rFonts w:hint="eastAsia"/>
          <w:highlight w:val="none"/>
          <w:lang w:val="en-US" w:eastAsia="zh-CN"/>
        </w:rPr>
        <w:t>21土壤标准指数表单位：mg/kg</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65"/>
        <w:gridCol w:w="617"/>
        <w:gridCol w:w="514"/>
        <w:gridCol w:w="500"/>
        <w:gridCol w:w="591"/>
        <w:gridCol w:w="591"/>
        <w:gridCol w:w="597"/>
        <w:gridCol w:w="591"/>
        <w:gridCol w:w="591"/>
        <w:gridCol w:w="597"/>
        <w:gridCol w:w="591"/>
        <w:gridCol w:w="591"/>
        <w:gridCol w:w="597"/>
        <w:gridCol w:w="591"/>
        <w:gridCol w:w="591"/>
        <w:gridCol w:w="591"/>
        <w:gridCol w:w="591"/>
        <w:gridCol w:w="591"/>
        <w:gridCol w:w="591"/>
        <w:gridCol w:w="591"/>
        <w:gridCol w:w="591"/>
        <w:gridCol w:w="591"/>
        <w:gridCol w:w="298"/>
        <w:gridCol w:w="344"/>
      </w:tblGrid>
      <w:tr w14:paraId="4CDE1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 w:type="pct"/>
            <w:shd w:val="clear" w:color="auto" w:fill="auto"/>
            <w:vAlign w:val="center"/>
          </w:tcPr>
          <w:p w14:paraId="5B0642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氯甲烷</w:t>
            </w:r>
          </w:p>
        </w:tc>
        <w:tc>
          <w:tcPr>
            <w:tcW w:w="164" w:type="pct"/>
            <w:shd w:val="clear" w:color="auto" w:fill="auto"/>
            <w:vAlign w:val="center"/>
          </w:tcPr>
          <w:p w14:paraId="79CEAEB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7" w:type="pct"/>
            <w:vAlign w:val="center"/>
          </w:tcPr>
          <w:p w14:paraId="2D359B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541E41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2DF7566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E9B40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BF886D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4D836C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27BEDD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099BF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27B0C94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5E415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538AF7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03C9396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391F93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324A34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7D4DF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FEE17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5FFF7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85500E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84DB4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35F58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5041EC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37</w:t>
            </w:r>
          </w:p>
        </w:tc>
        <w:tc>
          <w:tcPr>
            <w:tcW w:w="105" w:type="pct"/>
            <w:vAlign w:val="center"/>
          </w:tcPr>
          <w:p w14:paraId="507324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2C48FA5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30861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 w:type="pct"/>
            <w:shd w:val="clear" w:color="auto" w:fill="auto"/>
            <w:vAlign w:val="center"/>
          </w:tcPr>
          <w:p w14:paraId="54D3E61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1,1-二氯乙烷</w:t>
            </w:r>
          </w:p>
        </w:tc>
        <w:tc>
          <w:tcPr>
            <w:tcW w:w="164" w:type="pct"/>
            <w:shd w:val="clear" w:color="auto" w:fill="auto"/>
            <w:vAlign w:val="center"/>
          </w:tcPr>
          <w:p w14:paraId="333BC1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7" w:type="pct"/>
            <w:vAlign w:val="top"/>
          </w:tcPr>
          <w:p w14:paraId="443C4F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31E9F06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409F80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21698C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07CC51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5F1FCAB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4E3AF5D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3340CD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7DCEC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F1B14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F769E1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12DE032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4FD126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3931DE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E298FB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1F247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7AF808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C9DB7C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50DD3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tcPr>
          <w:p w14:paraId="7E43FDA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shd w:val="clear" w:color="auto" w:fill="auto"/>
            <w:vAlign w:val="center"/>
          </w:tcPr>
          <w:p w14:paraId="521611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w:t>
            </w:r>
          </w:p>
        </w:tc>
        <w:tc>
          <w:tcPr>
            <w:tcW w:w="105" w:type="pct"/>
            <w:vAlign w:val="center"/>
          </w:tcPr>
          <w:p w14:paraId="3CA3F6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en-US"/>
              </w:rPr>
              <w:t>0</w:t>
            </w:r>
          </w:p>
        </w:tc>
        <w:tc>
          <w:tcPr>
            <w:tcW w:w="121" w:type="pct"/>
            <w:vAlign w:val="center"/>
          </w:tcPr>
          <w:p w14:paraId="07B2A02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达标</w:t>
            </w:r>
          </w:p>
        </w:tc>
      </w:tr>
      <w:tr w14:paraId="1B441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 w:type="pct"/>
            <w:shd w:val="clear" w:color="auto" w:fill="auto"/>
            <w:vAlign w:val="center"/>
          </w:tcPr>
          <w:p w14:paraId="43ED08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1,2-二氯乙烷</w:t>
            </w:r>
          </w:p>
        </w:tc>
        <w:tc>
          <w:tcPr>
            <w:tcW w:w="164" w:type="pct"/>
            <w:shd w:val="clear" w:color="auto" w:fill="auto"/>
            <w:vAlign w:val="center"/>
          </w:tcPr>
          <w:p w14:paraId="53A6CE5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7" w:type="pct"/>
            <w:vAlign w:val="top"/>
          </w:tcPr>
          <w:p w14:paraId="13F92E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131305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1737603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109B47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36ACE0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7B32E0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5F08FD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C44CE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882FD5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5B86C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2FFA8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2003B34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7B0C76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43F1F43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E29AE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08CC5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40913F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02BB8F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1C249A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tcPr>
          <w:p w14:paraId="6DD55B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shd w:val="clear" w:color="auto" w:fill="auto"/>
            <w:vAlign w:val="center"/>
          </w:tcPr>
          <w:p w14:paraId="67E34BD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p>
        </w:tc>
        <w:tc>
          <w:tcPr>
            <w:tcW w:w="105" w:type="pct"/>
            <w:vAlign w:val="center"/>
          </w:tcPr>
          <w:p w14:paraId="5A11BE5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en-US"/>
              </w:rPr>
              <w:t>0</w:t>
            </w:r>
          </w:p>
        </w:tc>
        <w:tc>
          <w:tcPr>
            <w:tcW w:w="121" w:type="pct"/>
            <w:vAlign w:val="center"/>
          </w:tcPr>
          <w:p w14:paraId="4FB191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达标</w:t>
            </w:r>
          </w:p>
        </w:tc>
      </w:tr>
      <w:tr w14:paraId="5C548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 w:type="pct"/>
            <w:shd w:val="clear" w:color="auto" w:fill="auto"/>
            <w:vAlign w:val="center"/>
          </w:tcPr>
          <w:p w14:paraId="3DA1E7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1,1-二氯乙烯</w:t>
            </w:r>
          </w:p>
        </w:tc>
        <w:tc>
          <w:tcPr>
            <w:tcW w:w="164" w:type="pct"/>
            <w:shd w:val="clear" w:color="auto" w:fill="auto"/>
            <w:vAlign w:val="center"/>
          </w:tcPr>
          <w:p w14:paraId="55C8B0B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7" w:type="pct"/>
            <w:vAlign w:val="top"/>
          </w:tcPr>
          <w:p w14:paraId="176AC4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7456F7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4CC37B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0AC8587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43AC69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65FF3BD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2C23A4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A30891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450E3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4D084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E56FB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1B3D69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6230ED5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4AA326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376CC34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978AC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0F90B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D20A57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594CC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tcPr>
          <w:p w14:paraId="4D101B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shd w:val="clear" w:color="auto" w:fill="auto"/>
            <w:vAlign w:val="center"/>
          </w:tcPr>
          <w:p w14:paraId="68ADD7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66</w:t>
            </w:r>
          </w:p>
        </w:tc>
        <w:tc>
          <w:tcPr>
            <w:tcW w:w="105" w:type="pct"/>
            <w:vAlign w:val="center"/>
          </w:tcPr>
          <w:p w14:paraId="7AE3DA7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en-US"/>
              </w:rPr>
              <w:t>0</w:t>
            </w:r>
          </w:p>
        </w:tc>
        <w:tc>
          <w:tcPr>
            <w:tcW w:w="121" w:type="pct"/>
            <w:vAlign w:val="center"/>
          </w:tcPr>
          <w:p w14:paraId="3BE0E5B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达标</w:t>
            </w:r>
          </w:p>
        </w:tc>
      </w:tr>
      <w:tr w14:paraId="2DB3F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 w:type="pct"/>
            <w:shd w:val="clear" w:color="auto" w:fill="auto"/>
            <w:vAlign w:val="center"/>
          </w:tcPr>
          <w:p w14:paraId="14C37DE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顺-1,2-二氯乙烯</w:t>
            </w:r>
          </w:p>
        </w:tc>
        <w:tc>
          <w:tcPr>
            <w:tcW w:w="164" w:type="pct"/>
            <w:shd w:val="clear" w:color="auto" w:fill="auto"/>
            <w:vAlign w:val="center"/>
          </w:tcPr>
          <w:p w14:paraId="0E555B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7" w:type="pct"/>
            <w:vAlign w:val="top"/>
          </w:tcPr>
          <w:p w14:paraId="73D6BE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7A8E8D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60158E8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0FB2581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4D9BF4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3432EC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7B91884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149CF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2182F94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3E2F3A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C08A3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756F45F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54CC0B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4FA754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7AE3D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B05456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BFFF43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FDA87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52301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tcPr>
          <w:p w14:paraId="31C9D5B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shd w:val="clear" w:color="auto" w:fill="auto"/>
            <w:vAlign w:val="center"/>
          </w:tcPr>
          <w:p w14:paraId="4ECAEB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596</w:t>
            </w:r>
          </w:p>
        </w:tc>
        <w:tc>
          <w:tcPr>
            <w:tcW w:w="105" w:type="pct"/>
            <w:vAlign w:val="center"/>
          </w:tcPr>
          <w:p w14:paraId="79D66A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en-US"/>
              </w:rPr>
              <w:t>0</w:t>
            </w:r>
          </w:p>
        </w:tc>
        <w:tc>
          <w:tcPr>
            <w:tcW w:w="121" w:type="pct"/>
            <w:vAlign w:val="center"/>
          </w:tcPr>
          <w:p w14:paraId="319BDA9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达标</w:t>
            </w:r>
          </w:p>
        </w:tc>
      </w:tr>
      <w:tr w14:paraId="09532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 w:type="pct"/>
            <w:shd w:val="clear" w:color="auto" w:fill="auto"/>
            <w:vAlign w:val="center"/>
          </w:tcPr>
          <w:p w14:paraId="7E52BE4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反-1,2-二氯乙烯</w:t>
            </w:r>
          </w:p>
        </w:tc>
        <w:tc>
          <w:tcPr>
            <w:tcW w:w="164" w:type="pct"/>
            <w:shd w:val="clear" w:color="auto" w:fill="auto"/>
            <w:vAlign w:val="center"/>
          </w:tcPr>
          <w:p w14:paraId="4904146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7" w:type="pct"/>
            <w:vAlign w:val="top"/>
          </w:tcPr>
          <w:p w14:paraId="19C1EA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12C47A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6F4283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477FA6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42D63B2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6732B8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731C45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3316A0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7FBC8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43DB2C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E4901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0F7A5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2A912D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4F4D9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EE681E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C268C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4D75F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14E41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5D2F7A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tcPr>
          <w:p w14:paraId="0FE8AB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shd w:val="clear" w:color="auto" w:fill="auto"/>
            <w:vAlign w:val="center"/>
          </w:tcPr>
          <w:p w14:paraId="78D446E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54</w:t>
            </w:r>
          </w:p>
        </w:tc>
        <w:tc>
          <w:tcPr>
            <w:tcW w:w="105" w:type="pct"/>
            <w:vAlign w:val="center"/>
          </w:tcPr>
          <w:p w14:paraId="68756C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en-US"/>
              </w:rPr>
              <w:t>0</w:t>
            </w:r>
          </w:p>
        </w:tc>
        <w:tc>
          <w:tcPr>
            <w:tcW w:w="121" w:type="pct"/>
            <w:vAlign w:val="center"/>
          </w:tcPr>
          <w:p w14:paraId="26ECD1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达标</w:t>
            </w:r>
          </w:p>
        </w:tc>
      </w:tr>
      <w:tr w14:paraId="1A147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 w:type="pct"/>
            <w:shd w:val="clear" w:color="auto" w:fill="auto"/>
            <w:vAlign w:val="center"/>
          </w:tcPr>
          <w:p w14:paraId="4E8C6CF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二氯甲烷</w:t>
            </w:r>
          </w:p>
        </w:tc>
        <w:tc>
          <w:tcPr>
            <w:tcW w:w="164" w:type="pct"/>
            <w:shd w:val="clear" w:color="auto" w:fill="auto"/>
            <w:vAlign w:val="center"/>
          </w:tcPr>
          <w:p w14:paraId="1C6D51A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7" w:type="pct"/>
            <w:vAlign w:val="top"/>
          </w:tcPr>
          <w:p w14:paraId="5389A3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1AD632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27477F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110C732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65C8AEF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19C5BEB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F828F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E644F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090380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52E1F6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29F8F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1B42DC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5B3BA69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05D31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9332C3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2B213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23B78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90EC5D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F065A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tcPr>
          <w:p w14:paraId="4169EF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shd w:val="clear" w:color="auto" w:fill="auto"/>
            <w:vAlign w:val="center"/>
          </w:tcPr>
          <w:p w14:paraId="636744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616</w:t>
            </w:r>
          </w:p>
        </w:tc>
        <w:tc>
          <w:tcPr>
            <w:tcW w:w="105" w:type="pct"/>
            <w:vAlign w:val="center"/>
          </w:tcPr>
          <w:p w14:paraId="0B92A1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en-US"/>
              </w:rPr>
              <w:t>0</w:t>
            </w:r>
          </w:p>
        </w:tc>
        <w:tc>
          <w:tcPr>
            <w:tcW w:w="121" w:type="pct"/>
            <w:vAlign w:val="center"/>
          </w:tcPr>
          <w:p w14:paraId="4E3BF12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达标</w:t>
            </w:r>
          </w:p>
        </w:tc>
      </w:tr>
      <w:tr w14:paraId="4C7DE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 w:type="pct"/>
            <w:shd w:val="clear" w:color="auto" w:fill="auto"/>
            <w:vAlign w:val="center"/>
          </w:tcPr>
          <w:p w14:paraId="193958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1,2-二氯丙烷</w:t>
            </w:r>
          </w:p>
        </w:tc>
        <w:tc>
          <w:tcPr>
            <w:tcW w:w="164" w:type="pct"/>
            <w:shd w:val="clear" w:color="auto" w:fill="auto"/>
            <w:vAlign w:val="center"/>
          </w:tcPr>
          <w:p w14:paraId="47AFC16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7" w:type="pct"/>
            <w:vAlign w:val="top"/>
          </w:tcPr>
          <w:p w14:paraId="7719BB9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4F0119F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4E0D93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3CED9C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113481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74DA3F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10D06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7D829D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855EB8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8D5FB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3450480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21FBC4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3A0666C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4ED68F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17452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421A2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5887F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45EA31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EC1F4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tcPr>
          <w:p w14:paraId="48B0E7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shd w:val="clear" w:color="auto" w:fill="auto"/>
            <w:vAlign w:val="center"/>
          </w:tcPr>
          <w:p w14:paraId="1FFBD7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p>
        </w:tc>
        <w:tc>
          <w:tcPr>
            <w:tcW w:w="105" w:type="pct"/>
            <w:vAlign w:val="center"/>
          </w:tcPr>
          <w:p w14:paraId="6C65A32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en-US"/>
              </w:rPr>
              <w:t>0</w:t>
            </w:r>
          </w:p>
        </w:tc>
        <w:tc>
          <w:tcPr>
            <w:tcW w:w="121" w:type="pct"/>
            <w:vAlign w:val="center"/>
          </w:tcPr>
          <w:p w14:paraId="4E8A88D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达标</w:t>
            </w:r>
          </w:p>
        </w:tc>
      </w:tr>
      <w:tr w14:paraId="0142A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 w:type="pct"/>
            <w:shd w:val="clear" w:color="auto" w:fill="auto"/>
            <w:vAlign w:val="center"/>
          </w:tcPr>
          <w:p w14:paraId="18B0D8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1,1,1,2-四氯乙烷</w:t>
            </w:r>
          </w:p>
        </w:tc>
        <w:tc>
          <w:tcPr>
            <w:tcW w:w="164" w:type="pct"/>
            <w:shd w:val="clear" w:color="auto" w:fill="auto"/>
            <w:vAlign w:val="center"/>
          </w:tcPr>
          <w:p w14:paraId="2FC96A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7" w:type="pct"/>
            <w:vAlign w:val="top"/>
          </w:tcPr>
          <w:p w14:paraId="4CAC5E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19FF2D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4FD2BE7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1E5E71B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1FE044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0DB932A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29839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7414D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04E86F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E86FE2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D6AABA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02965F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17CB4E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3DC5B5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FF44A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A1682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F95252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70F5EF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3F20D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tcPr>
          <w:p w14:paraId="5D316F8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208" w:type="pct"/>
            <w:shd w:val="clear" w:color="auto" w:fill="auto"/>
            <w:vAlign w:val="center"/>
          </w:tcPr>
          <w:p w14:paraId="43FD902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w:t>
            </w:r>
          </w:p>
        </w:tc>
        <w:tc>
          <w:tcPr>
            <w:tcW w:w="105" w:type="pct"/>
            <w:vAlign w:val="center"/>
          </w:tcPr>
          <w:p w14:paraId="2AAB06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en-US"/>
              </w:rPr>
              <w:t>0</w:t>
            </w:r>
          </w:p>
        </w:tc>
        <w:tc>
          <w:tcPr>
            <w:tcW w:w="121" w:type="pct"/>
            <w:vAlign w:val="center"/>
          </w:tcPr>
          <w:p w14:paraId="073B839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en-US"/>
              </w:rPr>
            </w:pPr>
            <w:r>
              <w:rPr>
                <w:rFonts w:hint="default" w:ascii="Times New Roman" w:hAnsi="Times New Roman" w:cs="Times New Roman"/>
                <w:sz w:val="21"/>
                <w:szCs w:val="21"/>
                <w:highlight w:val="none"/>
                <w:lang w:val="en-US" w:eastAsia="en-US"/>
              </w:rPr>
              <w:t>达标</w:t>
            </w:r>
          </w:p>
        </w:tc>
      </w:tr>
    </w:tbl>
    <w:p w14:paraId="73729ED5">
      <w:pPr>
        <w:pStyle w:val="8"/>
        <w:bidi w:val="0"/>
        <w:rPr>
          <w:rFonts w:hint="eastAsia"/>
          <w:highlight w:val="none"/>
          <w:lang w:val="en-US" w:eastAsia="zh-CN"/>
        </w:rPr>
      </w:pPr>
    </w:p>
    <w:p w14:paraId="35E66B25">
      <w:pPr>
        <w:pStyle w:val="7"/>
        <w:bidi w:val="0"/>
        <w:rPr>
          <w:highlight w:val="none"/>
        </w:rPr>
      </w:pPr>
      <w:r>
        <w:rPr>
          <w:rFonts w:hint="eastAsia"/>
          <w:highlight w:val="none"/>
          <w:lang w:val="en-US" w:eastAsia="zh-CN"/>
        </w:rPr>
        <w:t>续表</w:t>
      </w:r>
      <w:r>
        <w:rPr>
          <w:rFonts w:hint="default"/>
          <w:highlight w:val="none"/>
          <w:lang w:val="en-US" w:eastAsia="zh-CN"/>
        </w:rPr>
        <w:t>4-2-</w:t>
      </w:r>
      <w:r>
        <w:rPr>
          <w:rFonts w:hint="eastAsia"/>
          <w:highlight w:val="none"/>
          <w:lang w:val="en-US" w:eastAsia="zh-CN"/>
        </w:rPr>
        <w:t>21土壤标准指数表单位：mg/kg</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480"/>
        <w:gridCol w:w="724"/>
        <w:gridCol w:w="514"/>
        <w:gridCol w:w="500"/>
        <w:gridCol w:w="591"/>
        <w:gridCol w:w="591"/>
        <w:gridCol w:w="597"/>
        <w:gridCol w:w="591"/>
        <w:gridCol w:w="591"/>
        <w:gridCol w:w="597"/>
        <w:gridCol w:w="591"/>
        <w:gridCol w:w="591"/>
        <w:gridCol w:w="597"/>
        <w:gridCol w:w="591"/>
        <w:gridCol w:w="591"/>
        <w:gridCol w:w="591"/>
        <w:gridCol w:w="591"/>
        <w:gridCol w:w="591"/>
        <w:gridCol w:w="591"/>
        <w:gridCol w:w="591"/>
        <w:gridCol w:w="591"/>
        <w:gridCol w:w="591"/>
        <w:gridCol w:w="298"/>
        <w:gridCol w:w="344"/>
      </w:tblGrid>
      <w:tr w14:paraId="101A8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shd w:val="clear" w:color="auto" w:fill="auto"/>
            <w:vAlign w:val="center"/>
          </w:tcPr>
          <w:p w14:paraId="3BE4E2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1,1,2,2-四氯乙烷</w:t>
            </w:r>
          </w:p>
        </w:tc>
        <w:tc>
          <w:tcPr>
            <w:tcW w:w="169" w:type="pct"/>
            <w:shd w:val="clear" w:color="auto" w:fill="auto"/>
            <w:vAlign w:val="center"/>
          </w:tcPr>
          <w:p w14:paraId="2584C45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55" w:type="pct"/>
            <w:vAlign w:val="top"/>
          </w:tcPr>
          <w:p w14:paraId="31D75A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263A81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02DBDEB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09EC963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5FC495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7888B60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5B0B0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CE665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2BBC67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95045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4E164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139E7D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67C19C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5B4F5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6755A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3A93DE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0EC45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1AAC48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73FCC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725EA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26E31BA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6.8</w:t>
            </w:r>
          </w:p>
        </w:tc>
        <w:tc>
          <w:tcPr>
            <w:tcW w:w="105" w:type="pct"/>
            <w:vAlign w:val="center"/>
          </w:tcPr>
          <w:p w14:paraId="7983E3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32714C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1EC7F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shd w:val="clear" w:color="auto" w:fill="auto"/>
            <w:vAlign w:val="center"/>
          </w:tcPr>
          <w:p w14:paraId="119C8C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四氯乙烯</w:t>
            </w:r>
          </w:p>
        </w:tc>
        <w:tc>
          <w:tcPr>
            <w:tcW w:w="169" w:type="pct"/>
            <w:shd w:val="clear" w:color="auto" w:fill="auto"/>
            <w:vAlign w:val="center"/>
          </w:tcPr>
          <w:p w14:paraId="1B92FD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55" w:type="pct"/>
            <w:vAlign w:val="top"/>
          </w:tcPr>
          <w:p w14:paraId="6165D8A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5248F6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75DE6D0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26BA5E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7B0E60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260C87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6964E3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41F3FE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F2C19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B7F6B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56D89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CE9B3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4D87CC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2FF19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B4D786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A3325D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62842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05353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9C852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9CD4A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75B261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53</w:t>
            </w:r>
          </w:p>
        </w:tc>
        <w:tc>
          <w:tcPr>
            <w:tcW w:w="105" w:type="pct"/>
            <w:vAlign w:val="center"/>
          </w:tcPr>
          <w:p w14:paraId="5DBD32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22D81A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279DB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shd w:val="clear" w:color="auto" w:fill="auto"/>
            <w:vAlign w:val="center"/>
          </w:tcPr>
          <w:p w14:paraId="3F00D92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1,1,1-三氯乙烷</w:t>
            </w:r>
          </w:p>
        </w:tc>
        <w:tc>
          <w:tcPr>
            <w:tcW w:w="169" w:type="pct"/>
            <w:shd w:val="clear" w:color="auto" w:fill="auto"/>
            <w:vAlign w:val="center"/>
          </w:tcPr>
          <w:p w14:paraId="5CF788E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55" w:type="pct"/>
            <w:vAlign w:val="top"/>
          </w:tcPr>
          <w:p w14:paraId="7C5408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3B69E60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3EC242E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1DEE1E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362F4B3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5C5AA9F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2AE800B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3092B2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2F9A6F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EDBD8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06F887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7568BE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3BA036D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4249C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4D3F40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365D73A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F99D9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72BAC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648FF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D997D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62CC54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840</w:t>
            </w:r>
          </w:p>
        </w:tc>
        <w:tc>
          <w:tcPr>
            <w:tcW w:w="105" w:type="pct"/>
            <w:vAlign w:val="center"/>
          </w:tcPr>
          <w:p w14:paraId="262FFD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11DFDFA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6D352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shd w:val="clear" w:color="auto" w:fill="auto"/>
            <w:vAlign w:val="center"/>
          </w:tcPr>
          <w:p w14:paraId="77219B1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1,1,2-三氯乙烷</w:t>
            </w:r>
          </w:p>
        </w:tc>
        <w:tc>
          <w:tcPr>
            <w:tcW w:w="169" w:type="pct"/>
            <w:shd w:val="clear" w:color="auto" w:fill="auto"/>
            <w:vAlign w:val="center"/>
          </w:tcPr>
          <w:p w14:paraId="2499CE0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55" w:type="pct"/>
            <w:vAlign w:val="top"/>
          </w:tcPr>
          <w:p w14:paraId="0C1ADD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5C8B16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124981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7A7985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08D4B1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3B0E728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101179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61DBB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7B3297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39D92AE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A2D139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E14D00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071233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38BAF81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86E50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8B68A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F029E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7C9FF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3612F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3E7CA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58D9E5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w:t>
            </w:r>
          </w:p>
        </w:tc>
        <w:tc>
          <w:tcPr>
            <w:tcW w:w="105" w:type="pct"/>
            <w:vAlign w:val="center"/>
          </w:tcPr>
          <w:p w14:paraId="3D389E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255F01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03578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shd w:val="clear" w:color="auto" w:fill="auto"/>
            <w:vAlign w:val="center"/>
          </w:tcPr>
          <w:p w14:paraId="0743FF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三氯乙烯</w:t>
            </w:r>
          </w:p>
        </w:tc>
        <w:tc>
          <w:tcPr>
            <w:tcW w:w="169" w:type="pct"/>
            <w:shd w:val="clear" w:color="auto" w:fill="auto"/>
            <w:vAlign w:val="center"/>
          </w:tcPr>
          <w:p w14:paraId="089652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55" w:type="pct"/>
            <w:vAlign w:val="top"/>
          </w:tcPr>
          <w:p w14:paraId="17EAFC3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1EBEF1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2164CFD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3441C61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573F23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1557BE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1940B6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7C2A4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5ABC6D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3B7D47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5CAF7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550B679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03BBDED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4D3402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B5C58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7AB1C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F9C92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125A71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A3371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85506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C4EC8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w:t>
            </w:r>
          </w:p>
        </w:tc>
        <w:tc>
          <w:tcPr>
            <w:tcW w:w="105" w:type="pct"/>
            <w:vAlign w:val="center"/>
          </w:tcPr>
          <w:p w14:paraId="70E508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32DA01E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7ED49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shd w:val="clear" w:color="auto" w:fill="auto"/>
            <w:vAlign w:val="center"/>
          </w:tcPr>
          <w:p w14:paraId="30FE3B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1,2,3-三氯丙烷</w:t>
            </w:r>
          </w:p>
        </w:tc>
        <w:tc>
          <w:tcPr>
            <w:tcW w:w="169" w:type="pct"/>
            <w:shd w:val="clear" w:color="auto" w:fill="auto"/>
            <w:vAlign w:val="center"/>
          </w:tcPr>
          <w:p w14:paraId="6D5172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55" w:type="pct"/>
            <w:vAlign w:val="top"/>
          </w:tcPr>
          <w:p w14:paraId="6FD6D6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0BB4E8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7C703F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63B89EF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4BEA790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32A6B3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3AF69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5CA0FC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747FC05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90564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51A39DD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7A3DF4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1FE04C7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5E8AE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48373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A6E54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7FD10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0EF6B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88B05E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3F8F7D4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6AE2769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w:t>
            </w:r>
          </w:p>
        </w:tc>
        <w:tc>
          <w:tcPr>
            <w:tcW w:w="105" w:type="pct"/>
            <w:vAlign w:val="center"/>
          </w:tcPr>
          <w:p w14:paraId="5F598E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0C1E52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50ABC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shd w:val="clear" w:color="auto" w:fill="auto"/>
            <w:vAlign w:val="center"/>
          </w:tcPr>
          <w:p w14:paraId="7D91B0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氯乙烯</w:t>
            </w:r>
          </w:p>
        </w:tc>
        <w:tc>
          <w:tcPr>
            <w:tcW w:w="169" w:type="pct"/>
            <w:shd w:val="clear" w:color="auto" w:fill="auto"/>
            <w:vAlign w:val="center"/>
          </w:tcPr>
          <w:p w14:paraId="068EA3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55" w:type="pct"/>
            <w:vAlign w:val="top"/>
          </w:tcPr>
          <w:p w14:paraId="638B94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417AA8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651E46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7E8A54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48E2070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7D3060A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6F1A8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945F7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2504287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A6A86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51B765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7445B1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1C18BF3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0EE8D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1490E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671B1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645EF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FA854E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22EA50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EBA59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6BBE2B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0.43</w:t>
            </w:r>
          </w:p>
        </w:tc>
        <w:tc>
          <w:tcPr>
            <w:tcW w:w="105" w:type="pct"/>
            <w:vAlign w:val="center"/>
          </w:tcPr>
          <w:p w14:paraId="246739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71AFBC4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79D3F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2" w:type="pct"/>
            <w:shd w:val="clear" w:color="auto" w:fill="auto"/>
            <w:vAlign w:val="center"/>
          </w:tcPr>
          <w:p w14:paraId="15B00DA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苯</w:t>
            </w:r>
          </w:p>
        </w:tc>
        <w:tc>
          <w:tcPr>
            <w:tcW w:w="169" w:type="pct"/>
            <w:shd w:val="clear" w:color="auto" w:fill="auto"/>
            <w:vAlign w:val="center"/>
          </w:tcPr>
          <w:p w14:paraId="6F9B5F8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55" w:type="pct"/>
            <w:vAlign w:val="top"/>
          </w:tcPr>
          <w:p w14:paraId="3C0B62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top"/>
          </w:tcPr>
          <w:p w14:paraId="2B45E9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top"/>
          </w:tcPr>
          <w:p w14:paraId="7EFFCD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2B91E9E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top"/>
          </w:tcPr>
          <w:p w14:paraId="757663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top"/>
          </w:tcPr>
          <w:p w14:paraId="3D4663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7334A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AF4F2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7A6901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B3995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1DB40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B43CC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tcPr>
          <w:p w14:paraId="6D0345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13B2C6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4C56DF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7631A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03C69B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7FDDBBE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659E53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tcPr>
          <w:p w14:paraId="51DE96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68ECA6F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05" w:type="pct"/>
            <w:vAlign w:val="center"/>
          </w:tcPr>
          <w:p w14:paraId="7EB3B0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3878D3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bl>
    <w:p w14:paraId="2D6E8305">
      <w:pPr>
        <w:pStyle w:val="8"/>
        <w:bidi w:val="0"/>
        <w:rPr>
          <w:rFonts w:hint="eastAsia"/>
          <w:highlight w:val="none"/>
          <w:lang w:val="en-US" w:eastAsia="zh-CN"/>
        </w:rPr>
      </w:pPr>
    </w:p>
    <w:p w14:paraId="4835CAF6">
      <w:pPr>
        <w:pStyle w:val="7"/>
        <w:bidi w:val="0"/>
        <w:rPr>
          <w:highlight w:val="none"/>
        </w:rPr>
      </w:pPr>
      <w:r>
        <w:rPr>
          <w:rFonts w:hint="eastAsia"/>
          <w:highlight w:val="none"/>
          <w:lang w:val="en-US" w:eastAsia="zh-CN"/>
        </w:rPr>
        <w:t>续表</w:t>
      </w:r>
      <w:r>
        <w:rPr>
          <w:rFonts w:hint="default"/>
          <w:highlight w:val="none"/>
          <w:lang w:val="en-US" w:eastAsia="zh-CN"/>
        </w:rPr>
        <w:t>4-2-</w:t>
      </w:r>
      <w:r>
        <w:rPr>
          <w:rFonts w:hint="eastAsia"/>
          <w:highlight w:val="none"/>
          <w:lang w:val="en-US" w:eastAsia="zh-CN"/>
        </w:rPr>
        <w:t>21土壤标准指数表单位：mg/kg</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5"/>
        <w:gridCol w:w="596"/>
        <w:gridCol w:w="514"/>
        <w:gridCol w:w="500"/>
        <w:gridCol w:w="591"/>
        <w:gridCol w:w="591"/>
        <w:gridCol w:w="597"/>
        <w:gridCol w:w="591"/>
        <w:gridCol w:w="591"/>
        <w:gridCol w:w="597"/>
        <w:gridCol w:w="591"/>
        <w:gridCol w:w="591"/>
        <w:gridCol w:w="597"/>
        <w:gridCol w:w="591"/>
        <w:gridCol w:w="591"/>
        <w:gridCol w:w="591"/>
        <w:gridCol w:w="591"/>
        <w:gridCol w:w="591"/>
        <w:gridCol w:w="591"/>
        <w:gridCol w:w="591"/>
        <w:gridCol w:w="591"/>
        <w:gridCol w:w="591"/>
        <w:gridCol w:w="298"/>
        <w:gridCol w:w="344"/>
      </w:tblGrid>
      <w:tr w14:paraId="64D02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36E2C7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氯苯</w:t>
            </w:r>
          </w:p>
        </w:tc>
        <w:tc>
          <w:tcPr>
            <w:tcW w:w="174" w:type="pct"/>
            <w:shd w:val="clear" w:color="auto" w:fill="auto"/>
            <w:vAlign w:val="center"/>
          </w:tcPr>
          <w:p w14:paraId="0BF113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6ACA5F1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59BB413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1F92F7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078C2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F19A2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7E9CA0F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6872F4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9CBBE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9F236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2F27B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21083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2E6914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23E943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5B033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2B4F1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3C659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66AC5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45B70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04EFD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4A0CD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77417A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270</w:t>
            </w:r>
          </w:p>
        </w:tc>
        <w:tc>
          <w:tcPr>
            <w:tcW w:w="105" w:type="pct"/>
            <w:vAlign w:val="center"/>
          </w:tcPr>
          <w:p w14:paraId="2E96B3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587340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06089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7D77F15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1,2-二氯苯</w:t>
            </w:r>
          </w:p>
        </w:tc>
        <w:tc>
          <w:tcPr>
            <w:tcW w:w="174" w:type="pct"/>
            <w:shd w:val="clear" w:color="auto" w:fill="auto"/>
            <w:vAlign w:val="center"/>
          </w:tcPr>
          <w:p w14:paraId="003661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23D208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09FEC4A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4C0567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036255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26FE3E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6E4A1A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7375A63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4AF3D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17DB6B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39EE5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FAB07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4CC550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3EEC4D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18CA0D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F3665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4FFE2B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44A44D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D0A3B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12576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0D888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44F221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560</w:t>
            </w:r>
          </w:p>
        </w:tc>
        <w:tc>
          <w:tcPr>
            <w:tcW w:w="105" w:type="pct"/>
            <w:vAlign w:val="center"/>
          </w:tcPr>
          <w:p w14:paraId="3D5658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6DA020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29E2D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17B60ED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1,4-二氯苯</w:t>
            </w:r>
          </w:p>
        </w:tc>
        <w:tc>
          <w:tcPr>
            <w:tcW w:w="174" w:type="pct"/>
            <w:shd w:val="clear" w:color="auto" w:fill="auto"/>
            <w:vAlign w:val="center"/>
          </w:tcPr>
          <w:p w14:paraId="5D8B12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0340324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1FF8B0D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4A7814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19FB8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5CF7C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2235753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FE761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1D218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7C25F68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4DC99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27917F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2585CB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3C24ABD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9CD129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D9547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E7AA2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1F9D0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10106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AD5A5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D6EE62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5D085A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w:t>
            </w:r>
          </w:p>
        </w:tc>
        <w:tc>
          <w:tcPr>
            <w:tcW w:w="105" w:type="pct"/>
            <w:vAlign w:val="center"/>
          </w:tcPr>
          <w:p w14:paraId="1F54D9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17294F7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7C564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392C0A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乙苯</w:t>
            </w:r>
          </w:p>
        </w:tc>
        <w:tc>
          <w:tcPr>
            <w:tcW w:w="174" w:type="pct"/>
            <w:shd w:val="clear" w:color="auto" w:fill="auto"/>
            <w:vAlign w:val="center"/>
          </w:tcPr>
          <w:p w14:paraId="3A9AFB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73B774B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50844B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028395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30B2F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E0138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2E3139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85F50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AF7EC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B7CDA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994C3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54911E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C077C2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78761A3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BF0075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F081A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5D491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A2E75A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FD41A5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D8928A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BA877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438AD89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w:t>
            </w:r>
          </w:p>
        </w:tc>
        <w:tc>
          <w:tcPr>
            <w:tcW w:w="105" w:type="pct"/>
            <w:vAlign w:val="center"/>
          </w:tcPr>
          <w:p w14:paraId="4D650F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39FEB42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2314E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214A04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苯乙烯</w:t>
            </w:r>
          </w:p>
        </w:tc>
        <w:tc>
          <w:tcPr>
            <w:tcW w:w="174" w:type="pct"/>
            <w:shd w:val="clear" w:color="auto" w:fill="auto"/>
            <w:vAlign w:val="center"/>
          </w:tcPr>
          <w:p w14:paraId="12B0D3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03A0AE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214007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360797D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0F79F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5F1FD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2EEA8C4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0300D4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AC32B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93DE9D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8AC2D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579265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26419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72531B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E3DA5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A8CCB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9DE2D1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8BC64C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D38D25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814B1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D11A0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5C7661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1290</w:t>
            </w:r>
          </w:p>
        </w:tc>
        <w:tc>
          <w:tcPr>
            <w:tcW w:w="105" w:type="pct"/>
            <w:vAlign w:val="center"/>
          </w:tcPr>
          <w:p w14:paraId="731377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3F6CEA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41E96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61AA0C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甲苯</w:t>
            </w:r>
          </w:p>
        </w:tc>
        <w:tc>
          <w:tcPr>
            <w:tcW w:w="174" w:type="pct"/>
            <w:shd w:val="clear" w:color="auto" w:fill="auto"/>
            <w:vAlign w:val="center"/>
          </w:tcPr>
          <w:p w14:paraId="0950EDD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2CF67A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7BE64B8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27CFD4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C54C83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E003FB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14CA92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50DFAD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1B8CA0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497FA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5C429C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984DB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7BBDD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0175939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3F592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4B404C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E3858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76F37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18885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01A5F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C254F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6049E3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1200</w:t>
            </w:r>
          </w:p>
        </w:tc>
        <w:tc>
          <w:tcPr>
            <w:tcW w:w="105" w:type="pct"/>
            <w:vAlign w:val="center"/>
          </w:tcPr>
          <w:p w14:paraId="6F0E245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4758DE8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5EEBA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45B5779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间二甲苯+对二甲苯</w:t>
            </w:r>
          </w:p>
        </w:tc>
        <w:tc>
          <w:tcPr>
            <w:tcW w:w="174" w:type="pct"/>
            <w:shd w:val="clear" w:color="auto" w:fill="auto"/>
            <w:vAlign w:val="center"/>
          </w:tcPr>
          <w:p w14:paraId="5552FC1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297DE2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0DB3CBF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56939AD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CBE9D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910033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6478DE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19AF5D1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3B07B4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79651E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3C8584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FC35D7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F6361A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57706B3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BCFF47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F0892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401DE9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0CA23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32AB6E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EBD23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D1152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7D201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570</w:t>
            </w:r>
          </w:p>
        </w:tc>
        <w:tc>
          <w:tcPr>
            <w:tcW w:w="105" w:type="pct"/>
            <w:vAlign w:val="center"/>
          </w:tcPr>
          <w:p w14:paraId="1399BDE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663CA6A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6810D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2A6D9DA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邻二甲苯</w:t>
            </w:r>
          </w:p>
        </w:tc>
        <w:tc>
          <w:tcPr>
            <w:tcW w:w="174" w:type="pct"/>
            <w:shd w:val="clear" w:color="auto" w:fill="auto"/>
            <w:vAlign w:val="center"/>
          </w:tcPr>
          <w:p w14:paraId="630C0E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0BEF8D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710E68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4E1BC0C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33EA5B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A62D0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102D3E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49E4EF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51F795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1D798A9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E3B8B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5E06F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7EBADF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28688AA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1C6C31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F98EF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E9A52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75A56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5B8F71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C6BAC4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7A89A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7FCDB4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640</w:t>
            </w:r>
          </w:p>
        </w:tc>
        <w:tc>
          <w:tcPr>
            <w:tcW w:w="105" w:type="pct"/>
            <w:vAlign w:val="center"/>
          </w:tcPr>
          <w:p w14:paraId="5F6E380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739792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47A13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1EA036F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硝基苯</w:t>
            </w:r>
          </w:p>
        </w:tc>
        <w:tc>
          <w:tcPr>
            <w:tcW w:w="174" w:type="pct"/>
            <w:shd w:val="clear" w:color="auto" w:fill="auto"/>
            <w:vAlign w:val="center"/>
          </w:tcPr>
          <w:p w14:paraId="402D80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121C1B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76E107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17F81D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4AC3A5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B47AC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018710F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6A90A96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0410A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1E5588B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76668E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4C6FE0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BD2A3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66918E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ED42E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33AD66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2178B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98CC7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A4D3E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33D59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77E9F4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4D4900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76</w:t>
            </w:r>
          </w:p>
        </w:tc>
        <w:tc>
          <w:tcPr>
            <w:tcW w:w="105" w:type="pct"/>
            <w:vAlign w:val="center"/>
          </w:tcPr>
          <w:p w14:paraId="74E8C4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5F0897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bl>
    <w:p w14:paraId="6C9F6206">
      <w:pPr>
        <w:pStyle w:val="7"/>
        <w:bidi w:val="0"/>
        <w:rPr>
          <w:highlight w:val="none"/>
        </w:rPr>
      </w:pPr>
      <w:r>
        <w:rPr>
          <w:rFonts w:hint="eastAsia"/>
          <w:highlight w:val="none"/>
          <w:lang w:val="en-US" w:eastAsia="zh-CN"/>
        </w:rPr>
        <w:t>续表</w:t>
      </w:r>
      <w:r>
        <w:rPr>
          <w:rFonts w:hint="default"/>
          <w:highlight w:val="none"/>
          <w:lang w:val="en-US" w:eastAsia="zh-CN"/>
        </w:rPr>
        <w:t>4-2-</w:t>
      </w:r>
      <w:r>
        <w:rPr>
          <w:rFonts w:hint="eastAsia"/>
          <w:highlight w:val="none"/>
          <w:lang w:val="en-US" w:eastAsia="zh-CN"/>
        </w:rPr>
        <w:t>21土壤标准指数表单位：mg/kg</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5"/>
        <w:gridCol w:w="596"/>
        <w:gridCol w:w="514"/>
        <w:gridCol w:w="500"/>
        <w:gridCol w:w="591"/>
        <w:gridCol w:w="591"/>
        <w:gridCol w:w="597"/>
        <w:gridCol w:w="591"/>
        <w:gridCol w:w="591"/>
        <w:gridCol w:w="597"/>
        <w:gridCol w:w="591"/>
        <w:gridCol w:w="591"/>
        <w:gridCol w:w="597"/>
        <w:gridCol w:w="591"/>
        <w:gridCol w:w="591"/>
        <w:gridCol w:w="591"/>
        <w:gridCol w:w="591"/>
        <w:gridCol w:w="591"/>
        <w:gridCol w:w="591"/>
        <w:gridCol w:w="591"/>
        <w:gridCol w:w="591"/>
        <w:gridCol w:w="591"/>
        <w:gridCol w:w="298"/>
        <w:gridCol w:w="344"/>
      </w:tblGrid>
      <w:tr w14:paraId="0BAE8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4951DD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苯胺</w:t>
            </w:r>
          </w:p>
        </w:tc>
        <w:tc>
          <w:tcPr>
            <w:tcW w:w="174" w:type="pct"/>
            <w:shd w:val="clear" w:color="auto" w:fill="auto"/>
            <w:vAlign w:val="center"/>
          </w:tcPr>
          <w:p w14:paraId="169811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67B5C4E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0D909B5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4914595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7D364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0E66B3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407B3D4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F60FA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EC9B9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5AC2C3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E20AE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269FC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8E30C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607E70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70B101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62B291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EB48A4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C7C37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641A9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FBEF50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EB651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2CCBA2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260</w:t>
            </w:r>
          </w:p>
        </w:tc>
        <w:tc>
          <w:tcPr>
            <w:tcW w:w="105" w:type="pct"/>
            <w:vAlign w:val="center"/>
          </w:tcPr>
          <w:p w14:paraId="71F9217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4237DA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3E265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0C148C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2-氯酚</w:t>
            </w:r>
          </w:p>
        </w:tc>
        <w:tc>
          <w:tcPr>
            <w:tcW w:w="174" w:type="pct"/>
            <w:shd w:val="clear" w:color="auto" w:fill="auto"/>
            <w:vAlign w:val="center"/>
          </w:tcPr>
          <w:p w14:paraId="2F1F36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0AA4220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728B8B8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52FAE11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86D18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B1DFD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0EB162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38361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58996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55884F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E2200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9C8DF6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0B5C1B3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7C44D1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4DD42F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49A13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54287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E846E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2C6C3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AD16BE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C027FA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C4C278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2256</w:t>
            </w:r>
          </w:p>
        </w:tc>
        <w:tc>
          <w:tcPr>
            <w:tcW w:w="105" w:type="pct"/>
            <w:vAlign w:val="center"/>
          </w:tcPr>
          <w:p w14:paraId="63B65C4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5B5A1B5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43A05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2F0F99A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苯并[a]蒽</w:t>
            </w:r>
          </w:p>
        </w:tc>
        <w:tc>
          <w:tcPr>
            <w:tcW w:w="174" w:type="pct"/>
            <w:shd w:val="clear" w:color="auto" w:fill="auto"/>
            <w:vAlign w:val="center"/>
          </w:tcPr>
          <w:p w14:paraId="166F17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29B856F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765ABBA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5FA559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432D7C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4C64C3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7CD15E7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CB9E0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52F1D9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301950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95FA5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E5E60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6007C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218557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AABCA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9F17A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094BF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5D2CC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4E1530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17274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50DDB2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41EF7B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w:t>
            </w:r>
          </w:p>
        </w:tc>
        <w:tc>
          <w:tcPr>
            <w:tcW w:w="105" w:type="pct"/>
            <w:vAlign w:val="center"/>
          </w:tcPr>
          <w:p w14:paraId="04C6B6E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6F99C22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1C073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19857F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苯并[a]芘</w:t>
            </w:r>
          </w:p>
        </w:tc>
        <w:tc>
          <w:tcPr>
            <w:tcW w:w="174" w:type="pct"/>
            <w:shd w:val="clear" w:color="auto" w:fill="auto"/>
            <w:vAlign w:val="center"/>
          </w:tcPr>
          <w:p w14:paraId="0E6744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77B1A4E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0AEBC0E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343EE7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366D8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CB731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71173E7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0E6A90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624C4F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4E22BA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56BB07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8AB7E4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9CEF5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0FFF7C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FB7D81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D10F65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8E212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A27E81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9D1F9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F3AA1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A7775F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023DBE7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w:t>
            </w:r>
          </w:p>
        </w:tc>
        <w:tc>
          <w:tcPr>
            <w:tcW w:w="105" w:type="pct"/>
            <w:vAlign w:val="center"/>
          </w:tcPr>
          <w:p w14:paraId="4CAA0E1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41A570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5080D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41FC4C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苯并[b]荧蒽</w:t>
            </w:r>
          </w:p>
        </w:tc>
        <w:tc>
          <w:tcPr>
            <w:tcW w:w="174" w:type="pct"/>
            <w:shd w:val="clear" w:color="auto" w:fill="auto"/>
            <w:vAlign w:val="center"/>
          </w:tcPr>
          <w:p w14:paraId="40A3EA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6832AFE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490609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5F4BBB0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5B0CB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2231C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0891187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2FD513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2901C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5A9CF1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24551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5428B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D6FBD4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6C06A09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2FC777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1BE202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8230CB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DAE61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D2379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0C22B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FF239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20F30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w:t>
            </w:r>
          </w:p>
        </w:tc>
        <w:tc>
          <w:tcPr>
            <w:tcW w:w="105" w:type="pct"/>
            <w:vAlign w:val="center"/>
          </w:tcPr>
          <w:p w14:paraId="2DC26AC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4822FF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5493C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4B861F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苯并[k]荧蒽</w:t>
            </w:r>
          </w:p>
        </w:tc>
        <w:tc>
          <w:tcPr>
            <w:tcW w:w="174" w:type="pct"/>
            <w:shd w:val="clear" w:color="auto" w:fill="auto"/>
            <w:vAlign w:val="center"/>
          </w:tcPr>
          <w:p w14:paraId="6D66E24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3E8F6F0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1AE8D4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00A4957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EFA0F4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7ACE8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737539C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60D4502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95E7CD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5B3B4F8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0EB479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5E2EF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BAFEC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0A0FB7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EB2F8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E672C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9A827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FE7B8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853B8B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1E9D1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7EBE1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AD2485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151</w:t>
            </w:r>
          </w:p>
        </w:tc>
        <w:tc>
          <w:tcPr>
            <w:tcW w:w="105" w:type="pct"/>
            <w:vAlign w:val="center"/>
          </w:tcPr>
          <w:p w14:paraId="2C20E99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4805A65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36A63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32E2F7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䓛</w:t>
            </w:r>
          </w:p>
        </w:tc>
        <w:tc>
          <w:tcPr>
            <w:tcW w:w="174" w:type="pct"/>
            <w:shd w:val="clear" w:color="auto" w:fill="auto"/>
            <w:vAlign w:val="center"/>
          </w:tcPr>
          <w:p w14:paraId="49C03C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0A62E2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2ECA4A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4D4789D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0ABA9E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36B5C5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3DEB618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7CAE11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30979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78B9EA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166DDB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FEAA7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A41FF1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2FC19CE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49F6F3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B8C31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577C1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7DFB34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A4A6F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9F331D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EB0C1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2AD74C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1293</w:t>
            </w:r>
          </w:p>
        </w:tc>
        <w:tc>
          <w:tcPr>
            <w:tcW w:w="105" w:type="pct"/>
            <w:vAlign w:val="center"/>
          </w:tcPr>
          <w:p w14:paraId="7F8A2C1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14718B9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15BA3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6D0C3EA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二苯并[a,h]蒽</w:t>
            </w:r>
          </w:p>
        </w:tc>
        <w:tc>
          <w:tcPr>
            <w:tcW w:w="174" w:type="pct"/>
            <w:shd w:val="clear" w:color="auto" w:fill="auto"/>
            <w:vAlign w:val="center"/>
          </w:tcPr>
          <w:p w14:paraId="77030D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3659C9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58F00CB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33ECDE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8EF88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F3418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7AEA6C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3186A06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3CAAF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7793D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3ED62B7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ED006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5A6DAA2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39C891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14857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7737B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C288BB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16146F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E4F37F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7E8288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584294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5F49C6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w:t>
            </w:r>
          </w:p>
        </w:tc>
        <w:tc>
          <w:tcPr>
            <w:tcW w:w="105" w:type="pct"/>
            <w:vAlign w:val="center"/>
          </w:tcPr>
          <w:p w14:paraId="4B5E0D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3C138A4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4427C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6C9D90F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茚并[1,2,3-cd]芘</w:t>
            </w:r>
          </w:p>
        </w:tc>
        <w:tc>
          <w:tcPr>
            <w:tcW w:w="174" w:type="pct"/>
            <w:shd w:val="clear" w:color="auto" w:fill="auto"/>
            <w:vAlign w:val="center"/>
          </w:tcPr>
          <w:p w14:paraId="07EA7DA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22613B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036E4F4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6B6B47D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F3734B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7440F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0EFBC3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77FC6D7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2632AB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2777FFB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EBB270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529270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5951314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67755EE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6BDA32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BD78F2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4F8E6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372A2B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DC66D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4D7DE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1936E0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2EBC723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w:t>
            </w:r>
          </w:p>
        </w:tc>
        <w:tc>
          <w:tcPr>
            <w:tcW w:w="105" w:type="pct"/>
            <w:vAlign w:val="center"/>
          </w:tcPr>
          <w:p w14:paraId="55EB11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3DD66C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bl>
    <w:p w14:paraId="6CB97487">
      <w:pPr>
        <w:pStyle w:val="8"/>
        <w:bidi w:val="0"/>
        <w:rPr>
          <w:rFonts w:hint="eastAsia"/>
          <w:highlight w:val="none"/>
          <w:lang w:val="en-US" w:eastAsia="zh-CN"/>
        </w:rPr>
      </w:pPr>
    </w:p>
    <w:p w14:paraId="48870BD8">
      <w:pPr>
        <w:pStyle w:val="8"/>
        <w:bidi w:val="0"/>
        <w:rPr>
          <w:rFonts w:hint="eastAsia"/>
          <w:highlight w:val="none"/>
          <w:lang w:val="en-US" w:eastAsia="zh-CN"/>
        </w:rPr>
      </w:pPr>
    </w:p>
    <w:p w14:paraId="38D88CA6">
      <w:pPr>
        <w:pStyle w:val="7"/>
        <w:bidi w:val="0"/>
        <w:rPr>
          <w:highlight w:val="none"/>
        </w:rPr>
      </w:pPr>
      <w:r>
        <w:rPr>
          <w:rFonts w:hint="eastAsia"/>
          <w:highlight w:val="none"/>
          <w:lang w:val="en-US" w:eastAsia="zh-CN"/>
        </w:rPr>
        <w:t>续表</w:t>
      </w:r>
      <w:r>
        <w:rPr>
          <w:rFonts w:hint="default"/>
          <w:highlight w:val="none"/>
          <w:lang w:val="en-US" w:eastAsia="zh-CN"/>
        </w:rPr>
        <w:t>4-2-</w:t>
      </w:r>
      <w:r>
        <w:rPr>
          <w:rFonts w:hint="eastAsia"/>
          <w:highlight w:val="none"/>
          <w:lang w:val="en-US" w:eastAsia="zh-CN"/>
        </w:rPr>
        <w:t>21土壤标准指数表单位：mg/kg</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5"/>
        <w:gridCol w:w="596"/>
        <w:gridCol w:w="514"/>
        <w:gridCol w:w="500"/>
        <w:gridCol w:w="591"/>
        <w:gridCol w:w="591"/>
        <w:gridCol w:w="597"/>
        <w:gridCol w:w="591"/>
        <w:gridCol w:w="591"/>
        <w:gridCol w:w="597"/>
        <w:gridCol w:w="591"/>
        <w:gridCol w:w="591"/>
        <w:gridCol w:w="597"/>
        <w:gridCol w:w="591"/>
        <w:gridCol w:w="591"/>
        <w:gridCol w:w="591"/>
        <w:gridCol w:w="591"/>
        <w:gridCol w:w="591"/>
        <w:gridCol w:w="591"/>
        <w:gridCol w:w="591"/>
        <w:gridCol w:w="591"/>
        <w:gridCol w:w="591"/>
        <w:gridCol w:w="298"/>
        <w:gridCol w:w="344"/>
      </w:tblGrid>
      <w:tr w14:paraId="64160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720A8F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萘</w:t>
            </w:r>
          </w:p>
        </w:tc>
        <w:tc>
          <w:tcPr>
            <w:tcW w:w="174" w:type="pct"/>
            <w:shd w:val="clear" w:color="auto" w:fill="auto"/>
            <w:vAlign w:val="center"/>
          </w:tcPr>
          <w:p w14:paraId="3F5672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vAlign w:val="center"/>
          </w:tcPr>
          <w:p w14:paraId="31B5B94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81" w:type="pct"/>
            <w:vAlign w:val="center"/>
          </w:tcPr>
          <w:p w14:paraId="4BCB6B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76" w:type="pct"/>
            <w:vAlign w:val="center"/>
          </w:tcPr>
          <w:p w14:paraId="7F5B4C3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E70CCB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C42DC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10" w:type="pct"/>
            <w:vAlign w:val="center"/>
          </w:tcPr>
          <w:p w14:paraId="13638B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4FF21E9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70C0499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77FAE1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EE4B26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CED60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07E398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vAlign w:val="center"/>
          </w:tcPr>
          <w:p w14:paraId="460D0A5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0A812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533F0C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215F5E1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04A9D64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4F4ED2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596487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vAlign w:val="center"/>
          </w:tcPr>
          <w:p w14:paraId="7FC66E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208" w:type="pct"/>
            <w:shd w:val="clear" w:color="auto" w:fill="auto"/>
            <w:vAlign w:val="center"/>
          </w:tcPr>
          <w:p w14:paraId="4D98FE6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70</w:t>
            </w:r>
          </w:p>
        </w:tc>
        <w:tc>
          <w:tcPr>
            <w:tcW w:w="105" w:type="pct"/>
            <w:vAlign w:val="center"/>
          </w:tcPr>
          <w:p w14:paraId="16A604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4C9824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r w14:paraId="29C90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 w:type="pct"/>
            <w:shd w:val="clear" w:color="auto" w:fill="auto"/>
            <w:vAlign w:val="center"/>
          </w:tcPr>
          <w:p w14:paraId="44E1F5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石油烃（C10-C40）</w:t>
            </w:r>
          </w:p>
        </w:tc>
        <w:tc>
          <w:tcPr>
            <w:tcW w:w="174" w:type="pct"/>
            <w:shd w:val="clear" w:color="auto" w:fill="auto"/>
            <w:vAlign w:val="center"/>
          </w:tcPr>
          <w:p w14:paraId="3A001F8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3978A90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181" w:type="pct"/>
            <w:shd w:val="clear" w:color="auto" w:fill="auto"/>
            <w:vAlign w:val="center"/>
          </w:tcPr>
          <w:p w14:paraId="2D9DF15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176" w:type="pct"/>
            <w:shd w:val="clear" w:color="auto" w:fill="auto"/>
            <w:vAlign w:val="center"/>
          </w:tcPr>
          <w:p w14:paraId="3E7926F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92C83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0.007</w:t>
            </w:r>
          </w:p>
        </w:tc>
        <w:tc>
          <w:tcPr>
            <w:tcW w:w="208" w:type="pct"/>
            <w:shd w:val="clear" w:color="auto" w:fill="auto"/>
            <w:vAlign w:val="center"/>
          </w:tcPr>
          <w:p w14:paraId="12CBBBA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10" w:type="pct"/>
            <w:shd w:val="clear" w:color="auto" w:fill="auto"/>
            <w:vAlign w:val="center"/>
          </w:tcPr>
          <w:p w14:paraId="62B68AB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EC67A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0.002</w:t>
            </w:r>
          </w:p>
        </w:tc>
        <w:tc>
          <w:tcPr>
            <w:tcW w:w="208" w:type="pct"/>
            <w:shd w:val="clear" w:color="auto" w:fill="auto"/>
            <w:vAlign w:val="center"/>
          </w:tcPr>
          <w:p w14:paraId="568AB4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0.003</w:t>
            </w:r>
          </w:p>
        </w:tc>
        <w:tc>
          <w:tcPr>
            <w:tcW w:w="210" w:type="pct"/>
            <w:shd w:val="clear" w:color="auto" w:fill="auto"/>
            <w:vAlign w:val="center"/>
          </w:tcPr>
          <w:p w14:paraId="4673CE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D5FFD1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1DE0A84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0.003</w:t>
            </w:r>
          </w:p>
        </w:tc>
        <w:tc>
          <w:tcPr>
            <w:tcW w:w="210" w:type="pct"/>
            <w:shd w:val="clear" w:color="auto" w:fill="auto"/>
            <w:vAlign w:val="center"/>
          </w:tcPr>
          <w:p w14:paraId="4D25D0B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0.005</w:t>
            </w:r>
          </w:p>
        </w:tc>
        <w:tc>
          <w:tcPr>
            <w:tcW w:w="208" w:type="pct"/>
            <w:shd w:val="clear" w:color="auto" w:fill="auto"/>
            <w:vAlign w:val="center"/>
          </w:tcPr>
          <w:p w14:paraId="1A3C37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07C806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0.004</w:t>
            </w:r>
          </w:p>
        </w:tc>
        <w:tc>
          <w:tcPr>
            <w:tcW w:w="208" w:type="pct"/>
            <w:shd w:val="clear" w:color="auto" w:fill="auto"/>
            <w:vAlign w:val="center"/>
          </w:tcPr>
          <w:p w14:paraId="05C515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62F0F8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E6186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0.007</w:t>
            </w:r>
          </w:p>
        </w:tc>
        <w:tc>
          <w:tcPr>
            <w:tcW w:w="208" w:type="pct"/>
            <w:shd w:val="clear" w:color="auto" w:fill="auto"/>
            <w:vAlign w:val="center"/>
          </w:tcPr>
          <w:p w14:paraId="200D96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0.0006</w:t>
            </w:r>
          </w:p>
        </w:tc>
        <w:tc>
          <w:tcPr>
            <w:tcW w:w="208" w:type="pct"/>
            <w:shd w:val="clear" w:color="auto" w:fill="auto"/>
            <w:vAlign w:val="center"/>
          </w:tcPr>
          <w:p w14:paraId="12B8BE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3217CB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未检出</w:t>
            </w:r>
          </w:p>
        </w:tc>
        <w:tc>
          <w:tcPr>
            <w:tcW w:w="208" w:type="pct"/>
            <w:shd w:val="clear" w:color="auto" w:fill="auto"/>
            <w:vAlign w:val="center"/>
          </w:tcPr>
          <w:p w14:paraId="4ABF2A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4500</w:t>
            </w:r>
          </w:p>
        </w:tc>
        <w:tc>
          <w:tcPr>
            <w:tcW w:w="105" w:type="pct"/>
            <w:vAlign w:val="center"/>
          </w:tcPr>
          <w:p w14:paraId="4F0C5F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en-US"/>
              </w:rPr>
              <w:t>0</w:t>
            </w:r>
          </w:p>
        </w:tc>
        <w:tc>
          <w:tcPr>
            <w:tcW w:w="121" w:type="pct"/>
            <w:vAlign w:val="center"/>
          </w:tcPr>
          <w:p w14:paraId="6FEA4B2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sz w:val="21"/>
                <w:szCs w:val="21"/>
                <w:highlight w:val="none"/>
                <w:lang w:val="en-US" w:eastAsia="en-US"/>
              </w:rPr>
            </w:pPr>
            <w:r>
              <w:rPr>
                <w:rFonts w:hint="default" w:ascii="Times New Roman" w:hAnsi="Times New Roman" w:eastAsia="宋体" w:cs="Times New Roman"/>
                <w:sz w:val="21"/>
                <w:szCs w:val="21"/>
                <w:highlight w:val="none"/>
                <w:lang w:val="en-US" w:eastAsia="en-US"/>
              </w:rPr>
              <w:t>达标</w:t>
            </w:r>
          </w:p>
        </w:tc>
      </w:tr>
    </w:tbl>
    <w:p w14:paraId="347E8AA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
          <w:bCs/>
          <w:highlight w:val="none"/>
          <w:lang w:val="en-US" w:eastAsia="zh-CN"/>
        </w:rPr>
      </w:pPr>
      <w:r>
        <w:rPr>
          <w:rFonts w:hint="default"/>
          <w:b/>
          <w:bCs/>
          <w:highlight w:val="none"/>
          <w:lang w:val="en-US" w:eastAsia="zh-CN"/>
        </w:rPr>
        <w:drawing>
          <wp:inline distT="0" distB="0" distL="114300" distR="114300">
            <wp:extent cx="4804410" cy="3639185"/>
            <wp:effectExtent l="9525" t="9525" r="24765" b="27940"/>
            <wp:docPr id="4" name="图片 4" descr="5116fe6ce2411bbf7b9dc355f06ec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116fe6ce2411bbf7b9dc355f06ec38e"/>
                    <pic:cNvPicPr>
                      <a:picLocks noChangeAspect="1"/>
                    </pic:cNvPicPr>
                  </pic:nvPicPr>
                  <pic:blipFill>
                    <a:blip r:embed="rId60"/>
                    <a:stretch>
                      <a:fillRect/>
                    </a:stretch>
                  </pic:blipFill>
                  <pic:spPr>
                    <a:xfrm>
                      <a:off x="0" y="0"/>
                      <a:ext cx="4804410" cy="3639185"/>
                    </a:xfrm>
                    <a:prstGeom prst="rect">
                      <a:avLst/>
                    </a:prstGeom>
                    <a:ln>
                      <a:solidFill>
                        <a:schemeClr val="tx1"/>
                      </a:solidFill>
                    </a:ln>
                  </pic:spPr>
                </pic:pic>
              </a:graphicData>
            </a:graphic>
          </wp:inline>
        </w:drawing>
      </w:r>
    </w:p>
    <w:p w14:paraId="098B00AE">
      <w:pPr>
        <w:pStyle w:val="7"/>
        <w:bidi w:val="0"/>
        <w:rPr>
          <w:rFonts w:hint="default"/>
          <w:highlight w:val="none"/>
          <w:lang w:val="en-US" w:eastAsia="zh-CN"/>
        </w:rPr>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hint="eastAsia"/>
          <w:highlight w:val="none"/>
          <w:lang w:val="en-US" w:eastAsia="zh-CN"/>
        </w:rPr>
        <w:t>图</w:t>
      </w:r>
      <w:r>
        <w:rPr>
          <w:rFonts w:hint="default"/>
          <w:highlight w:val="none"/>
          <w:lang w:val="en-US" w:eastAsia="zh-CN"/>
        </w:rPr>
        <w:t>4-2-</w:t>
      </w:r>
      <w:r>
        <w:rPr>
          <w:rFonts w:hint="eastAsia"/>
          <w:highlight w:val="none"/>
          <w:lang w:val="en-US" w:eastAsia="zh-CN"/>
        </w:rPr>
        <w:t>5土壤类型图</w:t>
      </w:r>
    </w:p>
    <w:p w14:paraId="529EC20B">
      <w:pPr>
        <w:pStyle w:val="6"/>
        <w:bidi w:val="0"/>
        <w:rPr>
          <w:rFonts w:hint="default"/>
          <w:highlight w:val="none"/>
          <w:lang w:val="en-US"/>
        </w:rPr>
      </w:pPr>
      <w:r>
        <w:rPr>
          <w:rFonts w:hint="default"/>
          <w:highlight w:val="none"/>
          <w:lang w:val="en-US" w:eastAsia="zh-CN"/>
        </w:rPr>
        <w:t>4.2.5.5</w:t>
      </w:r>
      <w:r>
        <w:rPr>
          <w:rFonts w:hint="eastAsia"/>
          <w:highlight w:val="none"/>
          <w:lang w:val="en-US" w:eastAsia="zh-CN"/>
        </w:rPr>
        <w:t>评价结论</w:t>
      </w:r>
    </w:p>
    <w:p w14:paraId="28DFFB80">
      <w:pPr>
        <w:bidi w:val="0"/>
        <w:rPr>
          <w:rFonts w:hint="eastAsia"/>
          <w:highlight w:val="none"/>
          <w:lang w:val="en-US" w:eastAsia="zh-CN"/>
        </w:rPr>
      </w:pPr>
      <w:r>
        <w:rPr>
          <w:rFonts w:hint="eastAsia"/>
          <w:highlight w:val="none"/>
          <w:lang w:val="en-US" w:eastAsia="zh-CN"/>
        </w:rPr>
        <w:t>本项目各类土壤污染物监测结果低于《土壤环境质量建设用地土壤污染风险管控标准（试行）》（</w:t>
      </w:r>
      <w:r>
        <w:rPr>
          <w:rFonts w:hint="default"/>
          <w:highlight w:val="none"/>
          <w:lang w:val="en-US" w:eastAsia="zh-CN"/>
        </w:rPr>
        <w:t>GB36600-2018</w:t>
      </w:r>
      <w:r>
        <w:rPr>
          <w:rFonts w:hint="eastAsia"/>
          <w:highlight w:val="none"/>
          <w:lang w:val="en-US" w:eastAsia="zh-CN"/>
        </w:rPr>
        <w:t>）第二类用地中的筛选值，土壤现状良好。</w:t>
      </w:r>
      <w:bookmarkStart w:id="349" w:name="_Toc31564"/>
      <w:bookmarkStart w:id="350" w:name="_Toc24631"/>
    </w:p>
    <w:p w14:paraId="63340A6F">
      <w:pPr>
        <w:pStyle w:val="5"/>
        <w:bidi w:val="0"/>
        <w:rPr>
          <w:highlight w:val="none"/>
        </w:rPr>
      </w:pPr>
      <w:r>
        <w:rPr>
          <w:rStyle w:val="65"/>
          <w:highlight w:val="none"/>
        </w:rPr>
        <w:t>4.2.</w:t>
      </w:r>
      <w:r>
        <w:rPr>
          <w:rStyle w:val="65"/>
          <w:rFonts w:hint="eastAsia"/>
          <w:highlight w:val="none"/>
          <w:lang w:val="en-US" w:eastAsia="zh-CN"/>
        </w:rPr>
        <w:t>6</w:t>
      </w:r>
      <w:r>
        <w:rPr>
          <w:rStyle w:val="65"/>
          <w:highlight w:val="none"/>
        </w:rPr>
        <w:t>生态环境现状调查</w:t>
      </w:r>
      <w:bookmarkEnd w:id="349"/>
      <w:bookmarkEnd w:id="350"/>
    </w:p>
    <w:p w14:paraId="55618EC1">
      <w:pPr>
        <w:pStyle w:val="721"/>
        <w:ind w:firstLine="480"/>
        <w:contextualSpacing/>
        <w:rPr>
          <w:rFonts w:ascii="Times New Roman" w:hAnsi="Times New Roman" w:cs="Times New Roman"/>
          <w:highlight w:val="none"/>
        </w:rPr>
      </w:pPr>
      <w:r>
        <w:rPr>
          <w:rFonts w:ascii="Times New Roman" w:cs="Times New Roman" w:hAnsiTheme="minorEastAsia"/>
          <w:highlight w:val="none"/>
        </w:rPr>
        <w:t>本项目建设地点位于</w:t>
      </w:r>
      <w:r>
        <w:rPr>
          <w:rFonts w:hint="eastAsia" w:ascii="Times New Roman" w:cs="Times New Roman" w:hAnsiTheme="minorEastAsia"/>
          <w:snapToGrid w:val="0"/>
          <w:kern w:val="0"/>
          <w:highlight w:val="none"/>
        </w:rPr>
        <w:t>黑龙江省哈尔滨市香坊区黎明乡幸福村哈阿公路零公里处哈尔滨透平设备总厂院内</w:t>
      </w:r>
      <w:r>
        <w:rPr>
          <w:rFonts w:ascii="Times New Roman" w:cs="Times New Roman" w:hAnsiTheme="minorEastAsia"/>
          <w:highlight w:val="none"/>
        </w:rPr>
        <w:t>，经调查，本项目所在地区周围</w:t>
      </w:r>
      <w:r>
        <w:rPr>
          <w:rFonts w:hint="eastAsia" w:ascii="Times New Roman" w:cs="Times New Roman" w:hAnsiTheme="minorEastAsia"/>
          <w:highlight w:val="none"/>
          <w:lang w:val="en-US" w:eastAsia="zh-CN"/>
        </w:rPr>
        <w:t>大多</w:t>
      </w:r>
      <w:r>
        <w:rPr>
          <w:rFonts w:ascii="Times New Roman" w:cs="Times New Roman" w:hAnsiTheme="minorEastAsia"/>
          <w:highlight w:val="none"/>
        </w:rPr>
        <w:t>为工业企业，项目所在位置用地性质为工业用地，由于多年的开发活动，本区自然生态环境已为人工生态环境所取代。</w:t>
      </w:r>
      <w:r>
        <w:rPr>
          <w:rFonts w:ascii="Times New Roman" w:cs="Times New Roman" w:hAnsiTheme="minorEastAsia"/>
          <w:bCs/>
          <w:szCs w:val="24"/>
          <w:highlight w:val="none"/>
        </w:rPr>
        <w:t>本项目所在地区</w:t>
      </w:r>
      <w:r>
        <w:rPr>
          <w:rFonts w:ascii="Times New Roman" w:cs="Times New Roman" w:hAnsiTheme="minorEastAsia"/>
          <w:highlight w:val="none"/>
        </w:rPr>
        <w:t>没有野生动物保护品种，也未发现濒危、珍惜动物栖息场所，区域内无国家、省、市级自然保护区、风景名胜区等保护目标，区域整体生态环境质量较好。</w:t>
      </w:r>
    </w:p>
    <w:p w14:paraId="39DDBCE4">
      <w:pPr>
        <w:pStyle w:val="4"/>
        <w:bidi w:val="0"/>
        <w:rPr>
          <w:highlight w:val="none"/>
        </w:rPr>
      </w:pPr>
      <w:bookmarkStart w:id="351" w:name="_Toc22113"/>
      <w:bookmarkStart w:id="352" w:name="_Toc2107"/>
      <w:bookmarkStart w:id="353" w:name="_Toc519"/>
      <w:bookmarkStart w:id="354" w:name="_Toc490807013"/>
      <w:bookmarkStart w:id="355" w:name="_Toc514938163"/>
      <w:r>
        <w:rPr>
          <w:highlight w:val="none"/>
        </w:rPr>
        <w:t>4.3环境保护目标调查</w:t>
      </w:r>
      <w:bookmarkEnd w:id="351"/>
      <w:bookmarkEnd w:id="352"/>
      <w:bookmarkEnd w:id="353"/>
    </w:p>
    <w:p w14:paraId="7DE678DA">
      <w:pPr>
        <w:bidi w:val="0"/>
        <w:rPr>
          <w:rFonts w:hAnsiTheme="minorEastAsia" w:eastAsiaTheme="minorEastAsia"/>
          <w:bCs/>
          <w:kern w:val="44"/>
          <w:sz w:val="24"/>
          <w:highlight w:val="none"/>
        </w:rPr>
      </w:pPr>
      <w:r>
        <w:rPr>
          <w:rFonts w:hAnsiTheme="minorEastAsia" w:eastAsiaTheme="minorEastAsia"/>
          <w:bCs/>
          <w:kern w:val="44"/>
          <w:sz w:val="24"/>
          <w:highlight w:val="none"/>
        </w:rPr>
        <w:t>调查过程：根据《建设项目环境影响评价技术导则总纲》（</w:t>
      </w:r>
      <w:r>
        <w:rPr>
          <w:rFonts w:eastAsiaTheme="minorEastAsia"/>
          <w:bCs/>
          <w:kern w:val="44"/>
          <w:sz w:val="24"/>
          <w:highlight w:val="none"/>
        </w:rPr>
        <w:t>HJ2.1-2016</w:t>
      </w:r>
      <w:r>
        <w:rPr>
          <w:rFonts w:hAnsiTheme="minorEastAsia" w:eastAsiaTheme="minorEastAsia"/>
          <w:bCs/>
          <w:kern w:val="44"/>
          <w:sz w:val="24"/>
          <w:highlight w:val="none"/>
        </w:rPr>
        <w:t>），环境保护目标调查应调查评价范围内的环境功能区划和主要的环境敏感区，详细了解环境保护目标的地理位置、服务功能、四至范围、保护对象和保护要求等。调查过程见下表：</w:t>
      </w:r>
    </w:p>
    <w:p w14:paraId="1F8B0891">
      <w:pPr>
        <w:pStyle w:val="7"/>
        <w:bidi w:val="0"/>
        <w:rPr>
          <w:highlight w:val="none"/>
        </w:rPr>
      </w:pPr>
      <w:r>
        <w:rPr>
          <w:highlight w:val="none"/>
        </w:rPr>
        <w:t>表4-3-1环境保护目标调查表</w:t>
      </w:r>
    </w:p>
    <w:tbl>
      <w:tblPr>
        <w:tblStyle w:val="45"/>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
      <w:tblGrid>
        <w:gridCol w:w="1101"/>
        <w:gridCol w:w="1275"/>
        <w:gridCol w:w="1134"/>
        <w:gridCol w:w="2989"/>
        <w:gridCol w:w="880"/>
        <w:gridCol w:w="1143"/>
      </w:tblGrid>
      <w:tr w14:paraId="79B0E951">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1101" w:type="dxa"/>
            <w:tcBorders>
              <w:tl2br w:val="nil"/>
              <w:tr2bl w:val="nil"/>
            </w:tcBorders>
            <w:vAlign w:val="center"/>
          </w:tcPr>
          <w:p w14:paraId="34FF82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名称</w:t>
            </w:r>
          </w:p>
        </w:tc>
        <w:tc>
          <w:tcPr>
            <w:tcW w:w="1275" w:type="dxa"/>
            <w:tcBorders>
              <w:tl2br w:val="nil"/>
              <w:tr2bl w:val="nil"/>
            </w:tcBorders>
            <w:vAlign w:val="center"/>
          </w:tcPr>
          <w:p w14:paraId="0E6ABF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地理位置</w:t>
            </w:r>
          </w:p>
        </w:tc>
        <w:tc>
          <w:tcPr>
            <w:tcW w:w="1134" w:type="dxa"/>
            <w:tcBorders>
              <w:tl2br w:val="nil"/>
              <w:tr2bl w:val="nil"/>
            </w:tcBorders>
            <w:vAlign w:val="center"/>
          </w:tcPr>
          <w:p w14:paraId="232AA5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服务功能</w:t>
            </w:r>
          </w:p>
        </w:tc>
        <w:tc>
          <w:tcPr>
            <w:tcW w:w="2989" w:type="dxa"/>
            <w:tcBorders>
              <w:tl2br w:val="nil"/>
              <w:tr2bl w:val="nil"/>
            </w:tcBorders>
            <w:vAlign w:val="center"/>
          </w:tcPr>
          <w:p w14:paraId="23E744A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四至范围</w:t>
            </w:r>
          </w:p>
        </w:tc>
        <w:tc>
          <w:tcPr>
            <w:tcW w:w="880" w:type="dxa"/>
            <w:tcBorders>
              <w:tl2br w:val="nil"/>
              <w:tr2bl w:val="nil"/>
            </w:tcBorders>
            <w:vAlign w:val="center"/>
          </w:tcPr>
          <w:p w14:paraId="5F2659D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保护对象</w:t>
            </w:r>
          </w:p>
        </w:tc>
        <w:tc>
          <w:tcPr>
            <w:tcW w:w="1143" w:type="dxa"/>
            <w:tcBorders>
              <w:tl2br w:val="nil"/>
              <w:tr2bl w:val="nil"/>
            </w:tcBorders>
            <w:vAlign w:val="center"/>
          </w:tcPr>
          <w:p w14:paraId="53F384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保护要求</w:t>
            </w:r>
          </w:p>
        </w:tc>
      </w:tr>
      <w:tr w14:paraId="6509D68E">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1101" w:type="dxa"/>
            <w:tcBorders>
              <w:tl2br w:val="nil"/>
              <w:tr2bl w:val="nil"/>
            </w:tcBorders>
            <w:shd w:val="clear" w:color="auto" w:fill="auto"/>
            <w:vAlign w:val="center"/>
          </w:tcPr>
          <w:p w14:paraId="62A45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bidi="ar-SA"/>
              </w:rPr>
            </w:pPr>
            <w:r>
              <w:rPr>
                <w:rFonts w:hint="eastAsia" w:cs="Times New Roman" w:eastAsiaTheme="minorEastAsia"/>
                <w:snapToGrid w:val="0"/>
                <w:kern w:val="21"/>
                <w:sz w:val="21"/>
                <w:szCs w:val="21"/>
                <w:highlight w:val="none"/>
                <w:lang w:eastAsia="zh-CN"/>
              </w:rPr>
              <w:t>香坊</w:t>
            </w:r>
            <w:r>
              <w:rPr>
                <w:rFonts w:hint="default" w:ascii="Times New Roman" w:hAnsi="Times New Roman" w:cs="Times New Roman" w:eastAsiaTheme="minorEastAsia"/>
                <w:snapToGrid w:val="0"/>
                <w:kern w:val="21"/>
                <w:sz w:val="21"/>
                <w:szCs w:val="21"/>
                <w:highlight w:val="none"/>
              </w:rPr>
              <w:t>区居民</w:t>
            </w:r>
          </w:p>
        </w:tc>
        <w:tc>
          <w:tcPr>
            <w:tcW w:w="1275" w:type="dxa"/>
            <w:tcBorders>
              <w:tl2br w:val="nil"/>
              <w:tr2bl w:val="nil"/>
            </w:tcBorders>
            <w:vAlign w:val="center"/>
          </w:tcPr>
          <w:p w14:paraId="07E63E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N</w:t>
            </w:r>
            <w:r>
              <w:rPr>
                <w:rFonts w:hint="eastAsia" w:ascii="Times New Roman" w:hAnsi="Times New Roman" w:cs="Times New Roman"/>
                <w:sz w:val="21"/>
                <w:szCs w:val="21"/>
                <w:highlight w:val="none"/>
                <w:lang w:val="en-US" w:eastAsia="zh-CN"/>
              </w:rPr>
              <w:t>W</w:t>
            </w:r>
            <w:r>
              <w:rPr>
                <w:rFonts w:hint="default" w:ascii="Times New Roman" w:hAnsi="Times New Roman" w:cs="Times New Roman"/>
                <w:sz w:val="21"/>
                <w:szCs w:val="21"/>
                <w:highlight w:val="none"/>
                <w:lang w:val="en-US" w:eastAsia="zh-CN"/>
              </w:rPr>
              <w:t xml:space="preserve"> </w:t>
            </w:r>
            <w:r>
              <w:rPr>
                <w:rFonts w:hint="eastAsia" w:cs="Times New Roman"/>
                <w:sz w:val="21"/>
                <w:szCs w:val="21"/>
                <w:highlight w:val="none"/>
                <w:lang w:val="en-US" w:eastAsia="zh-CN"/>
              </w:rPr>
              <w:t>2.55km</w:t>
            </w:r>
          </w:p>
        </w:tc>
        <w:tc>
          <w:tcPr>
            <w:tcW w:w="1134" w:type="dxa"/>
            <w:tcBorders>
              <w:tl2br w:val="nil"/>
              <w:tr2bl w:val="nil"/>
            </w:tcBorders>
            <w:vAlign w:val="center"/>
          </w:tcPr>
          <w:p w14:paraId="5288EDA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城市</w:t>
            </w:r>
          </w:p>
        </w:tc>
        <w:tc>
          <w:tcPr>
            <w:tcW w:w="2989" w:type="dxa"/>
            <w:tcBorders>
              <w:tl2br w:val="nil"/>
              <w:tr2bl w:val="nil"/>
            </w:tcBorders>
            <w:vAlign w:val="center"/>
          </w:tcPr>
          <w:p w14:paraId="428F6A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东至</w:t>
            </w:r>
            <w:r>
              <w:rPr>
                <w:rFonts w:hint="eastAsia" w:cs="Times New Roman"/>
                <w:sz w:val="21"/>
                <w:szCs w:val="21"/>
                <w:highlight w:val="none"/>
                <w:lang w:val="en-US" w:eastAsia="zh-CN"/>
              </w:rPr>
              <w:t>电碳路</w:t>
            </w:r>
            <w:r>
              <w:rPr>
                <w:rFonts w:hint="default" w:ascii="Times New Roman" w:hAnsi="Times New Roman" w:cs="Times New Roman"/>
                <w:sz w:val="21"/>
                <w:szCs w:val="21"/>
                <w:highlight w:val="none"/>
                <w:lang w:val="en-US" w:eastAsia="zh-CN"/>
              </w:rPr>
              <w:t>，南至</w:t>
            </w:r>
            <w:r>
              <w:rPr>
                <w:rFonts w:hint="eastAsia" w:cs="Times New Roman"/>
                <w:sz w:val="21"/>
                <w:szCs w:val="21"/>
                <w:highlight w:val="none"/>
                <w:lang w:val="en-US" w:eastAsia="zh-CN"/>
              </w:rPr>
              <w:t>电碳路</w:t>
            </w:r>
            <w:r>
              <w:rPr>
                <w:rFonts w:hint="default" w:ascii="Times New Roman" w:hAnsi="Times New Roman" w:cs="Times New Roman"/>
                <w:sz w:val="21"/>
                <w:szCs w:val="21"/>
                <w:highlight w:val="none"/>
                <w:lang w:val="en-US" w:eastAsia="zh-CN"/>
              </w:rPr>
              <w:t>，西至</w:t>
            </w:r>
            <w:r>
              <w:rPr>
                <w:rFonts w:hint="eastAsia" w:cs="Times New Roman"/>
                <w:sz w:val="21"/>
                <w:szCs w:val="21"/>
                <w:highlight w:val="none"/>
                <w:lang w:val="en-US" w:eastAsia="zh-CN"/>
              </w:rPr>
              <w:t>金城社区</w:t>
            </w:r>
            <w:r>
              <w:rPr>
                <w:rFonts w:hint="default" w:ascii="Times New Roman" w:hAnsi="Times New Roman" w:cs="Times New Roman"/>
                <w:sz w:val="21"/>
                <w:szCs w:val="21"/>
                <w:highlight w:val="none"/>
                <w:lang w:val="en-US" w:eastAsia="zh-CN"/>
              </w:rPr>
              <w:t>，北至</w:t>
            </w:r>
            <w:r>
              <w:rPr>
                <w:rFonts w:hint="eastAsia" w:cs="Times New Roman"/>
                <w:sz w:val="21"/>
                <w:szCs w:val="21"/>
                <w:highlight w:val="none"/>
                <w:lang w:val="en-US" w:eastAsia="zh-CN"/>
              </w:rPr>
              <w:t>黑龙江应用技术学校</w:t>
            </w:r>
          </w:p>
        </w:tc>
        <w:tc>
          <w:tcPr>
            <w:tcW w:w="880" w:type="dxa"/>
            <w:vMerge w:val="restart"/>
            <w:tcBorders>
              <w:tl2br w:val="nil"/>
              <w:tr2bl w:val="nil"/>
            </w:tcBorders>
            <w:vAlign w:val="center"/>
          </w:tcPr>
          <w:p w14:paraId="11EB38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居民</w:t>
            </w:r>
          </w:p>
        </w:tc>
        <w:tc>
          <w:tcPr>
            <w:tcW w:w="1143" w:type="dxa"/>
            <w:vMerge w:val="restart"/>
            <w:tcBorders>
              <w:tl2br w:val="nil"/>
              <w:tr2bl w:val="nil"/>
            </w:tcBorders>
            <w:vAlign w:val="center"/>
          </w:tcPr>
          <w:p w14:paraId="59CBB60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《环境空气质量标准》（GB3095-2012）二级标准</w:t>
            </w:r>
          </w:p>
        </w:tc>
      </w:tr>
      <w:tr w14:paraId="6E479603">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1101" w:type="dxa"/>
            <w:tcBorders>
              <w:tl2br w:val="nil"/>
              <w:tr2bl w:val="nil"/>
            </w:tcBorders>
            <w:shd w:val="clear" w:color="auto" w:fill="auto"/>
            <w:vAlign w:val="center"/>
          </w:tcPr>
          <w:p w14:paraId="58BFF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bidi="ar-SA"/>
              </w:rPr>
            </w:pPr>
            <w:r>
              <w:rPr>
                <w:rFonts w:hint="eastAsia" w:cs="Times New Roman" w:eastAsiaTheme="minorEastAsia"/>
                <w:snapToGrid w:val="0"/>
                <w:kern w:val="21"/>
                <w:sz w:val="21"/>
                <w:szCs w:val="21"/>
                <w:highlight w:val="none"/>
                <w:lang w:eastAsia="zh-CN"/>
              </w:rPr>
              <w:t>西柞</w:t>
            </w:r>
            <w:r>
              <w:rPr>
                <w:rFonts w:hint="default" w:ascii="Times New Roman" w:hAnsi="Times New Roman" w:cs="Times New Roman" w:eastAsiaTheme="minorEastAsia"/>
                <w:snapToGrid w:val="0"/>
                <w:kern w:val="21"/>
                <w:sz w:val="21"/>
                <w:szCs w:val="21"/>
                <w:highlight w:val="none"/>
              </w:rPr>
              <w:t>村</w:t>
            </w:r>
          </w:p>
        </w:tc>
        <w:tc>
          <w:tcPr>
            <w:tcW w:w="1275" w:type="dxa"/>
            <w:tcBorders>
              <w:tl2br w:val="nil"/>
              <w:tr2bl w:val="nil"/>
            </w:tcBorders>
            <w:vAlign w:val="center"/>
          </w:tcPr>
          <w:p w14:paraId="6212FF1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N</w:t>
            </w:r>
            <w:r>
              <w:rPr>
                <w:rFonts w:hint="eastAsia" w:cs="Times New Roman"/>
                <w:sz w:val="21"/>
                <w:szCs w:val="21"/>
                <w:highlight w:val="none"/>
                <w:lang w:val="en-US" w:eastAsia="zh-CN"/>
              </w:rPr>
              <w:t>W</w:t>
            </w:r>
            <w:r>
              <w:rPr>
                <w:rFonts w:hint="default" w:ascii="Times New Roman" w:hAnsi="Times New Roman" w:cs="Times New Roman"/>
                <w:sz w:val="21"/>
                <w:szCs w:val="21"/>
                <w:highlight w:val="none"/>
                <w:lang w:val="en-US" w:eastAsia="zh-CN"/>
              </w:rPr>
              <w:t xml:space="preserve"> </w:t>
            </w:r>
            <w:r>
              <w:rPr>
                <w:rFonts w:hint="eastAsia" w:cs="Times New Roman"/>
                <w:sz w:val="21"/>
                <w:szCs w:val="21"/>
                <w:highlight w:val="none"/>
                <w:lang w:val="en-US" w:eastAsia="zh-CN"/>
              </w:rPr>
              <w:t>2.01</w:t>
            </w:r>
            <w:r>
              <w:rPr>
                <w:rFonts w:hint="eastAsia" w:ascii="Times New Roman" w:hAnsi="Times New Roman" w:cs="Times New Roman"/>
                <w:sz w:val="21"/>
                <w:szCs w:val="21"/>
                <w:highlight w:val="none"/>
                <w:lang w:val="en-US" w:eastAsia="zh-CN"/>
              </w:rPr>
              <w:t>k</w:t>
            </w:r>
            <w:r>
              <w:rPr>
                <w:rFonts w:hint="default" w:ascii="Times New Roman" w:hAnsi="Times New Roman" w:cs="Times New Roman"/>
                <w:sz w:val="21"/>
                <w:szCs w:val="21"/>
                <w:highlight w:val="none"/>
                <w:lang w:val="en-US" w:eastAsia="zh-CN"/>
              </w:rPr>
              <w:t>m</w:t>
            </w:r>
          </w:p>
        </w:tc>
        <w:tc>
          <w:tcPr>
            <w:tcW w:w="1134" w:type="dxa"/>
            <w:vMerge w:val="restart"/>
            <w:tcBorders>
              <w:tl2br w:val="nil"/>
              <w:tr2bl w:val="nil"/>
            </w:tcBorders>
            <w:vAlign w:val="center"/>
          </w:tcPr>
          <w:p w14:paraId="1FE99D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乡</w:t>
            </w:r>
            <w:r>
              <w:rPr>
                <w:rFonts w:hint="default" w:ascii="Times New Roman" w:hAnsi="Times New Roman" w:cs="Times New Roman"/>
                <w:sz w:val="21"/>
                <w:szCs w:val="21"/>
                <w:highlight w:val="none"/>
                <w:lang w:val="en-US" w:eastAsia="zh-CN"/>
              </w:rPr>
              <w:t>镇</w:t>
            </w:r>
          </w:p>
        </w:tc>
        <w:tc>
          <w:tcPr>
            <w:tcW w:w="2989" w:type="dxa"/>
            <w:tcBorders>
              <w:tl2br w:val="nil"/>
              <w:tr2bl w:val="nil"/>
            </w:tcBorders>
            <w:vAlign w:val="center"/>
          </w:tcPr>
          <w:p w14:paraId="62892B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，南至</w:t>
            </w:r>
            <w:r>
              <w:rPr>
                <w:rFonts w:hint="eastAsia" w:cs="Times New Roman"/>
                <w:sz w:val="21"/>
                <w:szCs w:val="21"/>
                <w:highlight w:val="none"/>
                <w:lang w:val="en-US" w:eastAsia="zh-CN"/>
              </w:rPr>
              <w:t>哈尔滨市实达宏混凝土构件</w:t>
            </w:r>
            <w:r>
              <w:rPr>
                <w:rFonts w:hint="default" w:ascii="Times New Roman" w:hAnsi="Times New Roman" w:cs="Times New Roman"/>
                <w:sz w:val="21"/>
                <w:szCs w:val="21"/>
                <w:highlight w:val="none"/>
                <w:lang w:val="en-US" w:eastAsia="zh-CN"/>
              </w:rPr>
              <w:t>有限公司，西至</w:t>
            </w:r>
            <w:r>
              <w:rPr>
                <w:rFonts w:hint="eastAsia" w:cs="Times New Roman"/>
                <w:sz w:val="21"/>
                <w:szCs w:val="21"/>
                <w:highlight w:val="none"/>
                <w:lang w:val="en-US" w:eastAsia="zh-CN"/>
              </w:rPr>
              <w:t>电碳</w:t>
            </w:r>
            <w:r>
              <w:rPr>
                <w:rFonts w:hint="default" w:ascii="Times New Roman" w:hAnsi="Times New Roman" w:cs="Times New Roman"/>
                <w:sz w:val="21"/>
                <w:szCs w:val="21"/>
                <w:highlight w:val="none"/>
                <w:lang w:val="en-US" w:eastAsia="zh-CN"/>
              </w:rPr>
              <w:t>路，北至</w:t>
            </w:r>
            <w:r>
              <w:rPr>
                <w:rFonts w:hint="eastAsia" w:cs="Times New Roman"/>
                <w:sz w:val="21"/>
                <w:szCs w:val="21"/>
                <w:highlight w:val="none"/>
                <w:lang w:val="en-US" w:eastAsia="zh-CN"/>
              </w:rPr>
              <w:t>农田</w:t>
            </w:r>
          </w:p>
        </w:tc>
        <w:tc>
          <w:tcPr>
            <w:tcW w:w="880" w:type="dxa"/>
            <w:vMerge w:val="continue"/>
            <w:tcBorders>
              <w:tl2br w:val="nil"/>
              <w:tr2bl w:val="nil"/>
            </w:tcBorders>
            <w:vAlign w:val="center"/>
          </w:tcPr>
          <w:p w14:paraId="481A88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Borders>
              <w:tl2br w:val="nil"/>
              <w:tr2bl w:val="nil"/>
            </w:tcBorders>
            <w:vAlign w:val="center"/>
          </w:tcPr>
          <w:p w14:paraId="136B9AF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256B5D81">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1101" w:type="dxa"/>
            <w:tcBorders>
              <w:tl2br w:val="nil"/>
              <w:tr2bl w:val="nil"/>
            </w:tcBorders>
            <w:shd w:val="clear" w:color="auto" w:fill="auto"/>
            <w:vAlign w:val="center"/>
          </w:tcPr>
          <w:p w14:paraId="777E2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textAlignment w:val="baseline"/>
              <w:rPr>
                <w:rFonts w:hint="default" w:ascii="Times New Roman" w:hAnsi="Times New Roman" w:cs="Times New Roman" w:eastAsiaTheme="minorEastAsia"/>
                <w:snapToGrid w:val="0"/>
                <w:kern w:val="21"/>
                <w:sz w:val="21"/>
                <w:szCs w:val="21"/>
                <w:highlight w:val="none"/>
                <w:lang w:val="en-US" w:eastAsia="zh-CN" w:bidi="ar-SA"/>
              </w:rPr>
            </w:pPr>
            <w:r>
              <w:rPr>
                <w:rFonts w:hint="eastAsia" w:cs="Times New Roman" w:eastAsiaTheme="minorEastAsia"/>
                <w:snapToGrid w:val="0"/>
                <w:kern w:val="21"/>
                <w:sz w:val="21"/>
                <w:szCs w:val="21"/>
                <w:highlight w:val="none"/>
                <w:lang w:eastAsia="zh-CN"/>
              </w:rPr>
              <w:t>曹家窝堡</w:t>
            </w:r>
          </w:p>
        </w:tc>
        <w:tc>
          <w:tcPr>
            <w:tcW w:w="1275" w:type="dxa"/>
            <w:tcBorders>
              <w:tl2br w:val="nil"/>
              <w:tr2bl w:val="nil"/>
            </w:tcBorders>
            <w:vAlign w:val="center"/>
          </w:tcPr>
          <w:p w14:paraId="266F56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 xml:space="preserve">NW </w:t>
            </w:r>
            <w:r>
              <w:rPr>
                <w:rFonts w:hint="eastAsia" w:cs="Times New Roman"/>
                <w:sz w:val="21"/>
                <w:szCs w:val="21"/>
                <w:highlight w:val="none"/>
                <w:lang w:val="en-US" w:eastAsia="zh-CN"/>
              </w:rPr>
              <w:t>1.09</w:t>
            </w:r>
            <w:r>
              <w:rPr>
                <w:rFonts w:hint="eastAsia" w:ascii="Times New Roman" w:hAnsi="Times New Roman" w:cs="Times New Roman"/>
                <w:sz w:val="21"/>
                <w:szCs w:val="21"/>
                <w:highlight w:val="none"/>
                <w:lang w:val="en-US" w:eastAsia="zh-CN"/>
              </w:rPr>
              <w:t>k</w:t>
            </w:r>
            <w:r>
              <w:rPr>
                <w:rFonts w:hint="default" w:ascii="Times New Roman" w:hAnsi="Times New Roman" w:cs="Times New Roman"/>
                <w:sz w:val="21"/>
                <w:szCs w:val="21"/>
                <w:highlight w:val="none"/>
                <w:lang w:val="en-US" w:eastAsia="zh-CN"/>
              </w:rPr>
              <w:t>m</w:t>
            </w:r>
          </w:p>
        </w:tc>
        <w:tc>
          <w:tcPr>
            <w:tcW w:w="1134" w:type="dxa"/>
            <w:vMerge w:val="continue"/>
            <w:tcBorders>
              <w:tl2br w:val="nil"/>
              <w:tr2bl w:val="nil"/>
            </w:tcBorders>
            <w:vAlign w:val="center"/>
          </w:tcPr>
          <w:p w14:paraId="5D0C29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2989" w:type="dxa"/>
            <w:tcBorders>
              <w:tl2br w:val="nil"/>
              <w:tr2bl w:val="nil"/>
            </w:tcBorders>
            <w:vAlign w:val="center"/>
          </w:tcPr>
          <w:p w14:paraId="65B070D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，南至</w:t>
            </w:r>
            <w:r>
              <w:rPr>
                <w:rFonts w:hint="eastAsia" w:cs="Times New Roman"/>
                <w:sz w:val="21"/>
                <w:szCs w:val="21"/>
                <w:highlight w:val="none"/>
                <w:lang w:val="en-US" w:eastAsia="zh-CN"/>
              </w:rPr>
              <w:t>黑龙江中通快运哈尔滨分拨中心</w:t>
            </w:r>
            <w:r>
              <w:rPr>
                <w:rFonts w:hint="default" w:ascii="Times New Roman" w:hAnsi="Times New Roman" w:cs="Times New Roman"/>
                <w:sz w:val="21"/>
                <w:szCs w:val="21"/>
                <w:highlight w:val="none"/>
                <w:lang w:val="en-US" w:eastAsia="zh-CN"/>
              </w:rPr>
              <w:t>，西至</w:t>
            </w:r>
            <w:r>
              <w:rPr>
                <w:rFonts w:hint="eastAsia" w:cs="Times New Roman"/>
                <w:sz w:val="21"/>
                <w:szCs w:val="21"/>
                <w:highlight w:val="none"/>
                <w:lang w:val="en-US" w:eastAsia="zh-CN"/>
              </w:rPr>
              <w:t>空地</w:t>
            </w:r>
            <w:r>
              <w:rPr>
                <w:rFonts w:hint="default" w:ascii="Times New Roman" w:hAnsi="Times New Roman" w:cs="Times New Roman"/>
                <w:sz w:val="21"/>
                <w:szCs w:val="21"/>
                <w:highlight w:val="none"/>
                <w:lang w:val="en-US" w:eastAsia="zh-CN"/>
              </w:rPr>
              <w:t>，北至</w:t>
            </w:r>
            <w:r>
              <w:rPr>
                <w:rFonts w:hint="eastAsia" w:cs="Times New Roman"/>
                <w:sz w:val="21"/>
                <w:szCs w:val="21"/>
                <w:highlight w:val="none"/>
                <w:lang w:val="en-US" w:eastAsia="zh-CN"/>
              </w:rPr>
              <w:t>新热点工艺玻璃厂</w:t>
            </w:r>
          </w:p>
        </w:tc>
        <w:tc>
          <w:tcPr>
            <w:tcW w:w="880" w:type="dxa"/>
            <w:vMerge w:val="continue"/>
            <w:tcBorders>
              <w:tl2br w:val="nil"/>
              <w:tr2bl w:val="nil"/>
            </w:tcBorders>
            <w:vAlign w:val="center"/>
          </w:tcPr>
          <w:p w14:paraId="7754445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Borders>
              <w:tl2br w:val="nil"/>
              <w:tr2bl w:val="nil"/>
            </w:tcBorders>
            <w:vAlign w:val="center"/>
          </w:tcPr>
          <w:p w14:paraId="646A5C8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5A1213CD">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1101" w:type="dxa"/>
            <w:tcBorders>
              <w:tl2br w:val="nil"/>
              <w:tr2bl w:val="nil"/>
            </w:tcBorders>
            <w:shd w:val="clear" w:color="auto" w:fill="auto"/>
            <w:vAlign w:val="center"/>
          </w:tcPr>
          <w:p w14:paraId="017F8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eastAsia="zh-CN"/>
              </w:rPr>
              <w:t>东柞村</w:t>
            </w:r>
          </w:p>
        </w:tc>
        <w:tc>
          <w:tcPr>
            <w:tcW w:w="1275" w:type="dxa"/>
            <w:tcBorders>
              <w:tl2br w:val="nil"/>
              <w:tr2bl w:val="nil"/>
            </w:tcBorders>
            <w:vAlign w:val="center"/>
          </w:tcPr>
          <w:p w14:paraId="1A019AA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NE</w:t>
            </w:r>
            <w:r>
              <w:rPr>
                <w:rFonts w:hint="default" w:ascii="Times New Roman" w:hAnsi="Times New Roman" w:cs="Times New Roman"/>
                <w:sz w:val="21"/>
                <w:szCs w:val="21"/>
                <w:highlight w:val="none"/>
                <w:lang w:val="en-US" w:eastAsia="zh-CN"/>
              </w:rPr>
              <w:t xml:space="preserve"> </w:t>
            </w:r>
            <w:r>
              <w:rPr>
                <w:rFonts w:hint="eastAsia" w:cs="Times New Roman"/>
                <w:sz w:val="21"/>
                <w:szCs w:val="21"/>
                <w:highlight w:val="none"/>
                <w:lang w:val="en-US" w:eastAsia="zh-CN"/>
              </w:rPr>
              <w:t>2.72</w:t>
            </w:r>
            <w:r>
              <w:rPr>
                <w:rFonts w:hint="eastAsia" w:ascii="Times New Roman" w:hAnsi="Times New Roman" w:cs="Times New Roman"/>
                <w:sz w:val="21"/>
                <w:szCs w:val="21"/>
                <w:highlight w:val="none"/>
                <w:lang w:val="en-US" w:eastAsia="zh-CN"/>
              </w:rPr>
              <w:t>k</w:t>
            </w:r>
            <w:r>
              <w:rPr>
                <w:rFonts w:hint="default" w:ascii="Times New Roman" w:hAnsi="Times New Roman" w:cs="Times New Roman"/>
                <w:sz w:val="21"/>
                <w:szCs w:val="21"/>
                <w:highlight w:val="none"/>
                <w:lang w:val="en-US" w:eastAsia="zh-CN"/>
              </w:rPr>
              <w:t>m</w:t>
            </w:r>
          </w:p>
        </w:tc>
        <w:tc>
          <w:tcPr>
            <w:tcW w:w="1134" w:type="dxa"/>
            <w:vMerge w:val="continue"/>
            <w:tcBorders>
              <w:tl2br w:val="nil"/>
              <w:tr2bl w:val="nil"/>
            </w:tcBorders>
            <w:vAlign w:val="center"/>
          </w:tcPr>
          <w:p w14:paraId="75E9C6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2989" w:type="dxa"/>
            <w:tcBorders>
              <w:tl2br w:val="nil"/>
              <w:tr2bl w:val="nil"/>
            </w:tcBorders>
            <w:vAlign w:val="center"/>
          </w:tcPr>
          <w:p w14:paraId="4F2F11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，南至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，西至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，北至</w:t>
            </w:r>
            <w:r>
              <w:rPr>
                <w:rFonts w:hint="eastAsia" w:cs="Times New Roman"/>
                <w:sz w:val="21"/>
                <w:szCs w:val="21"/>
                <w:highlight w:val="none"/>
                <w:lang w:val="en-US" w:eastAsia="zh-CN"/>
              </w:rPr>
              <w:t>农田</w:t>
            </w:r>
          </w:p>
        </w:tc>
        <w:tc>
          <w:tcPr>
            <w:tcW w:w="880" w:type="dxa"/>
            <w:vMerge w:val="continue"/>
            <w:tcBorders>
              <w:tl2br w:val="nil"/>
              <w:tr2bl w:val="nil"/>
            </w:tcBorders>
            <w:vAlign w:val="center"/>
          </w:tcPr>
          <w:p w14:paraId="5E15069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Borders>
              <w:tl2br w:val="nil"/>
              <w:tr2bl w:val="nil"/>
            </w:tcBorders>
            <w:vAlign w:val="center"/>
          </w:tcPr>
          <w:p w14:paraId="6F96488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2953A027">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1101" w:type="dxa"/>
            <w:tcBorders>
              <w:tl2br w:val="nil"/>
              <w:tr2bl w:val="nil"/>
            </w:tcBorders>
            <w:shd w:val="clear" w:color="auto" w:fill="auto"/>
            <w:vAlign w:val="center"/>
          </w:tcPr>
          <w:p w14:paraId="487F8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eastAsia="zh-CN"/>
              </w:rPr>
              <w:t>孙家村</w:t>
            </w:r>
          </w:p>
        </w:tc>
        <w:tc>
          <w:tcPr>
            <w:tcW w:w="1275" w:type="dxa"/>
            <w:tcBorders>
              <w:tl2br w:val="nil"/>
              <w:tr2bl w:val="nil"/>
            </w:tcBorders>
            <w:vAlign w:val="center"/>
          </w:tcPr>
          <w:p w14:paraId="6307CCF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N</w:t>
            </w:r>
            <w:r>
              <w:rPr>
                <w:rFonts w:hint="eastAsia" w:ascii="Times New Roman" w:hAnsi="Times New Roman" w:cs="Times New Roman"/>
                <w:sz w:val="21"/>
                <w:szCs w:val="21"/>
                <w:highlight w:val="none"/>
                <w:lang w:val="en-US" w:eastAsia="zh-CN"/>
              </w:rPr>
              <w:t xml:space="preserve">E </w:t>
            </w:r>
            <w:r>
              <w:rPr>
                <w:rFonts w:hint="eastAsia" w:cs="Times New Roman"/>
                <w:sz w:val="21"/>
                <w:szCs w:val="21"/>
                <w:highlight w:val="none"/>
                <w:lang w:val="en-US" w:eastAsia="zh-CN"/>
              </w:rPr>
              <w:t>2.16</w:t>
            </w:r>
            <w:r>
              <w:rPr>
                <w:rFonts w:hint="eastAsia" w:ascii="Times New Roman" w:hAnsi="Times New Roman" w:cs="Times New Roman"/>
                <w:sz w:val="21"/>
                <w:szCs w:val="21"/>
                <w:highlight w:val="none"/>
                <w:lang w:val="en-US" w:eastAsia="zh-CN"/>
              </w:rPr>
              <w:t>km</w:t>
            </w:r>
          </w:p>
        </w:tc>
        <w:tc>
          <w:tcPr>
            <w:tcW w:w="1134" w:type="dxa"/>
            <w:vMerge w:val="continue"/>
            <w:tcBorders>
              <w:tl2br w:val="nil"/>
              <w:tr2bl w:val="nil"/>
            </w:tcBorders>
            <w:vAlign w:val="center"/>
          </w:tcPr>
          <w:p w14:paraId="3F9C62A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2989" w:type="dxa"/>
            <w:tcBorders>
              <w:tl2br w:val="nil"/>
              <w:tr2bl w:val="nil"/>
            </w:tcBorders>
            <w:vAlign w:val="center"/>
          </w:tcPr>
          <w:p w14:paraId="7D89C1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，南至</w:t>
            </w:r>
            <w:r>
              <w:rPr>
                <w:rFonts w:hint="eastAsia" w:cs="Times New Roman"/>
                <w:sz w:val="21"/>
                <w:szCs w:val="21"/>
                <w:highlight w:val="none"/>
                <w:lang w:val="en-US" w:eastAsia="zh-CN"/>
              </w:rPr>
              <w:t>哈红公路</w:t>
            </w:r>
            <w:r>
              <w:rPr>
                <w:rFonts w:hint="default" w:ascii="Times New Roman" w:hAnsi="Times New Roman" w:cs="Times New Roman"/>
                <w:sz w:val="21"/>
                <w:szCs w:val="21"/>
                <w:highlight w:val="none"/>
                <w:lang w:val="en-US" w:eastAsia="zh-CN"/>
              </w:rPr>
              <w:t>，西至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，北至</w:t>
            </w:r>
            <w:r>
              <w:rPr>
                <w:rFonts w:hint="eastAsia" w:cs="Times New Roman"/>
                <w:sz w:val="21"/>
                <w:szCs w:val="21"/>
                <w:highlight w:val="none"/>
                <w:lang w:val="en-US" w:eastAsia="zh-CN"/>
              </w:rPr>
              <w:t>农田</w:t>
            </w:r>
          </w:p>
        </w:tc>
        <w:tc>
          <w:tcPr>
            <w:tcW w:w="880" w:type="dxa"/>
            <w:vMerge w:val="continue"/>
            <w:tcBorders>
              <w:tl2br w:val="nil"/>
              <w:tr2bl w:val="nil"/>
            </w:tcBorders>
            <w:vAlign w:val="center"/>
          </w:tcPr>
          <w:p w14:paraId="319044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Borders>
              <w:tl2br w:val="nil"/>
              <w:tr2bl w:val="nil"/>
            </w:tcBorders>
            <w:vAlign w:val="center"/>
          </w:tcPr>
          <w:p w14:paraId="0CE0283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669CB749">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1101" w:type="dxa"/>
            <w:tcBorders>
              <w:tl2br w:val="nil"/>
              <w:tr2bl w:val="nil"/>
            </w:tcBorders>
            <w:shd w:val="clear" w:color="auto" w:fill="auto"/>
            <w:vAlign w:val="center"/>
          </w:tcPr>
          <w:p w14:paraId="348C6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eastAsia="zh-CN"/>
              </w:rPr>
              <w:t>幸福村</w:t>
            </w:r>
          </w:p>
        </w:tc>
        <w:tc>
          <w:tcPr>
            <w:tcW w:w="1275" w:type="dxa"/>
            <w:tcBorders>
              <w:tl2br w:val="nil"/>
              <w:tr2bl w:val="nil"/>
            </w:tcBorders>
            <w:vAlign w:val="center"/>
          </w:tcPr>
          <w:p w14:paraId="5ED197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 xml:space="preserve">E </w:t>
            </w:r>
            <w:r>
              <w:rPr>
                <w:rFonts w:hint="eastAsia" w:cs="Times New Roman"/>
                <w:sz w:val="21"/>
                <w:szCs w:val="21"/>
                <w:highlight w:val="none"/>
                <w:lang w:val="en-US" w:eastAsia="zh-CN"/>
              </w:rPr>
              <w:t>450</w:t>
            </w:r>
            <w:r>
              <w:rPr>
                <w:rFonts w:hint="eastAsia" w:ascii="Times New Roman" w:hAnsi="Times New Roman" w:cs="Times New Roman"/>
                <w:sz w:val="21"/>
                <w:szCs w:val="21"/>
                <w:highlight w:val="none"/>
                <w:lang w:val="en-US" w:eastAsia="zh-CN"/>
              </w:rPr>
              <w:t>m</w:t>
            </w:r>
          </w:p>
        </w:tc>
        <w:tc>
          <w:tcPr>
            <w:tcW w:w="1134" w:type="dxa"/>
            <w:vMerge w:val="continue"/>
            <w:tcBorders>
              <w:tl2br w:val="nil"/>
              <w:tr2bl w:val="nil"/>
            </w:tcBorders>
            <w:vAlign w:val="center"/>
          </w:tcPr>
          <w:p w14:paraId="4892FAE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2989" w:type="dxa"/>
            <w:tcBorders>
              <w:tl2br w:val="nil"/>
              <w:tr2bl w:val="nil"/>
            </w:tcBorders>
            <w:vAlign w:val="center"/>
          </w:tcPr>
          <w:p w14:paraId="710887F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东至</w:t>
            </w:r>
            <w:r>
              <w:rPr>
                <w:rFonts w:hint="eastAsia" w:cs="Times New Roman"/>
                <w:sz w:val="21"/>
                <w:szCs w:val="21"/>
                <w:highlight w:val="none"/>
                <w:lang w:val="en-US" w:eastAsia="zh-CN"/>
              </w:rPr>
              <w:t>哈尔滨钱雨冷冻产品营销有限公司</w:t>
            </w:r>
            <w:r>
              <w:rPr>
                <w:rFonts w:hint="default" w:ascii="Times New Roman" w:hAnsi="Times New Roman" w:cs="Times New Roman"/>
                <w:sz w:val="21"/>
                <w:szCs w:val="21"/>
                <w:highlight w:val="none"/>
                <w:lang w:val="en-US" w:eastAsia="zh-CN"/>
              </w:rPr>
              <w:t>，南至</w:t>
            </w:r>
            <w:r>
              <w:rPr>
                <w:rFonts w:hint="eastAsia" w:cs="Times New Roman"/>
                <w:sz w:val="21"/>
                <w:szCs w:val="21"/>
                <w:highlight w:val="none"/>
                <w:lang w:val="en-US" w:eastAsia="zh-CN"/>
              </w:rPr>
              <w:t>绥满高速</w:t>
            </w:r>
            <w:r>
              <w:rPr>
                <w:rFonts w:hint="default" w:ascii="Times New Roman" w:hAnsi="Times New Roman" w:cs="Times New Roman"/>
                <w:sz w:val="21"/>
                <w:szCs w:val="21"/>
                <w:highlight w:val="none"/>
                <w:lang w:val="en-US" w:eastAsia="zh-CN"/>
              </w:rPr>
              <w:t>，西至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，北至</w:t>
            </w:r>
            <w:r>
              <w:rPr>
                <w:rFonts w:hint="eastAsia" w:cs="Times New Roman"/>
                <w:sz w:val="21"/>
                <w:szCs w:val="21"/>
                <w:highlight w:val="none"/>
                <w:lang w:val="en-US" w:eastAsia="zh-CN"/>
              </w:rPr>
              <w:t>哈红公路</w:t>
            </w:r>
          </w:p>
        </w:tc>
        <w:tc>
          <w:tcPr>
            <w:tcW w:w="880" w:type="dxa"/>
            <w:vMerge w:val="continue"/>
            <w:tcBorders>
              <w:tl2br w:val="nil"/>
              <w:tr2bl w:val="nil"/>
            </w:tcBorders>
            <w:vAlign w:val="center"/>
          </w:tcPr>
          <w:p w14:paraId="07691C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Borders>
              <w:tl2br w:val="nil"/>
              <w:tr2bl w:val="nil"/>
            </w:tcBorders>
            <w:vAlign w:val="center"/>
          </w:tcPr>
          <w:p w14:paraId="45D398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1AE0BF69">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0" w:type="auto"/>
            <w:shd w:val="clear" w:color="auto" w:fill="auto"/>
            <w:vAlign w:val="center"/>
          </w:tcPr>
          <w:p w14:paraId="05CF5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eastAsia="zh-CN"/>
              </w:rPr>
              <w:t>坝墙子屯</w:t>
            </w:r>
          </w:p>
        </w:tc>
        <w:tc>
          <w:tcPr>
            <w:tcW w:w="0" w:type="auto"/>
          </w:tcPr>
          <w:p w14:paraId="3AA0E16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SE 2.3</w:t>
            </w:r>
            <w:r>
              <w:rPr>
                <w:rFonts w:hint="eastAsia" w:ascii="Times New Roman" w:hAnsi="Times New Roman" w:cs="Times New Roman"/>
                <w:sz w:val="21"/>
                <w:szCs w:val="21"/>
                <w:highlight w:val="none"/>
                <w:lang w:val="en-US" w:eastAsia="zh-CN"/>
              </w:rPr>
              <w:t>m</w:t>
            </w:r>
          </w:p>
        </w:tc>
        <w:tc>
          <w:tcPr>
            <w:tcW w:w="1134" w:type="dxa"/>
            <w:vMerge w:val="continue"/>
          </w:tcPr>
          <w:p w14:paraId="11ABFAD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2989" w:type="dxa"/>
          </w:tcPr>
          <w:p w14:paraId="752D02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，南至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，西至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，北至</w:t>
            </w:r>
            <w:r>
              <w:rPr>
                <w:rFonts w:hint="eastAsia" w:cs="Times New Roman"/>
                <w:sz w:val="21"/>
                <w:szCs w:val="21"/>
                <w:highlight w:val="none"/>
                <w:lang w:val="en-US" w:eastAsia="zh-CN"/>
              </w:rPr>
              <w:t>农田</w:t>
            </w:r>
          </w:p>
        </w:tc>
        <w:tc>
          <w:tcPr>
            <w:tcW w:w="880" w:type="dxa"/>
            <w:vMerge w:val="continue"/>
          </w:tcPr>
          <w:p w14:paraId="3752C85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Pr>
          <w:p w14:paraId="52BB62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793B11DE">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0" w:type="auto"/>
            <w:shd w:val="clear" w:color="auto" w:fill="auto"/>
            <w:vAlign w:val="center"/>
          </w:tcPr>
          <w:p w14:paraId="678E680B">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东大坝</w:t>
            </w:r>
          </w:p>
        </w:tc>
        <w:tc>
          <w:tcPr>
            <w:tcW w:w="0" w:type="auto"/>
          </w:tcPr>
          <w:p w14:paraId="1144518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SW 2.38</w:t>
            </w:r>
            <w:r>
              <w:rPr>
                <w:rFonts w:hint="eastAsia" w:ascii="Times New Roman" w:hAnsi="Times New Roman" w:cs="Times New Roman"/>
                <w:sz w:val="21"/>
                <w:szCs w:val="21"/>
                <w:highlight w:val="none"/>
                <w:lang w:val="en-US" w:eastAsia="zh-CN"/>
              </w:rPr>
              <w:t>m</w:t>
            </w:r>
          </w:p>
        </w:tc>
        <w:tc>
          <w:tcPr>
            <w:tcW w:w="1134" w:type="dxa"/>
            <w:vMerge w:val="continue"/>
          </w:tcPr>
          <w:p w14:paraId="572EA38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2989" w:type="dxa"/>
          </w:tcPr>
          <w:p w14:paraId="3733F08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，南至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，西至</w:t>
            </w:r>
            <w:r>
              <w:rPr>
                <w:rFonts w:hint="eastAsia" w:cs="Times New Roman"/>
                <w:sz w:val="21"/>
                <w:szCs w:val="21"/>
                <w:highlight w:val="none"/>
                <w:lang w:val="en-US" w:eastAsia="zh-CN"/>
              </w:rPr>
              <w:t>腰大坝</w:t>
            </w:r>
            <w:r>
              <w:rPr>
                <w:rFonts w:hint="default" w:ascii="Times New Roman" w:hAnsi="Times New Roman" w:cs="Times New Roman"/>
                <w:sz w:val="21"/>
                <w:szCs w:val="21"/>
                <w:highlight w:val="none"/>
                <w:lang w:val="en-US" w:eastAsia="zh-CN"/>
              </w:rPr>
              <w:t>，北至</w:t>
            </w:r>
            <w:r>
              <w:rPr>
                <w:rFonts w:hint="eastAsia" w:cs="Times New Roman"/>
                <w:sz w:val="21"/>
                <w:szCs w:val="21"/>
                <w:highlight w:val="none"/>
                <w:lang w:val="en-US" w:eastAsia="zh-CN"/>
              </w:rPr>
              <w:t>农田</w:t>
            </w:r>
          </w:p>
        </w:tc>
        <w:tc>
          <w:tcPr>
            <w:tcW w:w="880" w:type="dxa"/>
            <w:vMerge w:val="continue"/>
          </w:tcPr>
          <w:p w14:paraId="106863A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Pr>
          <w:p w14:paraId="2CC6FF4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45CE4435">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0" w:type="auto"/>
            <w:shd w:val="clear" w:color="auto" w:fill="auto"/>
            <w:vAlign w:val="center"/>
          </w:tcPr>
          <w:p w14:paraId="52B136AF">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腰大坝</w:t>
            </w:r>
          </w:p>
        </w:tc>
        <w:tc>
          <w:tcPr>
            <w:tcW w:w="0" w:type="auto"/>
          </w:tcPr>
          <w:p w14:paraId="475F9F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SW 2.57</w:t>
            </w:r>
            <w:r>
              <w:rPr>
                <w:rFonts w:hint="eastAsia" w:ascii="Times New Roman" w:hAnsi="Times New Roman" w:cs="Times New Roman"/>
                <w:sz w:val="21"/>
                <w:szCs w:val="21"/>
                <w:highlight w:val="none"/>
                <w:lang w:val="en-US" w:eastAsia="zh-CN"/>
              </w:rPr>
              <w:t>m</w:t>
            </w:r>
          </w:p>
        </w:tc>
        <w:tc>
          <w:tcPr>
            <w:tcW w:w="1134" w:type="dxa"/>
            <w:vMerge w:val="continue"/>
          </w:tcPr>
          <w:p w14:paraId="6063B85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2989" w:type="dxa"/>
          </w:tcPr>
          <w:p w14:paraId="433E00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东至</w:t>
            </w:r>
            <w:r>
              <w:rPr>
                <w:rFonts w:hint="eastAsia" w:cs="Times New Roman"/>
                <w:sz w:val="21"/>
                <w:szCs w:val="21"/>
                <w:highlight w:val="none"/>
                <w:lang w:val="en-US" w:eastAsia="zh-CN"/>
              </w:rPr>
              <w:t>东大坝</w:t>
            </w:r>
            <w:r>
              <w:rPr>
                <w:rFonts w:hint="default" w:ascii="Times New Roman" w:hAnsi="Times New Roman" w:cs="Times New Roman"/>
                <w:sz w:val="21"/>
                <w:szCs w:val="21"/>
                <w:highlight w:val="none"/>
                <w:lang w:val="en-US" w:eastAsia="zh-CN"/>
              </w:rPr>
              <w:t>，南至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，西至</w:t>
            </w:r>
            <w:r>
              <w:rPr>
                <w:rFonts w:hint="eastAsia" w:cs="Times New Roman"/>
                <w:sz w:val="21"/>
                <w:szCs w:val="21"/>
                <w:highlight w:val="none"/>
                <w:lang w:val="en-US" w:eastAsia="zh-CN"/>
              </w:rPr>
              <w:t>农田</w:t>
            </w:r>
            <w:r>
              <w:rPr>
                <w:rFonts w:hint="default" w:ascii="Times New Roman" w:hAnsi="Times New Roman" w:cs="Times New Roman"/>
                <w:sz w:val="21"/>
                <w:szCs w:val="21"/>
                <w:highlight w:val="none"/>
                <w:lang w:val="en-US" w:eastAsia="zh-CN"/>
              </w:rPr>
              <w:t>，北至</w:t>
            </w:r>
            <w:r>
              <w:rPr>
                <w:rFonts w:hint="eastAsia" w:cs="Times New Roman"/>
                <w:sz w:val="21"/>
                <w:szCs w:val="21"/>
                <w:highlight w:val="none"/>
                <w:lang w:val="en-US" w:eastAsia="zh-CN"/>
              </w:rPr>
              <w:t>农田</w:t>
            </w:r>
          </w:p>
        </w:tc>
        <w:tc>
          <w:tcPr>
            <w:tcW w:w="880" w:type="dxa"/>
            <w:vMerge w:val="continue"/>
          </w:tcPr>
          <w:p w14:paraId="0908BF7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Pr>
          <w:p w14:paraId="469411D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4B97E9CB">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0" w:type="auto"/>
            <w:shd w:val="clear" w:color="auto" w:fill="auto"/>
            <w:vAlign w:val="center"/>
          </w:tcPr>
          <w:p w14:paraId="18247512">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空军航空大学</w:t>
            </w:r>
          </w:p>
        </w:tc>
        <w:tc>
          <w:tcPr>
            <w:tcW w:w="0" w:type="auto"/>
          </w:tcPr>
          <w:p w14:paraId="42340E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NW 2.39</w:t>
            </w:r>
            <w:r>
              <w:rPr>
                <w:rFonts w:hint="eastAsia" w:ascii="Times New Roman" w:hAnsi="Times New Roman" w:cs="Times New Roman"/>
                <w:sz w:val="21"/>
                <w:szCs w:val="21"/>
                <w:highlight w:val="none"/>
                <w:lang w:val="en-US" w:eastAsia="zh-CN"/>
              </w:rPr>
              <w:t>m</w:t>
            </w:r>
          </w:p>
        </w:tc>
        <w:tc>
          <w:tcPr>
            <w:tcW w:w="1134" w:type="dxa"/>
            <w:vMerge w:val="restart"/>
          </w:tcPr>
          <w:p w14:paraId="02A7DDA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文化区</w:t>
            </w:r>
          </w:p>
        </w:tc>
        <w:tc>
          <w:tcPr>
            <w:tcW w:w="2989" w:type="dxa"/>
          </w:tcPr>
          <w:p w14:paraId="080055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东至</w:t>
            </w:r>
            <w:r>
              <w:rPr>
                <w:rFonts w:hint="eastAsia" w:ascii="Times New Roman" w:hAnsi="Times New Roman" w:eastAsia="宋体" w:cs="Times New Roman"/>
                <w:kern w:val="2"/>
                <w:sz w:val="21"/>
                <w:szCs w:val="21"/>
                <w:highlight w:val="none"/>
                <w:lang w:val="en-US" w:eastAsia="zh-CN" w:bidi="ar-SA"/>
              </w:rPr>
              <w:t>进乡街</w:t>
            </w:r>
            <w:r>
              <w:rPr>
                <w:rFonts w:hint="default" w:ascii="Times New Roman" w:hAnsi="Times New Roman" w:eastAsia="宋体" w:cs="Times New Roman"/>
                <w:kern w:val="2"/>
                <w:sz w:val="21"/>
                <w:szCs w:val="21"/>
                <w:highlight w:val="none"/>
                <w:lang w:val="en-US" w:eastAsia="zh-CN" w:bidi="ar-SA"/>
              </w:rPr>
              <w:t>，南至</w:t>
            </w:r>
            <w:r>
              <w:rPr>
                <w:rFonts w:hint="eastAsia" w:ascii="Times New Roman" w:hAnsi="Times New Roman" w:eastAsia="宋体" w:cs="Times New Roman"/>
                <w:kern w:val="2"/>
                <w:sz w:val="21"/>
                <w:szCs w:val="21"/>
                <w:highlight w:val="none"/>
                <w:lang w:val="en-US" w:eastAsia="zh-CN" w:bidi="ar-SA"/>
              </w:rPr>
              <w:t>农田</w:t>
            </w:r>
            <w:r>
              <w:rPr>
                <w:rFonts w:hint="default" w:ascii="Times New Roman" w:hAnsi="Times New Roman" w:eastAsia="宋体" w:cs="Times New Roman"/>
                <w:kern w:val="2"/>
                <w:sz w:val="21"/>
                <w:szCs w:val="21"/>
                <w:highlight w:val="none"/>
                <w:lang w:val="en-US" w:eastAsia="zh-CN" w:bidi="ar-SA"/>
              </w:rPr>
              <w:t>，西至</w:t>
            </w:r>
            <w:r>
              <w:rPr>
                <w:rFonts w:hint="eastAsia" w:ascii="Times New Roman" w:hAnsi="Times New Roman" w:eastAsia="宋体" w:cs="Times New Roman"/>
                <w:kern w:val="2"/>
                <w:sz w:val="21"/>
                <w:szCs w:val="21"/>
                <w:highlight w:val="none"/>
                <w:lang w:val="en-US" w:eastAsia="zh-CN" w:bidi="ar-SA"/>
              </w:rPr>
              <w:t>中国石化黑龙江哈尔滨分公司</w:t>
            </w:r>
            <w:r>
              <w:rPr>
                <w:rFonts w:hint="default" w:ascii="Times New Roman" w:hAnsi="Times New Roman" w:eastAsia="宋体" w:cs="Times New Roman"/>
                <w:kern w:val="2"/>
                <w:sz w:val="21"/>
                <w:szCs w:val="21"/>
                <w:highlight w:val="none"/>
                <w:lang w:val="en-US" w:eastAsia="zh-CN" w:bidi="ar-SA"/>
              </w:rPr>
              <w:t>，北至</w:t>
            </w:r>
            <w:r>
              <w:rPr>
                <w:rFonts w:hint="eastAsia" w:ascii="Times New Roman" w:hAnsi="Times New Roman" w:eastAsia="宋体" w:cs="Times New Roman"/>
                <w:kern w:val="2"/>
                <w:sz w:val="21"/>
                <w:szCs w:val="21"/>
                <w:highlight w:val="none"/>
                <w:lang w:val="en-US" w:eastAsia="zh-CN" w:bidi="ar-SA"/>
              </w:rPr>
              <w:t>电碳路</w:t>
            </w:r>
          </w:p>
        </w:tc>
        <w:tc>
          <w:tcPr>
            <w:tcW w:w="880" w:type="dxa"/>
            <w:vMerge w:val="restart"/>
          </w:tcPr>
          <w:p w14:paraId="1E97AD5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师生</w:t>
            </w:r>
          </w:p>
        </w:tc>
        <w:tc>
          <w:tcPr>
            <w:tcW w:w="1143" w:type="dxa"/>
            <w:vMerge w:val="continue"/>
          </w:tcPr>
          <w:p w14:paraId="0311863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55889D79">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0" w:type="auto"/>
            <w:shd w:val="clear" w:color="auto" w:fill="auto"/>
            <w:vAlign w:val="center"/>
          </w:tcPr>
          <w:p w14:paraId="65E068C6">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黎明第一小学</w:t>
            </w:r>
          </w:p>
        </w:tc>
        <w:tc>
          <w:tcPr>
            <w:tcW w:w="0" w:type="auto"/>
          </w:tcPr>
          <w:p w14:paraId="42C4E8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cs="Times New Roman"/>
                <w:sz w:val="21"/>
                <w:szCs w:val="21"/>
                <w:highlight w:val="none"/>
                <w:lang w:val="en-US" w:eastAsia="zh-CN"/>
              </w:rPr>
            </w:pPr>
            <w:r>
              <w:rPr>
                <w:rFonts w:hint="eastAsia" w:cs="Times New Roman"/>
                <w:sz w:val="21"/>
                <w:szCs w:val="21"/>
                <w:highlight w:val="none"/>
                <w:lang w:val="en-US" w:eastAsia="zh-CN"/>
              </w:rPr>
              <w:t>NE 2.39</w:t>
            </w:r>
            <w:r>
              <w:rPr>
                <w:rFonts w:hint="eastAsia" w:ascii="Times New Roman" w:hAnsi="Times New Roman" w:cs="Times New Roman"/>
                <w:sz w:val="21"/>
                <w:szCs w:val="21"/>
                <w:highlight w:val="none"/>
                <w:lang w:val="en-US" w:eastAsia="zh-CN"/>
              </w:rPr>
              <w:t>m</w:t>
            </w:r>
          </w:p>
          <w:p w14:paraId="456BEC2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cs="Times New Roman"/>
                <w:sz w:val="21"/>
                <w:szCs w:val="21"/>
                <w:highlight w:val="none"/>
                <w:lang w:val="en-US" w:eastAsia="zh-CN"/>
              </w:rPr>
            </w:pPr>
            <w:r>
              <w:rPr>
                <w:rFonts w:hint="eastAsia" w:cs="Times New Roman"/>
                <w:sz w:val="21"/>
                <w:szCs w:val="21"/>
                <w:highlight w:val="none"/>
                <w:lang w:val="en-US" w:eastAsia="zh-CN"/>
              </w:rPr>
              <w:t>W 580</w:t>
            </w:r>
            <w:r>
              <w:rPr>
                <w:rFonts w:hint="eastAsia" w:ascii="Times New Roman" w:hAnsi="Times New Roman" w:cs="Times New Roman"/>
                <w:sz w:val="21"/>
                <w:szCs w:val="21"/>
                <w:highlight w:val="none"/>
                <w:lang w:val="en-US" w:eastAsia="zh-CN"/>
              </w:rPr>
              <w:t>m</w:t>
            </w:r>
          </w:p>
        </w:tc>
        <w:tc>
          <w:tcPr>
            <w:tcW w:w="1134" w:type="dxa"/>
            <w:vMerge w:val="continue"/>
          </w:tcPr>
          <w:p w14:paraId="793C7D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2989" w:type="dxa"/>
          </w:tcPr>
          <w:p w14:paraId="2AFA85D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东至</w:t>
            </w:r>
            <w:r>
              <w:rPr>
                <w:rFonts w:hint="eastAsia" w:ascii="Times New Roman" w:hAnsi="Times New Roman" w:eastAsia="宋体" w:cs="Times New Roman"/>
                <w:kern w:val="2"/>
                <w:sz w:val="21"/>
                <w:szCs w:val="21"/>
                <w:highlight w:val="none"/>
                <w:lang w:val="en-US" w:eastAsia="zh-CN" w:bidi="ar-SA"/>
              </w:rPr>
              <w:t>乡道</w:t>
            </w:r>
            <w:r>
              <w:rPr>
                <w:rFonts w:hint="default" w:ascii="Times New Roman" w:hAnsi="Times New Roman" w:eastAsia="宋体" w:cs="Times New Roman"/>
                <w:kern w:val="2"/>
                <w:sz w:val="21"/>
                <w:szCs w:val="21"/>
                <w:highlight w:val="none"/>
                <w:lang w:val="en-US" w:eastAsia="zh-CN" w:bidi="ar-SA"/>
              </w:rPr>
              <w:t>，南至</w:t>
            </w:r>
            <w:r>
              <w:rPr>
                <w:rFonts w:hint="eastAsia" w:ascii="Times New Roman" w:hAnsi="Times New Roman" w:eastAsia="宋体" w:cs="Times New Roman"/>
                <w:kern w:val="2"/>
                <w:sz w:val="21"/>
                <w:szCs w:val="21"/>
                <w:highlight w:val="none"/>
                <w:lang w:val="en-US" w:eastAsia="zh-CN" w:bidi="ar-SA"/>
              </w:rPr>
              <w:t>哈尔滨沃禾美农药有限公司</w:t>
            </w:r>
            <w:r>
              <w:rPr>
                <w:rFonts w:hint="default" w:ascii="Times New Roman" w:hAnsi="Times New Roman" w:eastAsia="宋体" w:cs="Times New Roman"/>
                <w:kern w:val="2"/>
                <w:sz w:val="21"/>
                <w:szCs w:val="21"/>
                <w:highlight w:val="none"/>
                <w:lang w:val="en-US" w:eastAsia="zh-CN" w:bidi="ar-SA"/>
              </w:rPr>
              <w:t>，西至</w:t>
            </w:r>
            <w:r>
              <w:rPr>
                <w:rFonts w:hint="eastAsia" w:ascii="Times New Roman" w:hAnsi="Times New Roman" w:eastAsia="宋体" w:cs="Times New Roman"/>
                <w:kern w:val="2"/>
                <w:sz w:val="21"/>
                <w:szCs w:val="21"/>
                <w:highlight w:val="none"/>
                <w:lang w:val="en-US" w:eastAsia="zh-CN" w:bidi="ar-SA"/>
              </w:rPr>
              <w:t>农田</w:t>
            </w:r>
            <w:r>
              <w:rPr>
                <w:rFonts w:hint="default" w:ascii="Times New Roman" w:hAnsi="Times New Roman" w:eastAsia="宋体" w:cs="Times New Roman"/>
                <w:kern w:val="2"/>
                <w:sz w:val="21"/>
                <w:szCs w:val="21"/>
                <w:highlight w:val="none"/>
                <w:lang w:val="en-US" w:eastAsia="zh-CN" w:bidi="ar-SA"/>
              </w:rPr>
              <w:t>，北至</w:t>
            </w:r>
            <w:r>
              <w:rPr>
                <w:rFonts w:hint="eastAsia" w:cs="Times New Roman"/>
                <w:sz w:val="21"/>
                <w:szCs w:val="21"/>
                <w:highlight w:val="none"/>
                <w:lang w:val="en-US" w:eastAsia="zh-CN"/>
              </w:rPr>
              <w:t>哈红公路</w:t>
            </w:r>
          </w:p>
        </w:tc>
        <w:tc>
          <w:tcPr>
            <w:tcW w:w="880" w:type="dxa"/>
            <w:vMerge w:val="continue"/>
          </w:tcPr>
          <w:p w14:paraId="18BAC88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Pr>
          <w:p w14:paraId="0E879A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r w14:paraId="3A80052B">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3" w:hRule="atLeast"/>
        </w:trPr>
        <w:tc>
          <w:tcPr>
            <w:tcW w:w="0" w:type="auto"/>
            <w:shd w:val="clear" w:color="auto" w:fill="auto"/>
            <w:vAlign w:val="center"/>
          </w:tcPr>
          <w:p w14:paraId="5210BC9B">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cs="Times New Roman" w:hAnsiTheme="minorEastAsia" w:eastAsiaTheme="minorEastAsia"/>
                <w:snapToGrid w:val="0"/>
                <w:kern w:val="21"/>
                <w:sz w:val="21"/>
                <w:szCs w:val="21"/>
                <w:highlight w:val="none"/>
                <w:lang w:val="en-US" w:eastAsia="zh-CN" w:bidi="ar-SA"/>
              </w:rPr>
            </w:pPr>
            <w:r>
              <w:rPr>
                <w:rFonts w:hint="eastAsia" w:cs="Times New Roman" w:hAnsiTheme="minorEastAsia" w:eastAsiaTheme="minorEastAsia"/>
                <w:snapToGrid w:val="0"/>
                <w:kern w:val="21"/>
                <w:sz w:val="21"/>
                <w:szCs w:val="21"/>
                <w:highlight w:val="none"/>
                <w:lang w:val="en-US" w:eastAsia="zh-CN" w:bidi="ar-SA"/>
              </w:rPr>
              <w:t>哈尔滨六十六中学</w:t>
            </w:r>
          </w:p>
        </w:tc>
        <w:tc>
          <w:tcPr>
            <w:tcW w:w="0" w:type="auto"/>
          </w:tcPr>
          <w:p w14:paraId="6A4FEBB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E 1.18</w:t>
            </w:r>
            <w:r>
              <w:rPr>
                <w:rFonts w:hint="eastAsia" w:ascii="Times New Roman" w:hAnsi="Times New Roman" w:cs="Times New Roman"/>
                <w:sz w:val="21"/>
                <w:szCs w:val="21"/>
                <w:highlight w:val="none"/>
                <w:lang w:val="en-US" w:eastAsia="zh-CN"/>
              </w:rPr>
              <w:t>m</w:t>
            </w:r>
          </w:p>
        </w:tc>
        <w:tc>
          <w:tcPr>
            <w:tcW w:w="1134" w:type="dxa"/>
            <w:vMerge w:val="continue"/>
          </w:tcPr>
          <w:p w14:paraId="24DD4B8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2989" w:type="dxa"/>
          </w:tcPr>
          <w:p w14:paraId="3658081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东至</w:t>
            </w:r>
            <w:r>
              <w:rPr>
                <w:rFonts w:hint="eastAsia" w:ascii="Times New Roman" w:hAnsi="Times New Roman" w:eastAsia="宋体" w:cs="Times New Roman"/>
                <w:kern w:val="2"/>
                <w:sz w:val="21"/>
                <w:szCs w:val="21"/>
                <w:highlight w:val="none"/>
                <w:lang w:val="en-US" w:eastAsia="zh-CN" w:bidi="ar-SA"/>
              </w:rPr>
              <w:t>空地</w:t>
            </w:r>
            <w:r>
              <w:rPr>
                <w:rFonts w:hint="default" w:ascii="Times New Roman" w:hAnsi="Times New Roman" w:eastAsia="宋体" w:cs="Times New Roman"/>
                <w:kern w:val="2"/>
                <w:sz w:val="21"/>
                <w:szCs w:val="21"/>
                <w:highlight w:val="none"/>
                <w:lang w:val="en-US" w:eastAsia="zh-CN" w:bidi="ar-SA"/>
              </w:rPr>
              <w:t>，南至</w:t>
            </w:r>
            <w:r>
              <w:rPr>
                <w:rFonts w:hint="eastAsia" w:ascii="Times New Roman" w:hAnsi="Times New Roman" w:eastAsia="宋体" w:cs="Times New Roman"/>
                <w:kern w:val="2"/>
                <w:sz w:val="21"/>
                <w:szCs w:val="21"/>
                <w:highlight w:val="none"/>
                <w:lang w:val="en-US" w:eastAsia="zh-CN" w:bidi="ar-SA"/>
              </w:rPr>
              <w:t>空地</w:t>
            </w:r>
            <w:r>
              <w:rPr>
                <w:rFonts w:hint="default" w:ascii="Times New Roman" w:hAnsi="Times New Roman" w:eastAsia="宋体" w:cs="Times New Roman"/>
                <w:kern w:val="2"/>
                <w:sz w:val="21"/>
                <w:szCs w:val="21"/>
                <w:highlight w:val="none"/>
                <w:lang w:val="en-US" w:eastAsia="zh-CN" w:bidi="ar-SA"/>
              </w:rPr>
              <w:t>，西至</w:t>
            </w:r>
            <w:r>
              <w:rPr>
                <w:rFonts w:hint="eastAsia" w:cs="Times New Roman"/>
                <w:sz w:val="21"/>
                <w:szCs w:val="21"/>
                <w:highlight w:val="none"/>
                <w:lang w:val="en-US" w:eastAsia="zh-CN"/>
              </w:rPr>
              <w:t>哈尔滨钱雨冷冻产品营销有限公司</w:t>
            </w:r>
            <w:r>
              <w:rPr>
                <w:rFonts w:hint="default" w:ascii="Times New Roman" w:hAnsi="Times New Roman" w:eastAsia="宋体" w:cs="Times New Roman"/>
                <w:kern w:val="2"/>
                <w:sz w:val="21"/>
                <w:szCs w:val="21"/>
                <w:highlight w:val="none"/>
                <w:lang w:val="en-US" w:eastAsia="zh-CN" w:bidi="ar-SA"/>
              </w:rPr>
              <w:t>，北至</w:t>
            </w:r>
            <w:r>
              <w:rPr>
                <w:rFonts w:hint="eastAsia" w:cs="Times New Roman"/>
                <w:sz w:val="21"/>
                <w:szCs w:val="21"/>
                <w:highlight w:val="none"/>
                <w:lang w:val="en-US" w:eastAsia="zh-CN"/>
              </w:rPr>
              <w:t>哈红公路</w:t>
            </w:r>
          </w:p>
        </w:tc>
        <w:tc>
          <w:tcPr>
            <w:tcW w:w="880" w:type="dxa"/>
            <w:vMerge w:val="continue"/>
          </w:tcPr>
          <w:p w14:paraId="34B1FD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c>
          <w:tcPr>
            <w:tcW w:w="1143" w:type="dxa"/>
            <w:vMerge w:val="continue"/>
          </w:tcPr>
          <w:p w14:paraId="41A142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highlight w:val="none"/>
                <w:lang w:val="en-US" w:eastAsia="zh-CN"/>
              </w:rPr>
            </w:pPr>
          </w:p>
        </w:tc>
      </w:tr>
    </w:tbl>
    <w:p w14:paraId="19AFA1A8">
      <w:pPr>
        <w:bidi w:val="0"/>
        <w:rPr>
          <w:rFonts w:hint="eastAsia"/>
          <w:highlight w:val="none"/>
          <w:lang w:val="en-US" w:eastAsia="zh-CN"/>
        </w:rPr>
      </w:pPr>
      <w:r>
        <w:rPr>
          <w:rFonts w:hint="eastAsia"/>
          <w:highlight w:val="none"/>
          <w:lang w:val="en-US" w:eastAsia="zh-CN"/>
        </w:rPr>
        <w:t>（1）黑龙江省哈尔滨市香坊区黎明乡幸福村哈阿公路零公里处哈尔滨透平设备总厂院内，项目</w:t>
      </w:r>
      <w:r>
        <w:rPr>
          <w:rFonts w:hint="eastAsia" w:cs="Times New Roman" w:eastAsiaTheme="minorEastAsia"/>
          <w:sz w:val="24"/>
          <w:highlight w:val="none"/>
          <w:lang w:val="en-US" w:eastAsia="zh-CN"/>
        </w:rPr>
        <w:t>北侧和西侧为</w:t>
      </w:r>
      <w:r>
        <w:rPr>
          <w:rFonts w:hint="default" w:ascii="Times New Roman" w:hAnsi="Times New Roman" w:cs="Times New Roman" w:eastAsiaTheme="minorEastAsia"/>
          <w:sz w:val="24"/>
          <w:highlight w:val="none"/>
          <w:lang w:val="en-US" w:eastAsia="zh-CN"/>
        </w:rPr>
        <w:t>哈尔滨市协辉金属材料加工有限责任公司</w:t>
      </w:r>
      <w:r>
        <w:rPr>
          <w:rFonts w:hint="eastAsia" w:cs="Times New Roman" w:eastAsiaTheme="minorEastAsia"/>
          <w:sz w:val="24"/>
          <w:highlight w:val="none"/>
          <w:lang w:val="en-US" w:eastAsia="zh-CN"/>
        </w:rPr>
        <w:t>，东侧为哈尔滨英明新型包装制</w:t>
      </w:r>
      <w:r>
        <w:rPr>
          <w:rFonts w:hint="eastAsia" w:ascii="Times New Roman" w:hAnsi="Times New Roman" w:cs="Times New Roman" w:eastAsiaTheme="minorEastAsia"/>
          <w:sz w:val="24"/>
          <w:highlight w:val="none"/>
          <w:lang w:val="en-US" w:eastAsia="zh-CN"/>
        </w:rPr>
        <w:t>品有限公司，南侧为乡道</w:t>
      </w:r>
      <w:r>
        <w:rPr>
          <w:rFonts w:hint="eastAsia"/>
          <w:highlight w:val="none"/>
          <w:lang w:val="en-US" w:eastAsia="zh-CN"/>
        </w:rPr>
        <w:t>。</w:t>
      </w:r>
    </w:p>
    <w:p w14:paraId="065A1676">
      <w:pPr>
        <w:bidi w:val="0"/>
        <w:rPr>
          <w:rFonts w:hint="eastAsia"/>
          <w:highlight w:val="none"/>
          <w:lang w:val="en-US" w:eastAsia="zh-CN"/>
        </w:rPr>
      </w:pPr>
      <w:r>
        <w:rPr>
          <w:rFonts w:hint="eastAsia"/>
          <w:highlight w:val="none"/>
          <w:lang w:val="en-US" w:eastAsia="zh-CN"/>
        </w:rPr>
        <w:t>（2）本项目评价范围内的地表水保护目标为马家沟河，本项目距马家沟河直线距离4.33km，因此不涉及重要湿地和重要水生生物的自然产卵场、索饵场、越冬场和洄游通道。</w:t>
      </w:r>
    </w:p>
    <w:p w14:paraId="4961D2B3">
      <w:pPr>
        <w:bidi w:val="0"/>
        <w:rPr>
          <w:rFonts w:hint="eastAsia"/>
          <w:highlight w:val="none"/>
          <w:lang w:val="en-US" w:eastAsia="zh-CN"/>
        </w:rPr>
      </w:pPr>
      <w:r>
        <w:rPr>
          <w:rFonts w:hint="eastAsia"/>
          <w:highlight w:val="none"/>
          <w:lang w:val="en-US" w:eastAsia="zh-CN"/>
        </w:rPr>
        <w:t>（3）项目区不在国家森林公园、地质公园和集中式饮用水保护区范围内。</w:t>
      </w:r>
    </w:p>
    <w:p w14:paraId="6182A54B">
      <w:pPr>
        <w:bidi w:val="0"/>
        <w:rPr>
          <w:highlight w:val="none"/>
        </w:rPr>
      </w:pPr>
      <w:r>
        <w:rPr>
          <w:rFonts w:hint="eastAsia"/>
          <w:highlight w:val="none"/>
          <w:lang w:val="en-US" w:eastAsia="zh-CN"/>
        </w:rPr>
        <w:t>（4）本项目评价范围内存在一集中饮用水井，为幸福村饮用水水井，距离本项目厂界320m，此饮用水井供水人口为1850人</w:t>
      </w:r>
      <w:r>
        <w:rPr>
          <w:highlight w:val="none"/>
        </w:rPr>
        <w:t>。</w:t>
      </w:r>
    </w:p>
    <w:p w14:paraId="393E9648">
      <w:pPr>
        <w:bidi w:val="0"/>
        <w:rPr>
          <w:rFonts w:hint="eastAsia"/>
          <w:highlight w:val="none"/>
          <w:lang w:val="en-US" w:eastAsia="zh-CN"/>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lang w:val="en-US" w:eastAsia="zh-CN"/>
        </w:rPr>
        <w:t>环境功能区划</w:t>
      </w:r>
    </w:p>
    <w:p w14:paraId="651709AA">
      <w:pPr>
        <w:spacing w:line="360" w:lineRule="auto"/>
        <w:ind w:firstLine="480" w:firstLineChars="200"/>
        <w:contextualSpacing/>
        <w:rPr>
          <w:rFonts w:eastAsiaTheme="minorEastAsia"/>
          <w:bCs/>
          <w:kern w:val="44"/>
          <w:sz w:val="24"/>
          <w:highlight w:val="none"/>
        </w:rPr>
      </w:pPr>
      <w:r>
        <w:rPr>
          <w:rFonts w:eastAsiaTheme="minorEastAsia"/>
          <w:bCs/>
          <w:kern w:val="44"/>
          <w:sz w:val="24"/>
          <w:highlight w:val="none"/>
        </w:rPr>
        <w:t>本项目大气环境功能区划为《环境空气质量标准》（GB3095-2012）二类功能区。</w:t>
      </w:r>
    </w:p>
    <w:p w14:paraId="371F96BC">
      <w:pPr>
        <w:spacing w:line="360" w:lineRule="auto"/>
        <w:ind w:firstLine="480" w:firstLineChars="200"/>
        <w:contextualSpacing/>
        <w:rPr>
          <w:rFonts w:eastAsiaTheme="minorEastAsia"/>
          <w:bCs/>
          <w:kern w:val="44"/>
          <w:sz w:val="24"/>
          <w:highlight w:val="none"/>
        </w:rPr>
      </w:pPr>
      <w:r>
        <w:rPr>
          <w:rFonts w:eastAsiaTheme="minorEastAsia"/>
          <w:bCs/>
          <w:kern w:val="44"/>
          <w:sz w:val="24"/>
          <w:highlight w:val="none"/>
        </w:rPr>
        <w:t>本项目声环境功能区属于《声环境质量标准》（GB3096-2008）</w:t>
      </w:r>
      <w:r>
        <w:rPr>
          <w:rFonts w:hint="eastAsia" w:eastAsiaTheme="minorEastAsia"/>
          <w:bCs/>
          <w:kern w:val="44"/>
          <w:sz w:val="24"/>
          <w:highlight w:val="none"/>
          <w:lang w:val="en-US" w:eastAsia="zh-CN"/>
        </w:rPr>
        <w:t>2</w:t>
      </w:r>
      <w:r>
        <w:rPr>
          <w:rFonts w:eastAsiaTheme="minorEastAsia"/>
          <w:bCs/>
          <w:kern w:val="44"/>
          <w:sz w:val="24"/>
          <w:highlight w:val="none"/>
        </w:rPr>
        <w:t>类声环境功能区。</w:t>
      </w:r>
    </w:p>
    <w:p w14:paraId="44694E82">
      <w:pPr>
        <w:bidi w:val="0"/>
        <w:rPr>
          <w:rFonts w:eastAsiaTheme="minorEastAsia"/>
          <w:bCs/>
          <w:kern w:val="44"/>
          <w:sz w:val="24"/>
          <w:highlight w:val="none"/>
        </w:rPr>
      </w:pPr>
      <w:r>
        <w:rPr>
          <w:highlight w:val="none"/>
        </w:rPr>
        <w:t>根据《</w:t>
      </w:r>
      <w:r>
        <w:rPr>
          <w:rFonts w:hint="default"/>
          <w:highlight w:val="none"/>
        </w:rPr>
        <w:t>202</w:t>
      </w:r>
      <w:r>
        <w:rPr>
          <w:rFonts w:hint="eastAsia"/>
          <w:highlight w:val="none"/>
          <w:lang w:val="en-US" w:eastAsia="zh-CN"/>
        </w:rPr>
        <w:t>4</w:t>
      </w:r>
      <w:r>
        <w:rPr>
          <w:rFonts w:hint="default"/>
          <w:highlight w:val="none"/>
        </w:rPr>
        <w:t>年哈尔滨生态环境质量状况年报</w:t>
      </w:r>
      <w:r>
        <w:rPr>
          <w:highlight w:val="none"/>
        </w:rPr>
        <w:t>》，202</w:t>
      </w:r>
      <w:r>
        <w:rPr>
          <w:rFonts w:hint="eastAsia"/>
          <w:highlight w:val="none"/>
          <w:lang w:val="en-US" w:eastAsia="zh-CN"/>
        </w:rPr>
        <w:t>4</w:t>
      </w:r>
      <w:r>
        <w:rPr>
          <w:highlight w:val="none"/>
        </w:rPr>
        <w:t>年</w:t>
      </w:r>
      <w:r>
        <w:rPr>
          <w:rFonts w:hint="eastAsia"/>
          <w:highlight w:val="none"/>
          <w:lang w:eastAsia="zh-CN"/>
        </w:rPr>
        <w:t>松花江干流</w:t>
      </w:r>
      <w:r>
        <w:rPr>
          <w:rFonts w:hint="eastAsia"/>
          <w:highlight w:val="none"/>
          <w:lang w:val="en-US" w:eastAsia="zh-CN"/>
        </w:rPr>
        <w:t>为</w:t>
      </w:r>
      <w:r>
        <w:rPr>
          <w:highlight w:val="none"/>
        </w:rPr>
        <w:t>Ⅲ类水</w:t>
      </w:r>
      <w:r>
        <w:rPr>
          <w:rFonts w:hint="eastAsia"/>
          <w:highlight w:val="none"/>
          <w:lang w:val="en-US" w:eastAsia="zh-CN"/>
        </w:rPr>
        <w:t>功能区</w:t>
      </w:r>
      <w:r>
        <w:rPr>
          <w:rFonts w:hint="default"/>
          <w:highlight w:val="none"/>
        </w:rPr>
        <w:t>。</w:t>
      </w:r>
    </w:p>
    <w:p w14:paraId="1059A46C">
      <w:pPr>
        <w:spacing w:line="360" w:lineRule="auto"/>
        <w:ind w:firstLine="480" w:firstLineChars="200"/>
        <w:contextualSpacing/>
        <w:rPr>
          <w:rFonts w:hint="default"/>
          <w:highlight w:val="none"/>
          <w:lang w:val="en-US" w:eastAsia="zh-CN"/>
        </w:rPr>
      </w:pPr>
      <w:r>
        <w:rPr>
          <w:rFonts w:eastAsiaTheme="minorEastAsia"/>
          <w:bCs/>
          <w:kern w:val="44"/>
          <w:sz w:val="24"/>
          <w:highlight w:val="none"/>
        </w:rPr>
        <w:t>本项目地下水环境功能区划为Ⅲ类区，地下水环境执行《地下水质量标准》（GB/T14848-2017）Ⅲ类标准</w:t>
      </w:r>
      <w:r>
        <w:rPr>
          <w:rFonts w:hint="default" w:ascii="Times New Roman" w:hAnsi="Times New Roman" w:eastAsia="宋体" w:cs="Times New Roman"/>
          <w:highlight w:val="none"/>
          <w:lang w:val="en-US" w:eastAsia="zh-CN"/>
        </w:rPr>
        <w:t>。</w:t>
      </w:r>
    </w:p>
    <w:p w14:paraId="5DF7A3E2">
      <w:pPr>
        <w:pStyle w:val="4"/>
        <w:bidi w:val="0"/>
        <w:rPr>
          <w:highlight w:val="none"/>
        </w:rPr>
      </w:pPr>
      <w:bookmarkStart w:id="356" w:name="_Toc1454"/>
      <w:bookmarkStart w:id="357" w:name="_Toc6237"/>
      <w:bookmarkStart w:id="358" w:name="_Toc7236"/>
      <w:r>
        <w:rPr>
          <w:highlight w:val="none"/>
        </w:rPr>
        <w:t>4.4区域污染源调查</w:t>
      </w:r>
      <w:bookmarkEnd w:id="356"/>
      <w:bookmarkEnd w:id="357"/>
      <w:bookmarkEnd w:id="358"/>
    </w:p>
    <w:bookmarkEnd w:id="354"/>
    <w:bookmarkEnd w:id="355"/>
    <w:p w14:paraId="43C86C60">
      <w:pPr>
        <w:bidi w:val="0"/>
        <w:rPr>
          <w:rFonts w:hint="eastAsia"/>
          <w:highlight w:val="none"/>
        </w:rPr>
      </w:pPr>
      <w:bookmarkStart w:id="359" w:name="_Toc488925382"/>
      <w:bookmarkStart w:id="360" w:name="_Toc477954569"/>
      <w:bookmarkStart w:id="361" w:name="_Toc3218"/>
      <w:bookmarkStart w:id="362" w:name="_Toc9655"/>
      <w:bookmarkStart w:id="363" w:name="_Toc494017090"/>
      <w:r>
        <w:rPr>
          <w:rFonts w:hint="eastAsia"/>
          <w:highlight w:val="none"/>
        </w:rPr>
        <w:t>根据</w:t>
      </w:r>
      <w:r>
        <w:rPr>
          <w:highlight w:val="none"/>
        </w:rPr>
        <w:t>《环境影响评价技术导则</w:t>
      </w:r>
      <w:r>
        <w:rPr>
          <w:rFonts w:hint="eastAsia"/>
          <w:highlight w:val="none"/>
        </w:rPr>
        <w:t xml:space="preserve"> 大气环境</w:t>
      </w:r>
      <w:r>
        <w:rPr>
          <w:highlight w:val="none"/>
        </w:rPr>
        <w:t>》（</w:t>
      </w:r>
      <w:r>
        <w:rPr>
          <w:rFonts w:hint="eastAsia"/>
          <w:highlight w:val="none"/>
        </w:rPr>
        <w:t>HJ2.2-2018</w:t>
      </w:r>
      <w:r>
        <w:rPr>
          <w:highlight w:val="none"/>
        </w:rPr>
        <w:t>），二级评价无需调查评价范围内与评价项目排放</w:t>
      </w:r>
      <w:r>
        <w:rPr>
          <w:rFonts w:hint="eastAsia"/>
          <w:highlight w:val="none"/>
        </w:rPr>
        <w:t>有关</w:t>
      </w:r>
      <w:r>
        <w:rPr>
          <w:highlight w:val="none"/>
        </w:rPr>
        <w:t>的其他在建项目、已批复环境影响评价文件的拟建项目等污染源</w:t>
      </w:r>
      <w:r>
        <w:rPr>
          <w:rFonts w:hint="eastAsia"/>
          <w:highlight w:val="none"/>
          <w:lang w:eastAsia="zh-CN"/>
        </w:rPr>
        <w:t>，</w:t>
      </w:r>
      <w:r>
        <w:rPr>
          <w:rFonts w:hint="eastAsia"/>
          <w:highlight w:val="none"/>
          <w:lang w:val="en-US" w:eastAsia="zh-CN"/>
        </w:rPr>
        <w:t>本项目拟被替代的污染源已于现有工程部分说明</w:t>
      </w:r>
      <w:r>
        <w:rPr>
          <w:highlight w:val="none"/>
        </w:rPr>
        <w:t>；</w:t>
      </w:r>
      <w:r>
        <w:rPr>
          <w:rFonts w:hint="eastAsia"/>
          <w:highlight w:val="none"/>
        </w:rPr>
        <w:t>根据</w:t>
      </w:r>
      <w:r>
        <w:rPr>
          <w:highlight w:val="none"/>
        </w:rPr>
        <w:t>《环境影响评价技术导则</w:t>
      </w:r>
      <w:r>
        <w:rPr>
          <w:rFonts w:hint="eastAsia"/>
          <w:highlight w:val="none"/>
        </w:rPr>
        <w:t xml:space="preserve"> 地表水环境</w:t>
      </w:r>
      <w:r>
        <w:rPr>
          <w:highlight w:val="none"/>
        </w:rPr>
        <w:t>》（</w:t>
      </w:r>
      <w:r>
        <w:rPr>
          <w:rFonts w:hint="eastAsia"/>
          <w:highlight w:val="none"/>
        </w:rPr>
        <w:t>HJ2.3-2018</w:t>
      </w:r>
      <w:r>
        <w:rPr>
          <w:highlight w:val="none"/>
        </w:rPr>
        <w:t>），</w:t>
      </w:r>
      <w:r>
        <w:rPr>
          <w:rFonts w:hint="eastAsia"/>
          <w:highlight w:val="none"/>
        </w:rPr>
        <w:t>水污染</w:t>
      </w:r>
      <w:r>
        <w:rPr>
          <w:highlight w:val="none"/>
        </w:rPr>
        <w:t>影响三级</w:t>
      </w:r>
      <w:r>
        <w:rPr>
          <w:rFonts w:hint="eastAsia"/>
          <w:highlight w:val="none"/>
        </w:rPr>
        <w:t>B评价，可不开展区域污染源调查</w:t>
      </w:r>
      <w:r>
        <w:rPr>
          <w:highlight w:val="none"/>
        </w:rPr>
        <w:t>；</w:t>
      </w:r>
      <w:r>
        <w:rPr>
          <w:rFonts w:hint="eastAsia"/>
          <w:highlight w:val="none"/>
        </w:rPr>
        <w:t>根据</w:t>
      </w:r>
      <w:r>
        <w:rPr>
          <w:highlight w:val="none"/>
        </w:rPr>
        <w:t>《环境影响评价技术导则</w:t>
      </w:r>
      <w:r>
        <w:rPr>
          <w:rFonts w:hint="eastAsia"/>
          <w:highlight w:val="none"/>
        </w:rPr>
        <w:t xml:space="preserve"> 声环境</w:t>
      </w:r>
      <w:r>
        <w:rPr>
          <w:highlight w:val="none"/>
        </w:rPr>
        <w:t>》（</w:t>
      </w:r>
      <w:r>
        <w:rPr>
          <w:rFonts w:hint="eastAsia"/>
          <w:highlight w:val="none"/>
        </w:rPr>
        <w:t>HJ2.4-2021</w:t>
      </w:r>
      <w:r>
        <w:rPr>
          <w:highlight w:val="none"/>
        </w:rPr>
        <w:t>），</w:t>
      </w:r>
      <w:r>
        <w:rPr>
          <w:rFonts w:hint="eastAsia"/>
          <w:highlight w:val="none"/>
        </w:rPr>
        <w:t>一、二、三级评价均应调查分析拟建项目的主要噪声源，因此无需进行区域污染源调查。</w:t>
      </w:r>
    </w:p>
    <w:p w14:paraId="45FD0F90">
      <w:pPr>
        <w:bidi w:val="0"/>
        <w:rPr>
          <w:rFonts w:hint="eastAsia"/>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p>
    <w:bookmarkEnd w:id="359"/>
    <w:bookmarkEnd w:id="360"/>
    <w:bookmarkEnd w:id="361"/>
    <w:bookmarkEnd w:id="362"/>
    <w:bookmarkEnd w:id="363"/>
    <w:p w14:paraId="3529DD3C">
      <w:pPr>
        <w:pStyle w:val="3"/>
        <w:bidi w:val="0"/>
        <w:rPr>
          <w:highlight w:val="none"/>
        </w:rPr>
      </w:pPr>
      <w:bookmarkStart w:id="364" w:name="_Toc6203"/>
      <w:bookmarkStart w:id="365" w:name="_Toc23949"/>
      <w:bookmarkStart w:id="366" w:name="_Toc479252821"/>
      <w:bookmarkStart w:id="367" w:name="_Toc477954576"/>
      <w:bookmarkStart w:id="368" w:name="_Toc16821"/>
      <w:r>
        <w:rPr>
          <w:highlight w:val="none"/>
        </w:rPr>
        <w:t>6环境保护措施及其可行性论证</w:t>
      </w:r>
      <w:bookmarkEnd w:id="364"/>
      <w:bookmarkEnd w:id="365"/>
      <w:bookmarkEnd w:id="366"/>
      <w:bookmarkEnd w:id="367"/>
      <w:bookmarkEnd w:id="368"/>
    </w:p>
    <w:p w14:paraId="4C9D19F3">
      <w:pPr>
        <w:pStyle w:val="4"/>
        <w:bidi w:val="0"/>
        <w:rPr>
          <w:highlight w:val="none"/>
        </w:rPr>
      </w:pPr>
      <w:bookmarkStart w:id="369" w:name="_Toc3243"/>
      <w:bookmarkStart w:id="370" w:name="_Toc494017094"/>
      <w:bookmarkStart w:id="371" w:name="_Toc493664702"/>
      <w:bookmarkStart w:id="372" w:name="_Toc19694"/>
      <w:r>
        <w:rPr>
          <w:highlight w:val="none"/>
        </w:rPr>
        <w:t>6.1施工期环境保护措施及其可行性论证</w:t>
      </w:r>
      <w:bookmarkEnd w:id="369"/>
      <w:bookmarkEnd w:id="370"/>
      <w:bookmarkEnd w:id="371"/>
      <w:bookmarkEnd w:id="372"/>
    </w:p>
    <w:p w14:paraId="436B06B5">
      <w:pPr>
        <w:bidi w:val="0"/>
        <w:rPr>
          <w:rFonts w:hint="default" w:ascii="Times New Roman" w:hAnsi="Times New Roman" w:cs="Times New Roman"/>
          <w:bCs/>
          <w:spacing w:val="0"/>
          <w:position w:val="0"/>
          <w:highlight w:val="none"/>
        </w:rPr>
      </w:pPr>
      <w:r>
        <w:rPr>
          <w:rFonts w:hint="default" w:ascii="Times New Roman" w:hAnsi="Times New Roman" w:cs="Times New Roman"/>
          <w:bCs/>
          <w:spacing w:val="0"/>
          <w:position w:val="0"/>
          <w:highlight w:val="none"/>
        </w:rPr>
        <w:t>本项目</w:t>
      </w:r>
      <w:r>
        <w:rPr>
          <w:rFonts w:hint="default" w:ascii="Times New Roman" w:hAnsi="Times New Roman" w:cs="Times New Roman"/>
          <w:spacing w:val="0"/>
          <w:position w:val="0"/>
          <w:highlight w:val="none"/>
        </w:rPr>
        <w:t>施工期主要为</w:t>
      </w:r>
      <w:r>
        <w:rPr>
          <w:rFonts w:hint="eastAsia" w:ascii="Times New Roman" w:hAnsi="Times New Roman" w:cs="Times New Roman"/>
          <w:spacing w:val="0"/>
          <w:position w:val="0"/>
          <w:highlight w:val="none"/>
          <w:lang w:val="en-US" w:eastAsia="zh-CN"/>
        </w:rPr>
        <w:t>室内装修及</w:t>
      </w:r>
      <w:r>
        <w:rPr>
          <w:rFonts w:hint="default" w:ascii="Times New Roman" w:hAnsi="Times New Roman" w:cs="Times New Roman"/>
          <w:spacing w:val="0"/>
          <w:position w:val="0"/>
          <w:highlight w:val="none"/>
        </w:rPr>
        <w:t>设备安装</w:t>
      </w:r>
      <w:r>
        <w:rPr>
          <w:rFonts w:hint="default" w:ascii="Times New Roman" w:hAnsi="Times New Roman" w:cs="Times New Roman"/>
          <w:bCs/>
          <w:spacing w:val="0"/>
          <w:position w:val="0"/>
          <w:highlight w:val="none"/>
        </w:rPr>
        <w:t>，不涉及土方开挖、堆放、回填等工艺。主要影响来自于设备安装噪声、员工生活污水、生活垃圾及废弃包装</w:t>
      </w:r>
      <w:r>
        <w:rPr>
          <w:rFonts w:hint="eastAsia" w:ascii="Times New Roman" w:hAnsi="Times New Roman" w:cs="Times New Roman"/>
          <w:bCs/>
          <w:spacing w:val="0"/>
          <w:position w:val="0"/>
          <w:highlight w:val="none"/>
          <w:lang w:val="en-US" w:eastAsia="zh-CN"/>
        </w:rPr>
        <w:t>物</w:t>
      </w:r>
      <w:r>
        <w:rPr>
          <w:rFonts w:hint="default" w:ascii="Times New Roman" w:hAnsi="Times New Roman" w:cs="Times New Roman"/>
          <w:bCs/>
          <w:spacing w:val="0"/>
          <w:position w:val="0"/>
          <w:highlight w:val="none"/>
        </w:rPr>
        <w:t>。</w:t>
      </w:r>
    </w:p>
    <w:p w14:paraId="263747DA">
      <w:pPr>
        <w:pStyle w:val="5"/>
        <w:bidi w:val="0"/>
        <w:rPr>
          <w:highlight w:val="none"/>
        </w:rPr>
      </w:pPr>
      <w:bookmarkStart w:id="373" w:name="_Toc21466"/>
      <w:bookmarkStart w:id="374" w:name="_Toc21377"/>
      <w:r>
        <w:rPr>
          <w:highlight w:val="none"/>
        </w:rPr>
        <w:t>6.1.</w:t>
      </w:r>
      <w:r>
        <w:rPr>
          <w:rFonts w:hint="eastAsia"/>
          <w:highlight w:val="none"/>
          <w:lang w:val="en-US" w:eastAsia="zh-CN"/>
        </w:rPr>
        <w:t>1</w:t>
      </w:r>
      <w:r>
        <w:rPr>
          <w:highlight w:val="none"/>
        </w:rPr>
        <w:t>施工期</w:t>
      </w:r>
      <w:r>
        <w:rPr>
          <w:rFonts w:hint="eastAsia"/>
          <w:highlight w:val="none"/>
          <w:lang w:val="en-US" w:eastAsia="zh-CN"/>
        </w:rPr>
        <w:t>大气</w:t>
      </w:r>
      <w:r>
        <w:rPr>
          <w:highlight w:val="none"/>
        </w:rPr>
        <w:t>环境保护措施及其可行性论证</w:t>
      </w:r>
      <w:bookmarkEnd w:id="373"/>
      <w:bookmarkEnd w:id="374"/>
    </w:p>
    <w:p w14:paraId="129BC9CE">
      <w:pPr>
        <w:bidi w:val="0"/>
        <w:rPr>
          <w:rFonts w:hint="eastAsia"/>
          <w:highlight w:val="none"/>
          <w:lang w:eastAsia="zh-CN"/>
        </w:rPr>
      </w:pPr>
      <w:r>
        <w:rPr>
          <w:rFonts w:hint="default" w:ascii="Times New Roman" w:hAnsi="Times New Roman" w:cs="Times New Roman"/>
          <w:bCs/>
          <w:spacing w:val="0"/>
          <w:position w:val="0"/>
          <w:highlight w:val="none"/>
        </w:rPr>
        <w:t>本项目</w:t>
      </w:r>
      <w:r>
        <w:rPr>
          <w:rFonts w:hint="default" w:ascii="Times New Roman" w:hAnsi="Times New Roman" w:cs="Times New Roman"/>
          <w:spacing w:val="0"/>
          <w:position w:val="0"/>
          <w:highlight w:val="none"/>
        </w:rPr>
        <w:t>施工期</w:t>
      </w:r>
      <w:r>
        <w:rPr>
          <w:rFonts w:hint="eastAsia" w:ascii="Times New Roman" w:hAnsi="Times New Roman" w:cs="Times New Roman"/>
          <w:bCs/>
          <w:spacing w:val="0"/>
          <w:position w:val="0"/>
          <w:highlight w:val="none"/>
          <w:lang w:val="en-US" w:eastAsia="zh-CN"/>
        </w:rPr>
        <w:t>仅在</w:t>
      </w:r>
      <w:r>
        <w:rPr>
          <w:rFonts w:hint="eastAsia" w:cs="Times New Roman"/>
          <w:bCs/>
          <w:spacing w:val="0"/>
          <w:position w:val="0"/>
          <w:highlight w:val="none"/>
          <w:lang w:val="en-US" w:eastAsia="zh-CN"/>
        </w:rPr>
        <w:t>设备拆除</w:t>
      </w:r>
      <w:r>
        <w:rPr>
          <w:rFonts w:hint="eastAsia" w:ascii="Times New Roman" w:hAnsi="Times New Roman" w:cs="Times New Roman"/>
          <w:bCs/>
          <w:spacing w:val="0"/>
          <w:position w:val="0"/>
          <w:highlight w:val="none"/>
          <w:lang w:val="en-US" w:eastAsia="zh-CN"/>
        </w:rPr>
        <w:t>、装卸及车辆运输产生少量扬尘，</w:t>
      </w:r>
      <w:r>
        <w:rPr>
          <w:rFonts w:hint="eastAsia" w:ascii="宋体" w:hAnsi="宋体" w:eastAsia="宋体" w:cs="宋体"/>
          <w:color w:val="000000"/>
          <w:kern w:val="0"/>
          <w:szCs w:val="24"/>
          <w:highlight w:val="none"/>
          <w:lang w:bidi="ar"/>
        </w:rPr>
        <w:t>本项目</w:t>
      </w:r>
      <w:r>
        <w:rPr>
          <w:rFonts w:hint="eastAsia" w:ascii="宋体" w:hAnsi="宋体" w:cs="宋体"/>
          <w:color w:val="000000"/>
          <w:kern w:val="0"/>
          <w:szCs w:val="24"/>
          <w:highlight w:val="none"/>
          <w:lang w:val="en-US" w:eastAsia="zh-CN" w:bidi="ar"/>
        </w:rPr>
        <w:t>设备在封闭厂房内安装、拆除，</w:t>
      </w:r>
      <w:r>
        <w:rPr>
          <w:rFonts w:hint="eastAsia" w:ascii="宋体" w:hAnsi="宋体" w:eastAsia="宋体" w:cs="宋体"/>
          <w:highlight w:val="none"/>
        </w:rPr>
        <w:t>运输车辆进出要选择合适的运输路线</w:t>
      </w:r>
      <w:r>
        <w:rPr>
          <w:rFonts w:hint="eastAsia" w:ascii="宋体" w:hAnsi="宋体" w:eastAsia="宋体" w:cs="宋体"/>
          <w:highlight w:val="none"/>
          <w:lang w:val="en-US" w:eastAsia="zh-CN"/>
        </w:rPr>
        <w:t>并降低运输时车速</w:t>
      </w:r>
      <w:r>
        <w:rPr>
          <w:rFonts w:hint="eastAsia" w:ascii="宋体" w:hAnsi="宋体" w:eastAsia="宋体" w:cs="宋体"/>
          <w:highlight w:val="none"/>
        </w:rPr>
        <w:t>，尽可能减少运输扬尘对沿途居民的影响。施工车辆途经附近居民区应限速行驶，减少车辆产生扬尘污染环境，影响人群健康</w:t>
      </w:r>
      <w:r>
        <w:rPr>
          <w:rFonts w:hint="eastAsia"/>
          <w:highlight w:val="none"/>
          <w:lang w:eastAsia="zh-CN"/>
        </w:rPr>
        <w:t>。</w:t>
      </w:r>
    </w:p>
    <w:p w14:paraId="71D2C85C">
      <w:pPr>
        <w:bidi w:val="0"/>
        <w:rPr>
          <w:rFonts w:hint="eastAsia"/>
          <w:highlight w:val="none"/>
          <w:lang w:eastAsia="zh-CN"/>
        </w:rPr>
      </w:pPr>
      <w:r>
        <w:rPr>
          <w:highlight w:val="none"/>
        </w:rPr>
        <w:t>经采取上述防治措施后，能大大降低施工</w:t>
      </w:r>
      <w:r>
        <w:rPr>
          <w:rFonts w:hint="eastAsia"/>
          <w:highlight w:val="none"/>
          <w:lang w:val="en-US" w:eastAsia="zh-CN"/>
        </w:rPr>
        <w:t>扬尘</w:t>
      </w:r>
      <w:r>
        <w:rPr>
          <w:highlight w:val="none"/>
        </w:rPr>
        <w:t>对周围环境的影响。一旦施工期结束，</w:t>
      </w:r>
      <w:r>
        <w:rPr>
          <w:rFonts w:hAnsiTheme="minorEastAsia" w:eastAsiaTheme="minorEastAsia"/>
          <w:highlight w:val="none"/>
        </w:rPr>
        <w:t>施工</w:t>
      </w:r>
      <w:r>
        <w:rPr>
          <w:rFonts w:hint="eastAsia" w:hAnsiTheme="minorEastAsia" w:eastAsiaTheme="minorEastAsia"/>
          <w:highlight w:val="none"/>
          <w:lang w:val="en-US" w:eastAsia="zh-CN"/>
        </w:rPr>
        <w:t>扬尘</w:t>
      </w:r>
      <w:r>
        <w:rPr>
          <w:rFonts w:hAnsiTheme="minorEastAsia" w:eastAsiaTheme="minorEastAsia"/>
          <w:highlight w:val="none"/>
        </w:rPr>
        <w:t>即随之消失。</w:t>
      </w:r>
    </w:p>
    <w:p w14:paraId="7C27D633">
      <w:pPr>
        <w:pStyle w:val="5"/>
        <w:bidi w:val="0"/>
        <w:rPr>
          <w:highlight w:val="none"/>
        </w:rPr>
      </w:pPr>
      <w:bookmarkStart w:id="375" w:name="_Toc30108"/>
      <w:bookmarkStart w:id="376" w:name="_Toc1657"/>
      <w:r>
        <w:rPr>
          <w:highlight w:val="none"/>
        </w:rPr>
        <w:t>6.1.</w:t>
      </w:r>
      <w:r>
        <w:rPr>
          <w:rFonts w:hint="eastAsia"/>
          <w:highlight w:val="none"/>
          <w:lang w:val="en-US" w:eastAsia="zh-CN"/>
        </w:rPr>
        <w:t>2</w:t>
      </w:r>
      <w:r>
        <w:rPr>
          <w:highlight w:val="none"/>
        </w:rPr>
        <w:t>施工期水环境保护措施及其可行性论证</w:t>
      </w:r>
      <w:bookmarkEnd w:id="375"/>
      <w:bookmarkEnd w:id="376"/>
    </w:p>
    <w:p w14:paraId="11476AF2">
      <w:pPr>
        <w:bidi w:val="0"/>
        <w:rPr>
          <w:highlight w:val="none"/>
        </w:rPr>
      </w:pPr>
      <w:r>
        <w:rPr>
          <w:highlight w:val="none"/>
        </w:rPr>
        <w:t>施工期废水主要是施工人员生活污水，施工员工生活污水中污染物主要为COD、氨氮、pH、SS、BOD</w:t>
      </w:r>
      <w:r>
        <w:rPr>
          <w:highlight w:val="none"/>
          <w:vertAlign w:val="subscript"/>
        </w:rPr>
        <w:t>5</w:t>
      </w:r>
      <w:r>
        <w:rPr>
          <w:highlight w:val="none"/>
        </w:rPr>
        <w:t>排放浓度满足《污水综合排放标准》（GB8978-1996）三级标准限值要求，生活污水经市政管网进入</w:t>
      </w:r>
      <w:r>
        <w:rPr>
          <w:rFonts w:hint="eastAsia"/>
          <w:highlight w:val="none"/>
          <w:lang w:val="en-US" w:eastAsia="zh-CN"/>
        </w:rPr>
        <w:t>平房污水处理厂</w:t>
      </w:r>
      <w:r>
        <w:rPr>
          <w:highlight w:val="none"/>
        </w:rPr>
        <w:t>，处理达标后</w:t>
      </w:r>
      <w:r>
        <w:rPr>
          <w:rFonts w:hint="eastAsia"/>
          <w:highlight w:val="none"/>
          <w:lang w:eastAsia="zh-CN"/>
        </w:rPr>
        <w:t>排入何家沟，汇入松花江</w:t>
      </w:r>
      <w:r>
        <w:rPr>
          <w:highlight w:val="none"/>
        </w:rPr>
        <w:t>，最终汇入松花江。</w:t>
      </w:r>
    </w:p>
    <w:p w14:paraId="6A3C6038">
      <w:pPr>
        <w:pStyle w:val="5"/>
        <w:bidi w:val="0"/>
        <w:rPr>
          <w:highlight w:val="none"/>
        </w:rPr>
      </w:pPr>
      <w:bookmarkStart w:id="377" w:name="_Toc21439"/>
      <w:bookmarkStart w:id="378" w:name="_Toc7358"/>
      <w:r>
        <w:rPr>
          <w:highlight w:val="none"/>
        </w:rPr>
        <w:t>6.1.</w:t>
      </w:r>
      <w:r>
        <w:rPr>
          <w:rFonts w:hint="eastAsia"/>
          <w:highlight w:val="none"/>
          <w:lang w:val="en-US" w:eastAsia="zh-CN"/>
        </w:rPr>
        <w:t>3</w:t>
      </w:r>
      <w:r>
        <w:rPr>
          <w:highlight w:val="none"/>
        </w:rPr>
        <w:t>施工期声环境保护措施及其可行性论证</w:t>
      </w:r>
      <w:bookmarkEnd w:id="377"/>
      <w:bookmarkEnd w:id="378"/>
    </w:p>
    <w:p w14:paraId="656EA41F">
      <w:pPr>
        <w:bidi w:val="0"/>
        <w:rPr>
          <w:highlight w:val="none"/>
        </w:rPr>
      </w:pPr>
      <w:r>
        <w:rPr>
          <w:highlight w:val="none"/>
        </w:rPr>
        <w:t>针对设备安装室内作业，流动性和间歇性较强，对各生产环节中的噪声治理提出下面一些治理措施和建议：</w:t>
      </w:r>
    </w:p>
    <w:p w14:paraId="5B4D88B9">
      <w:pPr>
        <w:bidi w:val="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从规范施工秩序着手，合理安排施工时间（晚间22:00-6:00）严禁高噪声设备施工，合理布局施工场地，选用良好的施工设备，降低设备声级。</w:t>
      </w:r>
    </w:p>
    <w:p w14:paraId="371D6321">
      <w:pPr>
        <w:bidi w:val="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降低声源的噪声强度，对基础安装过程中主要发声设备，在条件允许情况下，应考虑采用其他措施进行代替，</w:t>
      </w:r>
      <w:r>
        <w:rPr>
          <w:rFonts w:hint="eastAsia"/>
          <w:highlight w:val="none"/>
          <w:lang w:eastAsia="zh-CN"/>
        </w:rPr>
        <w:t>这</w:t>
      </w:r>
      <w:r>
        <w:rPr>
          <w:highlight w:val="none"/>
        </w:rPr>
        <w:t>都将大大降低噪声源强。</w:t>
      </w:r>
    </w:p>
    <w:p w14:paraId="112558AD">
      <w:pPr>
        <w:bidi w:val="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highlight w:val="none"/>
        </w:rPr>
        <w:t>减轻声源叠加影响，设备安装机器产生的噪声往往具有突发、无规则、不连续和高强度等特点，施工单位应采取合理安排施工机械操作时间的方法加以缓解，并减少同时作业的高噪施工机械数量，尽可能减轻声源叠加影响。</w:t>
      </w:r>
    </w:p>
    <w:p w14:paraId="51DC12F2">
      <w:pPr>
        <w:bidi w:val="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施工车辆，特别是重型运载车辆的运行线路和时间，应尽量避开噪声敏感区域和敏感时段。</w:t>
      </w:r>
    </w:p>
    <w:p w14:paraId="28332F6D">
      <w:pPr>
        <w:bidi w:val="0"/>
        <w:rPr>
          <w:rFonts w:eastAsiaTheme="minorEastAsia"/>
          <w:highlight w:val="none"/>
        </w:rPr>
      </w:pPr>
      <w:r>
        <w:rPr>
          <w:highlight w:val="none"/>
        </w:rPr>
        <w:t>经采取上述噪声防治措施后，能大大降低施工噪声对周围环境的影响。施工期噪声污染是短暂的，暂时的，一旦施工期结束，</w:t>
      </w:r>
      <w:r>
        <w:rPr>
          <w:rFonts w:hAnsiTheme="minorEastAsia" w:eastAsiaTheme="minorEastAsia"/>
          <w:highlight w:val="none"/>
        </w:rPr>
        <w:t>施工噪声即随之消失。</w:t>
      </w:r>
    </w:p>
    <w:p w14:paraId="2B3A48EA">
      <w:pPr>
        <w:pStyle w:val="5"/>
        <w:bidi w:val="0"/>
        <w:rPr>
          <w:highlight w:val="none"/>
        </w:rPr>
      </w:pPr>
      <w:bookmarkStart w:id="379" w:name="_Toc9813"/>
      <w:bookmarkStart w:id="380" w:name="_Toc29964"/>
      <w:r>
        <w:rPr>
          <w:highlight w:val="none"/>
        </w:rPr>
        <w:t>6.1.</w:t>
      </w:r>
      <w:r>
        <w:rPr>
          <w:rFonts w:hint="eastAsia"/>
          <w:highlight w:val="none"/>
          <w:lang w:val="en-US" w:eastAsia="zh-CN"/>
        </w:rPr>
        <w:t>4</w:t>
      </w:r>
      <w:r>
        <w:rPr>
          <w:highlight w:val="none"/>
        </w:rPr>
        <w:t>施工期固体废物处置措施及其可行性论证</w:t>
      </w:r>
      <w:bookmarkEnd w:id="379"/>
      <w:bookmarkEnd w:id="380"/>
    </w:p>
    <w:p w14:paraId="551D32BE">
      <w:pPr>
        <w:bidi w:val="0"/>
        <w:rPr>
          <w:highlight w:val="none"/>
        </w:rPr>
      </w:pPr>
      <w:r>
        <w:rPr>
          <w:highlight w:val="none"/>
        </w:rPr>
        <w:t>该项目施工期固废主要是施工过程中产生的建筑垃圾。施工单位应遵照当地建筑垃圾管理办法进行处置，把产生的建筑垃圾充分、合理</w:t>
      </w:r>
      <w:r>
        <w:rPr>
          <w:rFonts w:hint="eastAsia"/>
          <w:highlight w:val="none"/>
          <w:lang w:eastAsia="zh-CN"/>
        </w:rPr>
        <w:t>地</w:t>
      </w:r>
      <w:r>
        <w:rPr>
          <w:highlight w:val="none"/>
        </w:rPr>
        <w:t>利用起来，贯彻变</w:t>
      </w:r>
      <w:r>
        <w:rPr>
          <w:rFonts w:hint="eastAsia"/>
          <w:highlight w:val="none"/>
          <w:lang w:eastAsia="zh-CN"/>
        </w:rPr>
        <w:t>“</w:t>
      </w:r>
      <w:r>
        <w:rPr>
          <w:highlight w:val="none"/>
        </w:rPr>
        <w:t>废</w:t>
      </w:r>
      <w:r>
        <w:rPr>
          <w:rFonts w:hint="eastAsia"/>
          <w:highlight w:val="none"/>
          <w:lang w:eastAsia="zh-CN"/>
        </w:rPr>
        <w:t>”</w:t>
      </w:r>
      <w:r>
        <w:rPr>
          <w:highlight w:val="none"/>
        </w:rPr>
        <w:t>为</w:t>
      </w:r>
      <w:r>
        <w:rPr>
          <w:rFonts w:hint="eastAsia"/>
          <w:highlight w:val="none"/>
          <w:lang w:eastAsia="zh-CN"/>
        </w:rPr>
        <w:t>“</w:t>
      </w:r>
      <w:r>
        <w:rPr>
          <w:highlight w:val="none"/>
        </w:rPr>
        <w:t>宝</w:t>
      </w:r>
      <w:r>
        <w:rPr>
          <w:rFonts w:hint="eastAsia"/>
          <w:highlight w:val="none"/>
          <w:lang w:eastAsia="zh-CN"/>
        </w:rPr>
        <w:t>”</w:t>
      </w:r>
      <w:r>
        <w:rPr>
          <w:highlight w:val="none"/>
        </w:rPr>
        <w:t>和清洁生产的理念。</w:t>
      </w:r>
    </w:p>
    <w:p w14:paraId="0FA6A5FF">
      <w:pPr>
        <w:bidi w:val="0"/>
        <w:rPr>
          <w:highlight w:val="none"/>
        </w:rPr>
      </w:pPr>
      <w:r>
        <w:rPr>
          <w:highlight w:val="none"/>
        </w:rPr>
        <w:t>施工期间主要为设备安装工程，在此期间将有一定数量的包装袋</w:t>
      </w:r>
      <w:r>
        <w:rPr>
          <w:rFonts w:hint="eastAsia"/>
          <w:highlight w:val="none"/>
          <w:lang w:eastAsia="zh-CN"/>
        </w:rPr>
        <w:t>、</w:t>
      </w:r>
      <w:r>
        <w:rPr>
          <w:rFonts w:hint="eastAsia"/>
          <w:highlight w:val="none"/>
          <w:lang w:val="en-US" w:eastAsia="zh-CN"/>
        </w:rPr>
        <w:t>拆除设备</w:t>
      </w:r>
      <w:r>
        <w:rPr>
          <w:highlight w:val="none"/>
        </w:rPr>
        <w:t>以及建筑碎片等建筑废弃物。对施工现场要及时进行清理，建筑垃圾要及时清运、加以利用，防止其因长期堆放而产生扬尘</w:t>
      </w:r>
      <w:r>
        <w:rPr>
          <w:rFonts w:hint="eastAsia"/>
          <w:highlight w:val="none"/>
          <w:lang w:eastAsia="zh-CN"/>
        </w:rPr>
        <w:t>；</w:t>
      </w:r>
      <w:r>
        <w:rPr>
          <w:rFonts w:hint="eastAsia"/>
          <w:highlight w:val="none"/>
          <w:lang w:val="en-US" w:eastAsia="zh-CN"/>
        </w:rPr>
        <w:t>拆除设备外售</w:t>
      </w:r>
      <w:r>
        <w:rPr>
          <w:highlight w:val="none"/>
        </w:rPr>
        <w:t>。</w:t>
      </w:r>
    </w:p>
    <w:p w14:paraId="7DF28F27">
      <w:pPr>
        <w:bidi w:val="0"/>
        <w:rPr>
          <w:highlight w:val="none"/>
        </w:rPr>
      </w:pPr>
      <w:r>
        <w:rPr>
          <w:highlight w:val="none"/>
        </w:rPr>
        <w:t>生活垃圾要定点统一收集，做到垃圾日产日清，不得随意倾倒，项目产生的生活垃圾交由市政部门处理，对周边环境影响较小。</w:t>
      </w:r>
    </w:p>
    <w:p w14:paraId="764E67A3">
      <w:pPr>
        <w:bidi w:val="0"/>
        <w:rPr>
          <w:rFonts w:eastAsiaTheme="minorEastAsia"/>
          <w:highlight w:val="none"/>
        </w:rPr>
      </w:pPr>
      <w:r>
        <w:rPr>
          <w:highlight w:val="none"/>
        </w:rPr>
        <w:t>采取上述措施，本项目施工期产生的固废处置率100%，不会对环境产生明显影响，施工期固体废物处置措施可行。</w:t>
      </w:r>
    </w:p>
    <w:p w14:paraId="6B892D66">
      <w:pPr>
        <w:pStyle w:val="4"/>
        <w:bidi w:val="0"/>
        <w:rPr>
          <w:highlight w:val="none"/>
        </w:rPr>
      </w:pPr>
      <w:bookmarkStart w:id="381" w:name="_Toc11994"/>
      <w:bookmarkStart w:id="382" w:name="_Toc14071"/>
      <w:r>
        <w:rPr>
          <w:highlight w:val="none"/>
        </w:rPr>
        <w:t>6.2营运期环境保护措施及其可行性论证</w:t>
      </w:r>
      <w:bookmarkEnd w:id="381"/>
      <w:bookmarkEnd w:id="382"/>
    </w:p>
    <w:p w14:paraId="2B203E29">
      <w:pPr>
        <w:pStyle w:val="5"/>
        <w:bidi w:val="0"/>
        <w:rPr>
          <w:highlight w:val="none"/>
        </w:rPr>
      </w:pPr>
      <w:bookmarkStart w:id="383" w:name="_Toc2145"/>
      <w:bookmarkStart w:id="384" w:name="_Toc2816"/>
      <w:r>
        <w:rPr>
          <w:highlight w:val="none"/>
        </w:rPr>
        <w:t>6.2.1大气环境保护措施及其可行性论证</w:t>
      </w:r>
      <w:bookmarkEnd w:id="383"/>
      <w:bookmarkEnd w:id="384"/>
    </w:p>
    <w:p w14:paraId="5D4D37E0">
      <w:pPr>
        <w:pStyle w:val="6"/>
        <w:bidi w:val="0"/>
        <w:rPr>
          <w:highlight w:val="none"/>
        </w:rPr>
      </w:pPr>
      <w:r>
        <w:rPr>
          <w:highlight w:val="none"/>
        </w:rPr>
        <w:t>6.2.1.1</w:t>
      </w:r>
      <w:r>
        <w:rPr>
          <w:rFonts w:hint="eastAsia"/>
          <w:highlight w:val="none"/>
          <w:lang w:val="en-US" w:eastAsia="zh-CN"/>
        </w:rPr>
        <w:t>生产</w:t>
      </w:r>
      <w:r>
        <w:rPr>
          <w:highlight w:val="none"/>
        </w:rPr>
        <w:t>油雾污染防治措施</w:t>
      </w:r>
    </w:p>
    <w:p w14:paraId="1FA979C3">
      <w:pPr>
        <w:bidi w:val="0"/>
        <w:rPr>
          <w:rFonts w:hint="default"/>
          <w:highlight w:val="none"/>
          <w:lang w:val="en-US" w:eastAsia="zh-CN"/>
        </w:rPr>
      </w:pPr>
      <w:r>
        <w:rPr>
          <w:rFonts w:hint="eastAsia"/>
          <w:highlight w:val="none"/>
          <w:lang w:val="en-US" w:eastAsia="zh-CN"/>
        </w:rPr>
        <w:t>生产产生的油雾、挥发性有机物（以非甲烷总烃计）、颗粒物及臭气浓度通过油雾净化装置+活性炭吸附装置处理后由1根新建15m排气筒排放；贮存产生的挥发性有机物（以非甲烷总烃计）通活性炭吸附装置处理后由1根新建15m排气筒排放。本项目两座排气筒间距约为35m，大于两座排气筒高度和，不构成等效排气筒。本项目附近最高建筑物为周边厂房，高10m，本项目排气筒高15m，故排气筒高度可行。</w:t>
      </w:r>
    </w:p>
    <w:p w14:paraId="53C66E22">
      <w:pPr>
        <w:bidi w:val="0"/>
        <w:rPr>
          <w:highlight w:val="none"/>
        </w:rPr>
      </w:pPr>
      <w:r>
        <w:rPr>
          <w:highlight w:val="none"/>
        </w:rPr>
        <w:t>油雾净化系统治理方案：</w:t>
      </w:r>
    </w:p>
    <w:p w14:paraId="2574B1B9">
      <w:pPr>
        <w:bidi w:val="0"/>
        <w:rPr>
          <w:highlight w:val="none"/>
        </w:rPr>
      </w:pPr>
      <w:r>
        <w:rPr>
          <w:highlight w:val="none"/>
        </w:rPr>
        <w:t>（1）机械过滤：</w:t>
      </w:r>
      <w:r>
        <w:rPr>
          <w:rFonts w:hint="eastAsia"/>
          <w:highlight w:val="none"/>
          <w:lang w:val="en-US" w:eastAsia="zh-CN"/>
        </w:rPr>
        <w:t>生产</w:t>
      </w:r>
      <w:r>
        <w:rPr>
          <w:highlight w:val="none"/>
        </w:rPr>
        <w:t>产生的油雾通过引风机将油雾由管道汇至油雾分离净化装置，由于重力的作用一些较大颗粒的液滴会从气体中滴落分离出来。分离出的油聚集在油雾净化器主机下部的油槽里，由专用管道泵入集中切削液过滤系统后补充至切削液系统使用。装置设有两个由合成材料以及细微纤维混合编织而成的过滤层，油雾经过一级过滤层后吸入的空气会均匀</w:t>
      </w:r>
      <w:r>
        <w:rPr>
          <w:rFonts w:hint="eastAsia"/>
          <w:highlight w:val="none"/>
          <w:lang w:eastAsia="zh-CN"/>
        </w:rPr>
        <w:t>地</w:t>
      </w:r>
      <w:r>
        <w:rPr>
          <w:highlight w:val="none"/>
        </w:rPr>
        <w:t>吸向第二级过滤层，净化后气体由机壳开口经管道排出。</w:t>
      </w:r>
    </w:p>
    <w:p w14:paraId="243BAA8D">
      <w:pPr>
        <w:bidi w:val="0"/>
        <w:rPr>
          <w:highlight w:val="none"/>
        </w:rPr>
      </w:pPr>
      <w:r>
        <w:rPr>
          <w:highlight w:val="none"/>
        </w:rPr>
        <w:t>（2）静电净化：含尘油雾气体从净化器进风口进入预过滤器，大颗粒的油雾尘被分离并收集到集油槽。含细小油雾尘的污染空气从预分离器流出后，进入荷电区，通过存在大量离子及电子的空间时，离子及电子会附着在油雾尘上（附着负离子和电子的油雾尘荷负电，附着正离子和电子的油雾尘荷正电）。附着电荷的油雾尘从荷电区出来后，进入集尘区。在电场力的作用下，荷电油雾尘向其极性相反方向运动，油雾尘吸附在电极板上，细小的油雾尘被分离，洁净空气在风机负压的作用下，经风机直排入空气中。</w:t>
      </w:r>
    </w:p>
    <w:p w14:paraId="12CAB420">
      <w:pPr>
        <w:bidi w:val="0"/>
        <w:rPr>
          <w:rFonts w:hint="default" w:hAnsiTheme="minorEastAsia" w:eastAsiaTheme="minorEastAsia"/>
          <w:bCs/>
          <w:sz w:val="24"/>
          <w:highlight w:val="none"/>
          <w:lang w:val="en-US" w:eastAsia="zh-CN"/>
        </w:rPr>
      </w:pPr>
      <w:r>
        <w:rPr>
          <w:highlight w:val="none"/>
        </w:rPr>
        <w:t>考虑到机械过滤运行成本低、设备稳定可靠可长时间使用</w:t>
      </w:r>
      <w:r>
        <w:rPr>
          <w:rFonts w:hint="eastAsia"/>
          <w:highlight w:val="none"/>
          <w:lang w:eastAsia="zh-CN"/>
        </w:rPr>
        <w:t>，</w:t>
      </w:r>
      <w:r>
        <w:rPr>
          <w:rFonts w:hint="eastAsia"/>
          <w:highlight w:val="none"/>
          <w:lang w:val="en-US" w:eastAsia="zh-CN"/>
        </w:rPr>
        <w:t>静电吸附</w:t>
      </w:r>
      <w:r>
        <w:rPr>
          <w:highlight w:val="none"/>
        </w:rPr>
        <w:t>过滤效率高效持久、运行维护成本低等特点</w:t>
      </w:r>
      <w:r>
        <w:rPr>
          <w:rFonts w:hint="eastAsia"/>
          <w:highlight w:val="none"/>
          <w:lang w:eastAsia="zh-CN"/>
        </w:rPr>
        <w:t>，</w:t>
      </w:r>
      <w:r>
        <w:rPr>
          <w:highlight w:val="none"/>
        </w:rPr>
        <w:t>选择机械过滤</w:t>
      </w:r>
      <w:r>
        <w:rPr>
          <w:rFonts w:hint="eastAsia"/>
          <w:highlight w:val="none"/>
          <w:lang w:val="en-US" w:eastAsia="zh-CN"/>
        </w:rPr>
        <w:t>及静电吸附结合</w:t>
      </w:r>
      <w:r>
        <w:rPr>
          <w:highlight w:val="none"/>
        </w:rPr>
        <w:t>的</w:t>
      </w:r>
      <w:r>
        <w:rPr>
          <w:rFonts w:hint="eastAsia"/>
          <w:highlight w:val="none"/>
          <w:lang w:val="en-US" w:eastAsia="zh-CN"/>
        </w:rPr>
        <w:t>油雾净化器</w:t>
      </w:r>
      <w:r>
        <w:rPr>
          <w:highlight w:val="none"/>
        </w:rPr>
        <w:t>更为可靠，因此本项目采取机械过滤方式。</w:t>
      </w:r>
      <w:r>
        <w:rPr>
          <w:rFonts w:hint="eastAsia" w:hAnsiTheme="minorEastAsia" w:eastAsiaTheme="minorEastAsia"/>
          <w:bCs/>
          <w:sz w:val="24"/>
          <w:highlight w:val="none"/>
          <w:lang w:val="en-US" w:eastAsia="zh-CN"/>
        </w:rPr>
        <w:t>参考</w:t>
      </w:r>
      <w:r>
        <w:rPr>
          <w:rFonts w:hAnsiTheme="minorEastAsia" w:eastAsiaTheme="minorEastAsia"/>
          <w:bCs/>
          <w:sz w:val="24"/>
          <w:highlight w:val="none"/>
        </w:rPr>
        <w:t>《排污许可证申请与核发技术规范汽车制造业》（</w:t>
      </w:r>
      <w:r>
        <w:rPr>
          <w:rFonts w:eastAsiaTheme="minorEastAsia"/>
          <w:bCs/>
          <w:sz w:val="24"/>
          <w:highlight w:val="none"/>
        </w:rPr>
        <w:t>HJ971-2018</w:t>
      </w:r>
      <w:r>
        <w:rPr>
          <w:rFonts w:hAnsiTheme="minorEastAsia" w:eastAsiaTheme="minorEastAsia"/>
          <w:bCs/>
          <w:sz w:val="24"/>
          <w:highlight w:val="none"/>
        </w:rPr>
        <w:t>）表</w:t>
      </w:r>
      <w:r>
        <w:rPr>
          <w:rFonts w:eastAsiaTheme="minorEastAsia"/>
          <w:bCs/>
          <w:sz w:val="24"/>
          <w:highlight w:val="none"/>
        </w:rPr>
        <w:t>25</w:t>
      </w:r>
      <w:r>
        <w:rPr>
          <w:rFonts w:hAnsiTheme="minorEastAsia" w:eastAsiaTheme="minorEastAsia"/>
          <w:bCs/>
          <w:sz w:val="24"/>
          <w:highlight w:val="none"/>
        </w:rPr>
        <w:t>汽车制造业废气污染治理推荐可行技术清单中</w:t>
      </w:r>
      <w:r>
        <w:rPr>
          <w:rFonts w:hint="eastAsia" w:hAnsiTheme="minorEastAsia" w:eastAsiaTheme="minorEastAsia"/>
          <w:bCs/>
          <w:sz w:val="24"/>
          <w:highlight w:val="none"/>
          <w:lang w:val="en-US" w:eastAsia="zh-CN"/>
        </w:rPr>
        <w:t>油雾、挥发性有机物</w:t>
      </w:r>
      <w:r>
        <w:rPr>
          <w:rFonts w:hAnsiTheme="minorEastAsia" w:eastAsiaTheme="minorEastAsia"/>
          <w:bCs/>
          <w:sz w:val="24"/>
          <w:highlight w:val="none"/>
        </w:rPr>
        <w:t>采用机械过滤</w:t>
      </w:r>
      <w:r>
        <w:rPr>
          <w:rFonts w:hint="eastAsia" w:hAnsiTheme="minorEastAsia" w:eastAsiaTheme="minorEastAsia"/>
          <w:bCs/>
          <w:sz w:val="24"/>
          <w:highlight w:val="none"/>
          <w:lang w:eastAsia="zh-CN"/>
        </w:rPr>
        <w:t>、</w:t>
      </w:r>
      <w:r>
        <w:rPr>
          <w:rFonts w:hint="eastAsia" w:hAnsiTheme="minorEastAsia" w:eastAsiaTheme="minorEastAsia"/>
          <w:bCs/>
          <w:sz w:val="24"/>
          <w:highlight w:val="none"/>
          <w:lang w:val="en-US" w:eastAsia="zh-CN"/>
        </w:rPr>
        <w:t>静电过滤</w:t>
      </w:r>
      <w:r>
        <w:rPr>
          <w:rFonts w:hAnsiTheme="minorEastAsia" w:eastAsiaTheme="minorEastAsia"/>
          <w:bCs/>
          <w:sz w:val="24"/>
          <w:highlight w:val="none"/>
        </w:rPr>
        <w:t>为可行性技术</w:t>
      </w:r>
      <w:r>
        <w:rPr>
          <w:rFonts w:hint="eastAsia" w:hAnsiTheme="minorEastAsia" w:eastAsiaTheme="minorEastAsia"/>
          <w:bCs/>
          <w:sz w:val="24"/>
          <w:highlight w:val="none"/>
          <w:lang w:eastAsia="zh-CN"/>
        </w:rPr>
        <w:t>。</w:t>
      </w:r>
      <w:r>
        <w:rPr>
          <w:rFonts w:hint="eastAsia" w:hAnsiTheme="minorEastAsia" w:eastAsiaTheme="minorEastAsia"/>
          <w:bCs/>
          <w:sz w:val="24"/>
          <w:highlight w:val="none"/>
          <w:lang w:val="en-US" w:eastAsia="zh-CN"/>
        </w:rPr>
        <w:t>本项目采用吹吸集气罩，收集效率约为90%，参考</w:t>
      </w:r>
      <w:r>
        <w:rPr>
          <w:rFonts w:hint="eastAsia"/>
          <w:highlight w:val="none"/>
          <w:lang w:val="en-US" w:eastAsia="zh-CN"/>
        </w:rPr>
        <w:t>《</w:t>
      </w:r>
      <w:r>
        <w:rPr>
          <w:highlight w:val="none"/>
        </w:rPr>
        <w:fldChar w:fldCharType="begin"/>
      </w:r>
      <w:r>
        <w:rPr>
          <w:highlight w:val="none"/>
        </w:rPr>
        <w:instrText xml:space="preserve"> HYPERLINK "https://www.mee.gov.cn/ywgz/fgbz/bz/bzwb/wrfzjszc/202002/W020200213574302008065.pdf" </w:instrText>
      </w:r>
      <w:r>
        <w:rPr>
          <w:highlight w:val="none"/>
        </w:rPr>
        <w:fldChar w:fldCharType="separate"/>
      </w:r>
      <w:r>
        <w:rPr>
          <w:rFonts w:hint="eastAsia"/>
          <w:highlight w:val="none"/>
        </w:rPr>
        <w:t>污染源源强核算技术指南 汽车制造</w:t>
      </w:r>
      <w:r>
        <w:rPr>
          <w:rFonts w:hint="eastAsia"/>
          <w:highlight w:val="none"/>
        </w:rPr>
        <w:fldChar w:fldCharType="end"/>
      </w:r>
      <w:r>
        <w:rPr>
          <w:rFonts w:hint="eastAsia"/>
          <w:highlight w:val="none"/>
          <w:lang w:val="en-US" w:eastAsia="zh-CN"/>
        </w:rPr>
        <w:t>》（</w:t>
      </w:r>
      <w:r>
        <w:rPr>
          <w:rFonts w:hint="eastAsia"/>
          <w:highlight w:val="none"/>
          <w:lang w:val="en-US" w:eastAsia="zh-CN"/>
        </w:rPr>
        <w:fldChar w:fldCharType="begin"/>
      </w:r>
      <w:r>
        <w:rPr>
          <w:rFonts w:hint="eastAsia"/>
          <w:highlight w:val="none"/>
          <w:lang w:val="en-US" w:eastAsia="zh-CN"/>
        </w:rPr>
        <w:instrText xml:space="preserve"> HYPERLINK "https://www.mee.gov.cn/ywgz/fgbz/bz/bzwb/wrfzjszc/202002/W020200213574302008065.pdf" </w:instrText>
      </w:r>
      <w:r>
        <w:rPr>
          <w:rFonts w:hint="eastAsia"/>
          <w:highlight w:val="none"/>
          <w:lang w:val="en-US" w:eastAsia="zh-CN"/>
        </w:rPr>
        <w:fldChar w:fldCharType="separate"/>
      </w:r>
      <w:r>
        <w:rPr>
          <w:rFonts w:hint="eastAsia"/>
          <w:highlight w:val="none"/>
          <w:lang w:val="en-US" w:eastAsia="zh-CN"/>
        </w:rPr>
        <w:t>HJ 1097—2020</w:t>
      </w:r>
      <w:r>
        <w:rPr>
          <w:rFonts w:hint="eastAsia"/>
          <w:highlight w:val="none"/>
          <w:lang w:val="en-US" w:eastAsia="zh-CN"/>
        </w:rPr>
        <w:fldChar w:fldCharType="end"/>
      </w:r>
      <w:r>
        <w:rPr>
          <w:rFonts w:hint="eastAsia" w:ascii="Times New Roman" w:hAnsi="Times New Roman" w:eastAsia="宋体" w:cs="Times New Roman"/>
          <w:highlight w:val="none"/>
          <w:lang w:val="en-US" w:eastAsia="zh-CN"/>
        </w:rPr>
        <w:t>）表F.1油雾净化器净化效率为90%</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根据文献</w:t>
      </w:r>
      <w:r>
        <w:rPr>
          <w:rFonts w:hint="eastAsia" w:hAnsiTheme="minorEastAsia" w:eastAsiaTheme="minorEastAsia"/>
          <w:kern w:val="0"/>
          <w:sz w:val="24"/>
          <w:highlight w:val="none"/>
        </w:rPr>
        <w:t>（</w:t>
      </w:r>
      <w:r>
        <w:rPr>
          <w:rFonts w:hint="eastAsia" w:ascii="Times New Roman" w:hAnsi="Times New Roman" w:eastAsia="宋体" w:cs="Times New Roman"/>
          <w:highlight w:val="none"/>
          <w:lang w:val="en-US" w:eastAsia="zh-CN"/>
        </w:rPr>
        <w:t>吴丽娟</w:t>
      </w:r>
      <w:r>
        <w:rPr>
          <w:rFonts w:hAnsiTheme="minorEastAsia" w:eastAsiaTheme="minorEastAsia"/>
          <w:kern w:val="0"/>
          <w:sz w:val="24"/>
          <w:highlight w:val="none"/>
        </w:rPr>
        <w:t>.</w:t>
      </w:r>
      <w:r>
        <w:rPr>
          <w:rFonts w:hint="eastAsia" w:ascii="Times New Roman" w:hAnsi="Times New Roman" w:eastAsia="宋体" w:cs="Times New Roman"/>
          <w:highlight w:val="none"/>
          <w:lang w:val="en-US" w:eastAsia="zh-CN"/>
        </w:rPr>
        <w:t>机械加工企业 VOCs 废气处理中活性炭吸附效率的研究</w:t>
      </w:r>
      <w:r>
        <w:rPr>
          <w:rFonts w:hAnsiTheme="minorEastAsia" w:eastAsiaTheme="minorEastAsia"/>
          <w:kern w:val="0"/>
          <w:sz w:val="24"/>
          <w:highlight w:val="none"/>
        </w:rPr>
        <w:t>[J].</w:t>
      </w:r>
      <w:r>
        <w:rPr>
          <w:rFonts w:hint="eastAsia" w:ascii="Times New Roman" w:hAnsi="Times New Roman" w:eastAsia="宋体" w:cs="Times New Roman"/>
          <w:highlight w:val="none"/>
          <w:lang w:val="en-US" w:eastAsia="zh-CN"/>
        </w:rPr>
        <w:t>环保与节能</w:t>
      </w:r>
      <w:r>
        <w:rPr>
          <w:rFonts w:hAnsiTheme="minorEastAsia" w:eastAsiaTheme="minorEastAsia"/>
          <w:kern w:val="0"/>
          <w:sz w:val="24"/>
          <w:highlight w:val="none"/>
        </w:rPr>
        <w:t>,20</w:t>
      </w:r>
      <w:r>
        <w:rPr>
          <w:rFonts w:hint="eastAsia" w:hAnsiTheme="minorEastAsia" w:eastAsiaTheme="minorEastAsia"/>
          <w:kern w:val="0"/>
          <w:sz w:val="24"/>
          <w:highlight w:val="none"/>
          <w:lang w:val="en-US" w:eastAsia="zh-CN"/>
        </w:rPr>
        <w:t>22</w:t>
      </w:r>
      <w:r>
        <w:rPr>
          <w:rFonts w:hAnsiTheme="minorEastAsia" w:eastAsiaTheme="minorEastAsia"/>
          <w:kern w:val="0"/>
          <w:sz w:val="24"/>
          <w:highlight w:val="none"/>
        </w:rPr>
        <w:t>(1</w:t>
      </w:r>
      <w:r>
        <w:rPr>
          <w:rFonts w:hint="eastAsia" w:hAnsiTheme="minorEastAsia" w:eastAsiaTheme="minorEastAsia"/>
          <w:kern w:val="0"/>
          <w:sz w:val="24"/>
          <w:highlight w:val="none"/>
          <w:lang w:val="en-US" w:eastAsia="zh-CN"/>
        </w:rPr>
        <w:t>1</w:t>
      </w:r>
      <w:r>
        <w:rPr>
          <w:rFonts w:hAnsiTheme="minorEastAsia" w:eastAsiaTheme="minorEastAsia"/>
          <w:kern w:val="0"/>
          <w:sz w:val="24"/>
          <w:highlight w:val="none"/>
        </w:rPr>
        <w:t>):</w:t>
      </w:r>
      <w:r>
        <w:rPr>
          <w:rFonts w:hint="eastAsia" w:hAnsiTheme="minorEastAsia" w:eastAsiaTheme="minorEastAsia"/>
          <w:kern w:val="0"/>
          <w:sz w:val="24"/>
          <w:highlight w:val="none"/>
          <w:lang w:val="en-US" w:eastAsia="zh-CN"/>
        </w:rPr>
        <w:t>58</w:t>
      </w:r>
      <w:r>
        <w:rPr>
          <w:rFonts w:hAnsiTheme="minorEastAsia" w:eastAsiaTheme="minorEastAsia"/>
          <w:kern w:val="0"/>
          <w:sz w:val="24"/>
          <w:highlight w:val="none"/>
        </w:rPr>
        <w:t>-</w:t>
      </w:r>
      <w:r>
        <w:rPr>
          <w:rFonts w:hint="eastAsia" w:hAnsiTheme="minorEastAsia" w:eastAsiaTheme="minorEastAsia"/>
          <w:kern w:val="0"/>
          <w:sz w:val="24"/>
          <w:highlight w:val="none"/>
          <w:lang w:val="en-US" w:eastAsia="zh-CN"/>
        </w:rPr>
        <w:t>64</w:t>
      </w:r>
      <w:r>
        <w:rPr>
          <w:rFonts w:hAnsiTheme="minorEastAsia" w:eastAsiaTheme="minorEastAsia"/>
          <w:kern w:val="0"/>
          <w:sz w:val="24"/>
          <w:highlight w:val="none"/>
        </w:rPr>
        <w:t>.</w:t>
      </w:r>
      <w:r>
        <w:rPr>
          <w:rFonts w:hint="eastAsia" w:hAnsiTheme="minorEastAsia" w:eastAsiaTheme="minorEastAsia"/>
          <w:kern w:val="0"/>
          <w:sz w:val="24"/>
          <w:highlight w:val="none"/>
        </w:rPr>
        <w:t>）</w:t>
      </w:r>
      <w:r>
        <w:rPr>
          <w:rFonts w:hint="eastAsia" w:hAnsiTheme="minorEastAsia" w:eastAsiaTheme="minorEastAsia"/>
          <w:kern w:val="0"/>
          <w:sz w:val="24"/>
          <w:highlight w:val="none"/>
          <w:lang w:eastAsia="zh-CN"/>
        </w:rPr>
        <w:t>，</w:t>
      </w:r>
      <w:r>
        <w:rPr>
          <w:rFonts w:hint="eastAsia" w:hAnsiTheme="minorEastAsia" w:eastAsiaTheme="minorEastAsia"/>
          <w:kern w:val="0"/>
          <w:sz w:val="24"/>
          <w:highlight w:val="none"/>
          <w:lang w:val="en-US" w:eastAsia="zh-CN"/>
        </w:rPr>
        <w:t>活性炭吸附效率为</w:t>
      </w:r>
      <w:r>
        <w:rPr>
          <w:rFonts w:hint="eastAsia" w:ascii="Times New Roman" w:hAnsi="Times New Roman" w:eastAsia="宋体" w:cs="Times New Roman"/>
          <w:highlight w:val="none"/>
          <w:lang w:val="en-US" w:eastAsia="zh-CN"/>
        </w:rPr>
        <w:t>90%</w:t>
      </w:r>
      <w:r>
        <w:rPr>
          <w:rFonts w:hint="eastAsia" w:cs="Times New Roman"/>
          <w:highlight w:val="none"/>
          <w:lang w:val="en-US" w:eastAsia="zh-CN"/>
        </w:rPr>
        <w:t>。</w:t>
      </w:r>
    </w:p>
    <w:p w14:paraId="663D2577">
      <w:pPr>
        <w:pStyle w:val="6"/>
        <w:bidi w:val="0"/>
        <w:rPr>
          <w:rFonts w:hint="eastAsia"/>
          <w:highlight w:val="none"/>
          <w:lang w:eastAsia="zh-CN"/>
        </w:rPr>
      </w:pPr>
      <w:r>
        <w:rPr>
          <w:highlight w:val="none"/>
        </w:rPr>
        <w:t>6.2.1.</w:t>
      </w:r>
      <w:r>
        <w:rPr>
          <w:rFonts w:hint="eastAsia"/>
          <w:highlight w:val="none"/>
          <w:lang w:val="en-US" w:eastAsia="zh-CN"/>
        </w:rPr>
        <w:t>2臭气浓度</w:t>
      </w:r>
      <w:r>
        <w:rPr>
          <w:highlight w:val="none"/>
        </w:rPr>
        <w:t>污染防治措施</w:t>
      </w:r>
    </w:p>
    <w:p w14:paraId="30A0BFF0">
      <w:pPr>
        <w:bidi w:val="0"/>
        <w:rPr>
          <w:highlight w:val="none"/>
        </w:rPr>
      </w:pPr>
      <w:r>
        <w:rPr>
          <w:rFonts w:hint="default"/>
          <w:highlight w:val="none"/>
        </w:rPr>
        <w:t>本项目设置的活性炭吸附装置</w:t>
      </w:r>
      <w:r>
        <w:rPr>
          <w:rFonts w:hint="eastAsia"/>
          <w:highlight w:val="none"/>
          <w:lang w:val="en-US" w:eastAsia="zh-CN"/>
        </w:rPr>
        <w:t>为多级活性炭吸附装置，多个独立的吸附器通过串联的方式，将废气中的污染物吸附在活性炭表面，实现高效、快速地净化废气的目的；由于活性炭具有强吸附性能，通过活性炭空隙结构和比表面积，能够吸附废气中的多种有害物质，如有机化合物、恶臭气体等；通过设置多级活性炭层，实现对废气的双重吸附净化，确保废气处理效果稳定可靠；</w:t>
      </w:r>
    </w:p>
    <w:p w14:paraId="36210E99">
      <w:pPr>
        <w:bidi w:val="0"/>
        <w:rPr>
          <w:rFonts w:hint="eastAsia"/>
          <w:highlight w:val="none"/>
          <w:lang w:eastAsia="zh-CN"/>
        </w:rPr>
      </w:pPr>
      <w:r>
        <w:rPr>
          <w:rFonts w:hint="eastAsia" w:hAnsiTheme="minorEastAsia" w:eastAsiaTheme="minorEastAsia"/>
          <w:kern w:val="0"/>
          <w:sz w:val="24"/>
          <w:highlight w:val="none"/>
        </w:rPr>
        <w:t>根据文献（</w:t>
      </w:r>
      <w:r>
        <w:rPr>
          <w:rFonts w:ascii="宋体" w:hAnsi="宋体" w:eastAsia="宋体" w:cs="宋体"/>
          <w:sz w:val="24"/>
          <w:szCs w:val="24"/>
          <w:highlight w:val="none"/>
        </w:rPr>
        <w:t>程小红</w:t>
      </w:r>
      <w:r>
        <w:rPr>
          <w:rFonts w:hAnsiTheme="minorEastAsia" w:eastAsiaTheme="minorEastAsia"/>
          <w:kern w:val="0"/>
          <w:sz w:val="24"/>
          <w:highlight w:val="none"/>
        </w:rPr>
        <w:t>.</w:t>
      </w:r>
      <w:r>
        <w:rPr>
          <w:rFonts w:ascii="宋体" w:hAnsi="宋体" w:eastAsia="宋体" w:cs="宋体"/>
          <w:sz w:val="24"/>
          <w:szCs w:val="24"/>
          <w:highlight w:val="none"/>
        </w:rPr>
        <w:t>湖北省污水处理厂</w:t>
      </w:r>
      <w:r>
        <w:rPr>
          <w:rFonts w:hint="default" w:ascii="Times New Roman" w:hAnsi="Times New Roman" w:eastAsia="宋体" w:cs="Times New Roman"/>
          <w:sz w:val="24"/>
          <w:szCs w:val="24"/>
          <w:highlight w:val="none"/>
        </w:rPr>
        <w:t>常见恶臭气体治理技术的综述</w:t>
      </w:r>
      <w:r>
        <w:rPr>
          <w:rFonts w:hint="default" w:ascii="Times New Roman" w:hAnsi="Times New Roman" w:cs="Times New Roman" w:eastAsiaTheme="minorEastAsia"/>
          <w:kern w:val="0"/>
          <w:sz w:val="24"/>
          <w:highlight w:val="none"/>
        </w:rPr>
        <w:t>,201</w:t>
      </w:r>
      <w:r>
        <w:rPr>
          <w:rFonts w:hint="default" w:ascii="Times New Roman" w:hAnsi="Times New Roman" w:cs="Times New Roman" w:eastAsiaTheme="minorEastAsia"/>
          <w:kern w:val="0"/>
          <w:sz w:val="24"/>
          <w:highlight w:val="none"/>
          <w:lang w:val="en-US" w:eastAsia="zh-CN"/>
        </w:rPr>
        <w:t>9</w:t>
      </w:r>
      <w:r>
        <w:rPr>
          <w:rFonts w:hint="default" w:ascii="Times New Roman" w:hAnsi="Times New Roman" w:cs="Times New Roman" w:eastAsiaTheme="minorEastAsia"/>
          <w:kern w:val="0"/>
          <w:sz w:val="24"/>
          <w:highlight w:val="none"/>
        </w:rPr>
        <w:t>(</w:t>
      </w:r>
      <w:r>
        <w:rPr>
          <w:rFonts w:hint="default" w:ascii="Times New Roman" w:hAnsi="Times New Roman" w:cs="Times New Roman" w:eastAsiaTheme="minorEastAsia"/>
          <w:kern w:val="0"/>
          <w:sz w:val="24"/>
          <w:highlight w:val="none"/>
          <w:lang w:val="en-US" w:eastAsia="zh-CN"/>
        </w:rPr>
        <w:t>6</w:t>
      </w:r>
      <w:r>
        <w:rPr>
          <w:rFonts w:hint="default" w:ascii="Times New Roman" w:hAnsi="Times New Roman" w:cs="Times New Roman" w:eastAsiaTheme="minorEastAsia"/>
          <w:kern w:val="0"/>
          <w:sz w:val="24"/>
          <w:highlight w:val="none"/>
        </w:rPr>
        <w:t>):10</w:t>
      </w:r>
      <w:r>
        <w:rPr>
          <w:rFonts w:hint="default" w:ascii="Times New Roman" w:hAnsi="Times New Roman" w:cs="Times New Roman" w:eastAsiaTheme="minorEastAsia"/>
          <w:kern w:val="0"/>
          <w:sz w:val="24"/>
          <w:highlight w:val="none"/>
          <w:lang w:val="en-US" w:eastAsia="zh-CN"/>
        </w:rPr>
        <w:t>1</w:t>
      </w:r>
      <w:r>
        <w:rPr>
          <w:rFonts w:hint="default" w:ascii="Times New Roman" w:hAnsi="Times New Roman" w:cs="Times New Roman" w:eastAsiaTheme="minorEastAsia"/>
          <w:kern w:val="0"/>
          <w:sz w:val="24"/>
          <w:highlight w:val="none"/>
        </w:rPr>
        <w:t>-10</w:t>
      </w:r>
      <w:r>
        <w:rPr>
          <w:rFonts w:hint="default" w:ascii="Times New Roman" w:hAnsi="Times New Roman" w:cs="Times New Roman" w:eastAsiaTheme="minorEastAsia"/>
          <w:kern w:val="0"/>
          <w:sz w:val="24"/>
          <w:highlight w:val="none"/>
          <w:lang w:val="en-US" w:eastAsia="zh-CN"/>
        </w:rPr>
        <w:t>4</w:t>
      </w:r>
      <w:r>
        <w:rPr>
          <w:rFonts w:hint="default" w:ascii="Times New Roman" w:hAnsi="Times New Roman" w:cs="Times New Roman" w:eastAsiaTheme="minorEastAsia"/>
          <w:kern w:val="0"/>
          <w:sz w:val="24"/>
          <w:highlight w:val="none"/>
        </w:rPr>
        <w:t>.）</w:t>
      </w:r>
      <w:r>
        <w:rPr>
          <w:rFonts w:hint="default" w:ascii="Times New Roman" w:hAnsi="Times New Roman" w:cs="Times New Roman" w:eastAsiaTheme="minorEastAsia"/>
          <w:kern w:val="0"/>
          <w:sz w:val="24"/>
          <w:highlight w:val="none"/>
          <w:lang w:eastAsia="zh-CN"/>
        </w:rPr>
        <w:t>，</w:t>
      </w:r>
      <w:r>
        <w:rPr>
          <w:rFonts w:hint="default" w:ascii="Times New Roman" w:hAnsi="Times New Roman" w:eastAsia="宋体" w:cs="Times New Roman"/>
          <w:sz w:val="24"/>
          <w:szCs w:val="24"/>
          <w:highlight w:val="none"/>
        </w:rPr>
        <w:t>活性炭吸附法处理恶臭气体的效率通常在85%以上</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本项目取85%，</w:t>
      </w:r>
      <w:r>
        <w:rPr>
          <w:rFonts w:hint="eastAsia"/>
          <w:highlight w:val="none"/>
          <w:lang w:val="en-US" w:eastAsia="zh-CN"/>
        </w:rPr>
        <w:t>根据</w:t>
      </w:r>
      <w:r>
        <w:rPr>
          <w:rFonts w:hint="default"/>
          <w:highlight w:val="none"/>
        </w:rPr>
        <w:t>《排污许可证申请与核发技术规范废弃资源加工工业》（HJ1034—2019）中的相关要求，本项目该工序采用的活性炭吸附处理技术属于同类挥发性有机物废气处理的可行技术</w:t>
      </w:r>
      <w:r>
        <w:rPr>
          <w:rFonts w:hint="eastAsia"/>
          <w:highlight w:val="none"/>
          <w:lang w:eastAsia="zh-CN"/>
        </w:rPr>
        <w:t>，</w:t>
      </w:r>
      <w:r>
        <w:rPr>
          <w:rFonts w:hint="default"/>
          <w:highlight w:val="none"/>
        </w:rPr>
        <w:t>且该技术属于《挥发性有机物（VOCs）污染防治技术政策》要求的末端治理技术</w:t>
      </w:r>
      <w:r>
        <w:rPr>
          <w:highlight w:val="none"/>
        </w:rPr>
        <w:t>。</w:t>
      </w:r>
      <w:r>
        <w:rPr>
          <w:rFonts w:hint="eastAsia"/>
          <w:highlight w:val="none"/>
          <w:lang w:val="en-US" w:eastAsia="zh-CN"/>
        </w:rPr>
        <w:t>参照</w:t>
      </w:r>
      <w:r>
        <w:rPr>
          <w:rFonts w:hint="default"/>
          <w:highlight w:val="none"/>
        </w:rPr>
        <w:t>《排污许可证申请与核发技术规范</w:t>
      </w:r>
      <w:r>
        <w:rPr>
          <w:rFonts w:hint="eastAsia"/>
          <w:highlight w:val="none"/>
          <w:lang w:val="en-US" w:eastAsia="zh-CN"/>
        </w:rPr>
        <w:t>工业固体废物和危险废物治理</w:t>
      </w:r>
      <w:r>
        <w:rPr>
          <w:rFonts w:hint="default"/>
          <w:highlight w:val="none"/>
        </w:rPr>
        <w:t>》（HJ103</w:t>
      </w:r>
      <w:r>
        <w:rPr>
          <w:rFonts w:hint="eastAsia"/>
          <w:highlight w:val="none"/>
          <w:lang w:val="en-US" w:eastAsia="zh-CN"/>
        </w:rPr>
        <w:t>3</w:t>
      </w:r>
      <w:r>
        <w:rPr>
          <w:rFonts w:hint="default"/>
          <w:highlight w:val="none"/>
        </w:rPr>
        <w:t>—2019）</w:t>
      </w:r>
      <w:r>
        <w:rPr>
          <w:rFonts w:hint="eastAsia"/>
          <w:highlight w:val="none"/>
          <w:lang w:val="en-US" w:eastAsia="zh-CN"/>
        </w:rPr>
        <w:t>中表C.2危险废物（不含医疗废物）利用排污单位废气治理可行技术参考表</w:t>
      </w:r>
      <w:r>
        <w:rPr>
          <w:rFonts w:hint="default"/>
          <w:highlight w:val="none"/>
        </w:rPr>
        <w:t>，本项目该工序采用的活性炭吸附处理技术属于</w:t>
      </w:r>
      <w:r>
        <w:rPr>
          <w:rFonts w:hint="eastAsia"/>
          <w:highlight w:val="none"/>
          <w:lang w:val="en-US" w:eastAsia="zh-CN"/>
        </w:rPr>
        <w:t>臭气浓度</w:t>
      </w:r>
      <w:r>
        <w:rPr>
          <w:rFonts w:hint="default"/>
          <w:highlight w:val="none"/>
        </w:rPr>
        <w:t>废气处理的可行技术</w:t>
      </w:r>
      <w:r>
        <w:rPr>
          <w:rFonts w:hint="eastAsia"/>
          <w:highlight w:val="none"/>
          <w:lang w:eastAsia="zh-CN"/>
        </w:rPr>
        <w:t>。</w:t>
      </w:r>
    </w:p>
    <w:p w14:paraId="036E5998">
      <w:pPr>
        <w:bidi w:val="0"/>
        <w:rPr>
          <w:rFonts w:hint="default"/>
          <w:highlight w:val="none"/>
          <w:lang w:val="en-US" w:eastAsia="zh-CN"/>
        </w:rPr>
      </w:pPr>
      <w:r>
        <w:rPr>
          <w:rFonts w:hint="eastAsia"/>
          <w:highlight w:val="none"/>
          <w:lang w:val="en-US" w:eastAsia="zh-CN"/>
        </w:rPr>
        <w:t>综上所述，本项目处理措施可行。</w:t>
      </w:r>
    </w:p>
    <w:p w14:paraId="25DA18D6">
      <w:pPr>
        <w:pStyle w:val="6"/>
        <w:bidi w:val="0"/>
        <w:rPr>
          <w:highlight w:val="none"/>
        </w:rPr>
      </w:pPr>
      <w:r>
        <w:rPr>
          <w:rFonts w:hint="eastAsia"/>
          <w:highlight w:val="none"/>
          <w:lang w:val="en-US" w:eastAsia="zh-CN"/>
        </w:rPr>
        <w:t>6.2.1.3</w:t>
      </w:r>
      <w:r>
        <w:rPr>
          <w:highlight w:val="none"/>
        </w:rPr>
        <w:t>无组织污染防治措施</w:t>
      </w:r>
    </w:p>
    <w:p w14:paraId="396315DC">
      <w:pPr>
        <w:bidi w:val="0"/>
        <w:rPr>
          <w:rFonts w:hint="default"/>
          <w:highlight w:val="none"/>
          <w:lang w:val="en-US" w:eastAsia="zh-CN"/>
        </w:rPr>
      </w:pPr>
      <w:r>
        <w:rPr>
          <w:rFonts w:hint="eastAsia"/>
          <w:highlight w:val="none"/>
          <w:lang w:val="en-US" w:eastAsia="zh-CN"/>
        </w:rPr>
        <w:t>根据《挥发性有机物无组织排放控制标准》中：“液态 VOCs 物料应采用密闭管道输送方式或采用高位槽(罐)、桶泵等给料方式密闭投加。无法密闭投加的，应在密闭空间内操作，或进行局部气体收集，废气应排至 VOCs 废气收集处理系统。VOCs 物料卸(出、放)料过程应密闭，卸料废气应排至 VOCs 废气收集处理系统:无法密闭的，应采取局部气体收集措施，废气应排至 VOCs 废气收集处理系统。”，本项目已设置气体收集系统，未被收集部分无组织排放。</w:t>
      </w:r>
    </w:p>
    <w:p w14:paraId="2EA5D797">
      <w:pPr>
        <w:spacing w:line="360" w:lineRule="auto"/>
        <w:ind w:firstLine="480" w:firstLineChars="200"/>
        <w:contextualSpacing/>
        <w:rPr>
          <w:rFonts w:hAnsiTheme="minorEastAsia" w:eastAsiaTheme="minorEastAsia"/>
          <w:sz w:val="24"/>
          <w:highlight w:val="none"/>
        </w:rPr>
      </w:pPr>
      <w:r>
        <w:rPr>
          <w:rFonts w:hAnsiTheme="minorEastAsia" w:eastAsiaTheme="minorEastAsia"/>
          <w:sz w:val="24"/>
          <w:highlight w:val="none"/>
        </w:rPr>
        <w:t>为进一步减少无组织废气的排放，建议采取如下措施：</w:t>
      </w:r>
    </w:p>
    <w:p w14:paraId="22E1A581">
      <w:pPr>
        <w:spacing w:line="360" w:lineRule="auto"/>
        <w:ind w:firstLine="480" w:firstLineChars="200"/>
        <w:contextualSpacing/>
        <w:rPr>
          <w:rFonts w:eastAsiaTheme="minorEastAsia"/>
          <w:sz w:val="24"/>
          <w:highlight w:val="none"/>
        </w:rPr>
      </w:pPr>
      <w:r>
        <w:rPr>
          <w:rFonts w:hAnsiTheme="minorEastAsia" w:eastAsiaTheme="minorEastAsia"/>
          <w:sz w:val="24"/>
          <w:highlight w:val="none"/>
        </w:rPr>
        <w:t>①按照规范操作</w:t>
      </w:r>
      <w:r>
        <w:rPr>
          <w:rFonts w:hint="eastAsia" w:hAnsiTheme="minorEastAsia" w:eastAsiaTheme="minorEastAsia"/>
          <w:sz w:val="24"/>
          <w:highlight w:val="none"/>
        </w:rPr>
        <w:t>。</w:t>
      </w:r>
      <w:r>
        <w:rPr>
          <w:rFonts w:hAnsiTheme="minorEastAsia" w:eastAsiaTheme="minorEastAsia"/>
          <w:sz w:val="24"/>
          <w:highlight w:val="none"/>
        </w:rPr>
        <w:t>尽可能减少污染物产生量，操作人员应要求按照规范操作。</w:t>
      </w:r>
    </w:p>
    <w:p w14:paraId="6EC56703">
      <w:pPr>
        <w:spacing w:line="360" w:lineRule="auto"/>
        <w:ind w:firstLine="480" w:firstLineChars="200"/>
        <w:contextualSpacing/>
        <w:rPr>
          <w:rFonts w:eastAsiaTheme="minorEastAsia"/>
          <w:sz w:val="24"/>
          <w:highlight w:val="none"/>
        </w:rPr>
      </w:pPr>
      <w:r>
        <w:rPr>
          <w:rFonts w:hAnsiTheme="minorEastAsia" w:eastAsiaTheme="minorEastAsia"/>
          <w:sz w:val="24"/>
          <w:highlight w:val="none"/>
        </w:rPr>
        <w:t>②增强车间通风</w:t>
      </w:r>
      <w:r>
        <w:rPr>
          <w:rFonts w:hint="eastAsia" w:hAnsiTheme="minorEastAsia" w:eastAsiaTheme="minorEastAsia"/>
          <w:sz w:val="24"/>
          <w:highlight w:val="none"/>
        </w:rPr>
        <w:t>。</w:t>
      </w:r>
      <w:r>
        <w:rPr>
          <w:rFonts w:hAnsiTheme="minorEastAsia" w:eastAsiaTheme="minorEastAsia"/>
          <w:sz w:val="24"/>
          <w:highlight w:val="none"/>
        </w:rPr>
        <w:t>降低无组织排放浓度，加强车间通风，以达到降低污染物在车间的局部区域的浓度，减少对职工的健康安全和环境影响。</w:t>
      </w:r>
    </w:p>
    <w:p w14:paraId="4BAFA200">
      <w:pPr>
        <w:spacing w:line="360" w:lineRule="auto"/>
        <w:ind w:firstLine="480" w:firstLineChars="200"/>
        <w:contextualSpacing/>
        <w:rPr>
          <w:rFonts w:hAnsiTheme="minorEastAsia" w:eastAsiaTheme="minorEastAsia"/>
          <w:sz w:val="24"/>
          <w:highlight w:val="none"/>
        </w:rPr>
      </w:pPr>
      <w:r>
        <w:rPr>
          <w:rFonts w:eastAsiaTheme="minorEastAsia"/>
          <w:sz w:val="24"/>
          <w:highlight w:val="none"/>
        </w:rPr>
        <w:fldChar w:fldCharType="begin"/>
      </w:r>
      <w:r>
        <w:rPr>
          <w:rFonts w:eastAsiaTheme="minorEastAsia"/>
          <w:sz w:val="24"/>
          <w:highlight w:val="none"/>
        </w:rPr>
        <w:instrText xml:space="preserve"> = 3 \* GB3 </w:instrText>
      </w:r>
      <w:r>
        <w:rPr>
          <w:rFonts w:eastAsiaTheme="minorEastAsia"/>
          <w:sz w:val="24"/>
          <w:highlight w:val="none"/>
        </w:rPr>
        <w:fldChar w:fldCharType="separate"/>
      </w:r>
      <w:r>
        <w:rPr>
          <w:rFonts w:hAnsiTheme="minorEastAsia" w:eastAsiaTheme="minorEastAsia"/>
          <w:sz w:val="24"/>
          <w:highlight w:val="none"/>
        </w:rPr>
        <w:t>③</w:t>
      </w:r>
      <w:r>
        <w:rPr>
          <w:rFonts w:eastAsiaTheme="minorEastAsia"/>
          <w:sz w:val="24"/>
          <w:highlight w:val="none"/>
        </w:rPr>
        <w:fldChar w:fldCharType="end"/>
      </w:r>
      <w:r>
        <w:rPr>
          <w:rFonts w:hint="eastAsia" w:hAnsiTheme="minorEastAsia" w:eastAsiaTheme="minorEastAsia"/>
          <w:sz w:val="24"/>
          <w:highlight w:val="none"/>
          <w:lang w:val="en-US" w:eastAsia="zh-CN"/>
        </w:rPr>
        <w:t>本项目液态原料均储存于封闭原料桶内，危险废物均</w:t>
      </w:r>
      <w:r>
        <w:rPr>
          <w:rFonts w:hAnsiTheme="minorEastAsia" w:eastAsiaTheme="minorEastAsia"/>
          <w:sz w:val="24"/>
          <w:highlight w:val="none"/>
        </w:rPr>
        <w:t>储存于密闭容器中</w:t>
      </w:r>
      <w:r>
        <w:rPr>
          <w:rFonts w:hint="eastAsia" w:hAnsiTheme="minorEastAsia" w:eastAsiaTheme="minorEastAsia"/>
          <w:sz w:val="24"/>
          <w:highlight w:val="none"/>
          <w:lang w:eastAsia="zh-CN"/>
        </w:rPr>
        <w:t>；</w:t>
      </w:r>
      <w:r>
        <w:rPr>
          <w:rFonts w:hint="eastAsia" w:hAnsiTheme="minorEastAsia" w:eastAsiaTheme="minorEastAsia"/>
          <w:sz w:val="24"/>
          <w:highlight w:val="none"/>
          <w:lang w:val="en-US" w:eastAsia="zh-CN"/>
        </w:rPr>
        <w:t>含油金属屑存于封闭原料贮存区内</w:t>
      </w:r>
      <w:r>
        <w:rPr>
          <w:rFonts w:hAnsiTheme="minorEastAsia" w:eastAsiaTheme="minorEastAsia"/>
          <w:sz w:val="24"/>
          <w:highlight w:val="none"/>
        </w:rPr>
        <w:t>。</w:t>
      </w:r>
    </w:p>
    <w:p w14:paraId="6660260A">
      <w:pPr>
        <w:spacing w:line="360" w:lineRule="auto"/>
        <w:ind w:firstLine="480" w:firstLineChars="200"/>
        <w:contextualSpacing/>
        <w:rPr>
          <w:rFonts w:eastAsiaTheme="minorEastAsia"/>
          <w:sz w:val="24"/>
          <w:highlight w:val="none"/>
        </w:rPr>
      </w:pPr>
      <w:r>
        <w:rPr>
          <w:rFonts w:hAnsiTheme="minorEastAsia" w:eastAsiaTheme="minorEastAsia"/>
          <w:sz w:val="24"/>
          <w:highlight w:val="none"/>
        </w:rPr>
        <w:t>由以上分析可知，本项目各项废气处理措施可行，可确保污染物排放浓度和排放速率达标。</w:t>
      </w:r>
    </w:p>
    <w:p w14:paraId="210BC5CB">
      <w:pPr>
        <w:spacing w:line="360" w:lineRule="auto"/>
        <w:ind w:firstLine="480" w:firstLineChars="200"/>
        <w:contextualSpacing/>
        <w:rPr>
          <w:rFonts w:eastAsiaTheme="minorEastAsia"/>
          <w:sz w:val="24"/>
          <w:highlight w:val="none"/>
        </w:rPr>
      </w:pPr>
      <w:r>
        <w:rPr>
          <w:rFonts w:hAnsiTheme="minorEastAsia" w:eastAsiaTheme="minorEastAsia"/>
          <w:sz w:val="24"/>
          <w:highlight w:val="none"/>
        </w:rPr>
        <w:t>拟建项目采取的废气治理措施属于可行性技术，可有效减少废气排放，措施可行。拟建项目产生的废气经大气稀释扩散后，对大气环境影响较小。</w:t>
      </w:r>
    </w:p>
    <w:p w14:paraId="592BA344">
      <w:pPr>
        <w:pStyle w:val="5"/>
        <w:bidi w:val="0"/>
        <w:rPr>
          <w:highlight w:val="none"/>
        </w:rPr>
      </w:pPr>
      <w:bookmarkStart w:id="385" w:name="_Toc24960"/>
      <w:bookmarkStart w:id="386" w:name="_Toc28445"/>
      <w:r>
        <w:rPr>
          <w:highlight w:val="none"/>
        </w:rPr>
        <w:t>6.2.2水环境保护措施及其可行性论证</w:t>
      </w:r>
      <w:bookmarkEnd w:id="385"/>
      <w:bookmarkEnd w:id="386"/>
    </w:p>
    <w:p w14:paraId="405F0E2C">
      <w:pPr>
        <w:pStyle w:val="6"/>
        <w:bidi w:val="0"/>
        <w:rPr>
          <w:highlight w:val="none"/>
        </w:rPr>
      </w:pPr>
      <w:r>
        <w:rPr>
          <w:highlight w:val="none"/>
        </w:rPr>
        <w:t>6.2.2.1生产废水治理措施</w:t>
      </w:r>
    </w:p>
    <w:p w14:paraId="5092AF17">
      <w:pPr>
        <w:rPr>
          <w:rFonts w:eastAsiaTheme="minorEastAsia"/>
          <w:sz w:val="24"/>
          <w:highlight w:val="none"/>
        </w:rPr>
      </w:pPr>
      <w:r>
        <w:rPr>
          <w:rFonts w:hint="eastAsia"/>
          <w:highlight w:val="none"/>
          <w:lang w:val="en-US" w:eastAsia="zh-CN"/>
        </w:rPr>
        <w:t>本项目不产生生产废水；生活废水依托周边企业防渗旱厕收集，定期清掏外运堆肥</w:t>
      </w:r>
      <w:r>
        <w:rPr>
          <w:rFonts w:hAnsiTheme="minorEastAsia" w:eastAsiaTheme="minorEastAsia"/>
          <w:sz w:val="24"/>
          <w:highlight w:val="none"/>
        </w:rPr>
        <w:t>。</w:t>
      </w:r>
    </w:p>
    <w:p w14:paraId="13161726">
      <w:pPr>
        <w:pStyle w:val="5"/>
        <w:bidi w:val="0"/>
        <w:rPr>
          <w:highlight w:val="none"/>
        </w:rPr>
      </w:pPr>
      <w:bookmarkStart w:id="387" w:name="_Toc17991"/>
      <w:bookmarkStart w:id="388" w:name="_Toc15153"/>
      <w:r>
        <w:rPr>
          <w:highlight w:val="none"/>
        </w:rPr>
        <w:t>6.2.3地下水污染防治措施及可行性论证</w:t>
      </w:r>
      <w:bookmarkEnd w:id="387"/>
      <w:bookmarkEnd w:id="388"/>
    </w:p>
    <w:p w14:paraId="2D746CA1">
      <w:pPr>
        <w:bidi w:val="0"/>
        <w:rPr>
          <w:highlight w:val="none"/>
        </w:rPr>
      </w:pPr>
      <w:r>
        <w:rPr>
          <w:highlight w:val="none"/>
        </w:rPr>
        <w:t>根据可能产生地下水污染的工程单元的分布情况，按照</w:t>
      </w:r>
      <w:r>
        <w:rPr>
          <w:rFonts w:hint="eastAsia"/>
          <w:highlight w:val="none"/>
          <w:lang w:eastAsia="zh-CN"/>
        </w:rPr>
        <w:t>“</w:t>
      </w:r>
      <w:r>
        <w:rPr>
          <w:highlight w:val="none"/>
        </w:rPr>
        <w:t>源头控制、分区防治、污染监控、应急响应</w:t>
      </w:r>
      <w:r>
        <w:rPr>
          <w:rFonts w:hint="eastAsia"/>
          <w:highlight w:val="none"/>
          <w:lang w:eastAsia="zh-CN"/>
        </w:rPr>
        <w:t>”</w:t>
      </w:r>
      <w:r>
        <w:rPr>
          <w:highlight w:val="none"/>
        </w:rPr>
        <w:t>相结合的原则，从污染物的产生、入渗、扩散、应急响应等方面制定地下水环境保护措施。</w:t>
      </w:r>
    </w:p>
    <w:p w14:paraId="3DD30786">
      <w:pPr>
        <w:pStyle w:val="6"/>
        <w:bidi w:val="0"/>
        <w:rPr>
          <w:highlight w:val="none"/>
        </w:rPr>
      </w:pPr>
      <w:r>
        <w:rPr>
          <w:highlight w:val="none"/>
        </w:rPr>
        <w:t>6.2.3.1源头控制措施</w:t>
      </w:r>
    </w:p>
    <w:p w14:paraId="6C6A9BC5">
      <w:pPr>
        <w:bidi w:val="0"/>
        <w:rPr>
          <w:highlight w:val="none"/>
        </w:rPr>
      </w:pPr>
      <w:r>
        <w:rPr>
          <w:rFonts w:hint="eastAsia" w:cs="Times New Roman"/>
          <w:highlight w:val="none"/>
          <w:lang w:eastAsia="zh-CN"/>
        </w:rPr>
        <w:t>（</w:t>
      </w:r>
      <w:r>
        <w:rPr>
          <w:rFonts w:hint="eastAsia" w:cs="Times New Roman"/>
          <w:highlight w:val="none"/>
          <w:lang w:val="en-US" w:eastAsia="zh-CN"/>
        </w:rPr>
        <w:t>1</w:t>
      </w:r>
      <w:r>
        <w:rPr>
          <w:rFonts w:hint="eastAsia" w:cs="Times New Roman"/>
          <w:highlight w:val="none"/>
          <w:lang w:eastAsia="zh-CN"/>
        </w:rPr>
        <w:t>）</w:t>
      </w:r>
      <w:r>
        <w:rPr>
          <w:rFonts w:hint="eastAsia"/>
          <w:highlight w:val="none"/>
          <w:lang w:val="zh-CN" w:eastAsia="zh-CN"/>
        </w:rPr>
        <w:t>各建构筑物采取防渗漏措施，避免或减少油类物质的跑、冒、滴、漏，将废水泄漏的环境风险降低到最低程度；</w:t>
      </w:r>
    </w:p>
    <w:p w14:paraId="7EEF47AA">
      <w:pPr>
        <w:bidi w:val="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highlight w:val="none"/>
        </w:rPr>
        <w:t>定期巡检维护，做到泄漏早发现、早处理，确保废污水储存设施和输送管线正常运行；</w:t>
      </w:r>
    </w:p>
    <w:p w14:paraId="3B8E76C6">
      <w:pPr>
        <w:bidi w:val="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建立有关规章制度和岗位责任制，制定风险预警方案，设立应急设施减轻环境污染影响。</w:t>
      </w:r>
    </w:p>
    <w:p w14:paraId="0E1C45C8">
      <w:pPr>
        <w:pStyle w:val="6"/>
        <w:bidi w:val="0"/>
        <w:rPr>
          <w:highlight w:val="none"/>
        </w:rPr>
      </w:pPr>
      <w:r>
        <w:rPr>
          <w:highlight w:val="none"/>
        </w:rPr>
        <w:t>6.2.3.2分区控制措施</w:t>
      </w:r>
    </w:p>
    <w:p w14:paraId="3971C643">
      <w:pPr>
        <w:bidi w:val="0"/>
        <w:rPr>
          <w:highlight w:val="none"/>
        </w:rPr>
      </w:pPr>
      <w:r>
        <w:rPr>
          <w:rFonts w:hint="default" w:ascii="Times New Roman" w:hAnsi="Times New Roman" w:eastAsia="宋体" w:cs="Times New Roman"/>
          <w:highlight w:val="none"/>
        </w:rPr>
        <w:t>根据《环境影响评价技术导则地下水环境》（HJ610-2016）11.2.2.1条的要求，拟建项目地下水污染防治分区要依据相关行业标准或防渗技术规范。本项目</w:t>
      </w:r>
      <w:r>
        <w:rPr>
          <w:rFonts w:hint="eastAsia" w:cs="Times New Roman"/>
          <w:highlight w:val="none"/>
          <w:lang w:val="en-US" w:eastAsia="zh-CN"/>
        </w:rPr>
        <w:t>含油金属屑处理</w:t>
      </w:r>
      <w:r>
        <w:rPr>
          <w:rFonts w:hint="eastAsia" w:ascii="Times New Roman" w:hAnsi="Times New Roman" w:eastAsia="宋体" w:cs="Times New Roman"/>
          <w:highlight w:val="none"/>
          <w:lang w:val="en-US" w:eastAsia="zh-CN"/>
        </w:rPr>
        <w:t>生产全过程均涉及油类物质，故本项目</w:t>
      </w:r>
      <w:r>
        <w:rPr>
          <w:rFonts w:hint="eastAsia" w:cs="Times New Roman"/>
          <w:highlight w:val="none"/>
          <w:lang w:val="en-US" w:eastAsia="zh-CN"/>
        </w:rPr>
        <w:t>生产车间、危险废物贮存库</w:t>
      </w:r>
      <w:r>
        <w:rPr>
          <w:rFonts w:hint="eastAsia" w:ascii="Times New Roman" w:hAnsi="Times New Roman" w:eastAsia="宋体" w:cs="Times New Roman"/>
          <w:highlight w:val="none"/>
          <w:lang w:val="en-US" w:eastAsia="zh-CN"/>
        </w:rPr>
        <w:t>列为重点防渗区</w:t>
      </w:r>
      <w:r>
        <w:rPr>
          <w:rFonts w:hint="eastAsia" w:cs="Times New Roman"/>
          <w:highlight w:val="none"/>
          <w:lang w:val="en-US" w:eastAsia="zh-CN"/>
        </w:rPr>
        <w:t>；厂区地面进行简单防渗</w:t>
      </w:r>
      <w:r>
        <w:rPr>
          <w:rFonts w:hint="eastAsia"/>
          <w:szCs w:val="28"/>
          <w:highlight w:val="none"/>
        </w:rPr>
        <w:t>。</w:t>
      </w:r>
    </w:p>
    <w:p w14:paraId="7F9B80F2">
      <w:pPr>
        <w:pStyle w:val="7"/>
        <w:bidi w:val="0"/>
        <w:rPr>
          <w:highlight w:val="none"/>
        </w:rPr>
      </w:pPr>
      <w:r>
        <w:rPr>
          <w:highlight w:val="none"/>
        </w:rPr>
        <w:t>表6-2-</w:t>
      </w:r>
      <w:r>
        <w:rPr>
          <w:rFonts w:hint="eastAsia"/>
          <w:highlight w:val="none"/>
          <w:lang w:val="en-US" w:eastAsia="zh-CN"/>
        </w:rPr>
        <w:t>1</w:t>
      </w:r>
      <w:r>
        <w:rPr>
          <w:highlight w:val="none"/>
        </w:rPr>
        <w:t>地下水污染防渗分区</w:t>
      </w:r>
    </w:p>
    <w:tbl>
      <w:tblPr>
        <w:tblStyle w:val="4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1"/>
        <w:gridCol w:w="900"/>
        <w:gridCol w:w="1239"/>
        <w:gridCol w:w="1050"/>
        <w:gridCol w:w="3546"/>
        <w:gridCol w:w="830"/>
      </w:tblGrid>
      <w:tr w14:paraId="16EB24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91" w:type="dxa"/>
            <w:vAlign w:val="center"/>
          </w:tcPr>
          <w:p w14:paraId="2715ACBA">
            <w:pPr>
              <w:pStyle w:val="8"/>
              <w:suppressLineNumbers w:val="0"/>
              <w:bidi w:val="0"/>
              <w:spacing w:before="0" w:beforeAutospacing="0" w:after="0" w:afterAutospacing="0"/>
              <w:ind w:left="0" w:right="0"/>
              <w:rPr>
                <w:rFonts w:hint="default"/>
                <w:highlight w:val="none"/>
                <w:lang w:val="zh-CN" w:eastAsia="zh-CN"/>
              </w:rPr>
            </w:pPr>
            <w:r>
              <w:rPr>
                <w:rFonts w:hint="default"/>
                <w:highlight w:val="none"/>
                <w:lang w:val="zh-CN" w:eastAsia="zh-CN"/>
              </w:rPr>
              <w:t>防渗分区</w:t>
            </w:r>
          </w:p>
        </w:tc>
        <w:tc>
          <w:tcPr>
            <w:tcW w:w="900" w:type="dxa"/>
            <w:vAlign w:val="center"/>
          </w:tcPr>
          <w:p w14:paraId="0B94BEC4">
            <w:pPr>
              <w:pStyle w:val="8"/>
              <w:suppressLineNumbers w:val="0"/>
              <w:bidi w:val="0"/>
              <w:spacing w:before="0" w:beforeAutospacing="0" w:after="0" w:afterAutospacing="0"/>
              <w:ind w:left="0" w:right="0"/>
              <w:rPr>
                <w:rFonts w:hint="default"/>
                <w:highlight w:val="none"/>
                <w:lang w:val="zh-CN" w:eastAsia="zh-CN"/>
              </w:rPr>
            </w:pPr>
            <w:r>
              <w:rPr>
                <w:rFonts w:hint="default"/>
                <w:highlight w:val="none"/>
                <w:lang w:val="zh-CN" w:eastAsia="zh-CN"/>
              </w:rPr>
              <w:t>污染物类型</w:t>
            </w:r>
          </w:p>
        </w:tc>
        <w:tc>
          <w:tcPr>
            <w:tcW w:w="1239" w:type="dxa"/>
            <w:vAlign w:val="center"/>
          </w:tcPr>
          <w:p w14:paraId="69BC201D">
            <w:pPr>
              <w:pStyle w:val="8"/>
              <w:suppressLineNumbers w:val="0"/>
              <w:bidi w:val="0"/>
              <w:spacing w:before="0" w:beforeAutospacing="0" w:after="0" w:afterAutospacing="0"/>
              <w:ind w:left="0" w:right="0"/>
              <w:rPr>
                <w:rFonts w:hint="default"/>
                <w:highlight w:val="none"/>
                <w:lang w:val="zh-CN" w:eastAsia="zh-CN"/>
              </w:rPr>
            </w:pPr>
            <w:r>
              <w:rPr>
                <w:rFonts w:hint="default"/>
                <w:highlight w:val="none"/>
                <w:lang w:val="zh-CN" w:eastAsia="zh-CN"/>
              </w:rPr>
              <w:t>区域</w:t>
            </w:r>
          </w:p>
        </w:tc>
        <w:tc>
          <w:tcPr>
            <w:tcW w:w="1050" w:type="dxa"/>
            <w:vAlign w:val="center"/>
          </w:tcPr>
          <w:p w14:paraId="7A3290D5">
            <w:pPr>
              <w:pStyle w:val="8"/>
              <w:suppressLineNumbers w:val="0"/>
              <w:bidi w:val="0"/>
              <w:spacing w:before="0" w:beforeAutospacing="0" w:after="0" w:afterAutospacing="0"/>
              <w:ind w:left="0" w:right="0"/>
              <w:rPr>
                <w:rFonts w:hint="default"/>
                <w:highlight w:val="none"/>
                <w:lang w:val="zh-CN" w:eastAsia="zh-CN"/>
              </w:rPr>
            </w:pPr>
            <w:r>
              <w:rPr>
                <w:rFonts w:hint="default"/>
                <w:highlight w:val="none"/>
                <w:lang w:val="zh-CN" w:eastAsia="zh-CN"/>
              </w:rPr>
              <w:t>防渗要求</w:t>
            </w:r>
          </w:p>
        </w:tc>
        <w:tc>
          <w:tcPr>
            <w:tcW w:w="3546" w:type="dxa"/>
            <w:vAlign w:val="center"/>
          </w:tcPr>
          <w:p w14:paraId="6D0ACB1D">
            <w:pPr>
              <w:pStyle w:val="8"/>
              <w:suppressLineNumbers w:val="0"/>
              <w:bidi w:val="0"/>
              <w:spacing w:before="0" w:beforeAutospacing="0" w:after="0" w:afterAutospacing="0"/>
              <w:ind w:left="0" w:right="0"/>
              <w:rPr>
                <w:rFonts w:hint="default"/>
                <w:highlight w:val="none"/>
                <w:lang w:val="zh-CN" w:eastAsia="zh-CN"/>
              </w:rPr>
            </w:pPr>
            <w:r>
              <w:rPr>
                <w:rFonts w:hint="default"/>
                <w:highlight w:val="none"/>
                <w:lang w:val="zh-CN" w:eastAsia="zh-CN"/>
              </w:rPr>
              <w:t>防腐防渗措施</w:t>
            </w:r>
          </w:p>
        </w:tc>
        <w:tc>
          <w:tcPr>
            <w:tcW w:w="830" w:type="dxa"/>
            <w:vAlign w:val="center"/>
          </w:tcPr>
          <w:p w14:paraId="467436F9">
            <w:pPr>
              <w:pStyle w:val="8"/>
              <w:suppressLineNumbers w:val="0"/>
              <w:bidi w:val="0"/>
              <w:spacing w:before="0" w:beforeAutospacing="0" w:after="0" w:afterAutospacing="0"/>
              <w:ind w:left="0" w:right="0"/>
              <w:rPr>
                <w:rFonts w:hint="default"/>
                <w:highlight w:val="none"/>
                <w:lang w:val="zh-CN" w:eastAsia="zh-CN"/>
              </w:rPr>
            </w:pPr>
            <w:r>
              <w:rPr>
                <w:rFonts w:hint="default"/>
                <w:highlight w:val="none"/>
                <w:lang w:val="zh-CN" w:eastAsia="zh-CN"/>
              </w:rPr>
              <w:t>备注</w:t>
            </w:r>
          </w:p>
        </w:tc>
      </w:tr>
      <w:tr w14:paraId="517ED5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891" w:type="dxa"/>
            <w:vAlign w:val="center"/>
          </w:tcPr>
          <w:p w14:paraId="05746B11">
            <w:pPr>
              <w:pStyle w:val="8"/>
              <w:suppressLineNumbers w:val="0"/>
              <w:bidi w:val="0"/>
              <w:spacing w:before="0" w:beforeAutospacing="0" w:after="0" w:afterAutospacing="0"/>
              <w:ind w:left="0" w:right="0"/>
              <w:rPr>
                <w:rFonts w:hint="default"/>
                <w:highlight w:val="none"/>
                <w:lang w:val="zh-CN" w:eastAsia="zh-CN"/>
              </w:rPr>
            </w:pPr>
            <w:r>
              <w:rPr>
                <w:rFonts w:hint="default"/>
                <w:highlight w:val="none"/>
                <w:lang w:val="zh-CN" w:eastAsia="zh-CN"/>
              </w:rPr>
              <w:t>重点防渗区</w:t>
            </w:r>
          </w:p>
        </w:tc>
        <w:tc>
          <w:tcPr>
            <w:tcW w:w="900" w:type="dxa"/>
            <w:vAlign w:val="center"/>
          </w:tcPr>
          <w:p w14:paraId="6905F22C">
            <w:pPr>
              <w:pStyle w:val="8"/>
              <w:suppressLineNumbers w:val="0"/>
              <w:bidi w:val="0"/>
              <w:spacing w:before="0" w:beforeAutospacing="0" w:after="0" w:afterAutospacing="0"/>
              <w:ind w:left="0" w:right="0"/>
              <w:rPr>
                <w:rFonts w:hint="default"/>
                <w:highlight w:val="none"/>
                <w:lang w:val="zh-CN" w:eastAsia="zh-CN"/>
              </w:rPr>
            </w:pPr>
            <w:r>
              <w:rPr>
                <w:rFonts w:hint="default"/>
                <w:highlight w:val="none"/>
                <w:lang w:val="zh-CN" w:eastAsia="zh-CN"/>
              </w:rPr>
              <w:t>持久性有机污染物</w:t>
            </w:r>
          </w:p>
        </w:tc>
        <w:tc>
          <w:tcPr>
            <w:tcW w:w="1239" w:type="dxa"/>
            <w:vAlign w:val="center"/>
          </w:tcPr>
          <w:p w14:paraId="6872CE30">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生产车间、危险废物贮存库</w:t>
            </w:r>
          </w:p>
        </w:tc>
        <w:tc>
          <w:tcPr>
            <w:tcW w:w="1050" w:type="dxa"/>
            <w:vAlign w:val="center"/>
          </w:tcPr>
          <w:p w14:paraId="6D75E07F">
            <w:pPr>
              <w:pStyle w:val="8"/>
              <w:suppressLineNumbers w:val="0"/>
              <w:bidi w:val="0"/>
              <w:spacing w:before="0" w:beforeAutospacing="0" w:after="0" w:afterAutospacing="0"/>
              <w:ind w:left="0" w:right="0"/>
              <w:rPr>
                <w:rFonts w:hint="default"/>
                <w:highlight w:val="none"/>
                <w:lang w:val="zh-CN" w:eastAsia="zh-CN"/>
              </w:rPr>
            </w:pPr>
            <w:r>
              <w:rPr>
                <w:rFonts w:hint="default"/>
                <w:highlight w:val="none"/>
                <w:lang w:val="zh-CN" w:eastAsia="zh-CN"/>
              </w:rPr>
              <w:t>渗透系数K≤1.0×10</w:t>
            </w:r>
            <w:r>
              <w:rPr>
                <w:rFonts w:hint="default"/>
                <w:highlight w:val="none"/>
                <w:vertAlign w:val="superscript"/>
                <w:lang w:val="zh-CN" w:eastAsia="zh-CN"/>
              </w:rPr>
              <w:t>-10</w:t>
            </w:r>
            <w:r>
              <w:rPr>
                <w:rFonts w:hint="default"/>
                <w:highlight w:val="none"/>
                <w:lang w:val="zh-CN" w:eastAsia="zh-CN"/>
              </w:rPr>
              <w:t>cm/s</w:t>
            </w:r>
          </w:p>
        </w:tc>
        <w:tc>
          <w:tcPr>
            <w:tcW w:w="3546" w:type="dxa"/>
            <w:vAlign w:val="center"/>
          </w:tcPr>
          <w:p w14:paraId="53C9BC96">
            <w:pPr>
              <w:pStyle w:val="8"/>
              <w:suppressLineNumbers w:val="0"/>
              <w:bidi w:val="0"/>
              <w:spacing w:before="0" w:beforeAutospacing="0" w:after="0" w:afterAutospacing="0"/>
              <w:ind w:left="0" w:right="0"/>
              <w:rPr>
                <w:rFonts w:hint="default"/>
                <w:highlight w:val="none"/>
                <w:lang w:val="zh-CN" w:eastAsia="zh-CN"/>
              </w:rPr>
            </w:pPr>
            <w:r>
              <w:rPr>
                <w:rFonts w:hint="default"/>
                <w:highlight w:val="none"/>
              </w:rPr>
              <w:t>基底层压实（压实度不小于93%）+PE防渗膜</w:t>
            </w:r>
            <w:r>
              <w:rPr>
                <w:rFonts w:hint="eastAsia"/>
                <w:highlight w:val="none"/>
                <w:lang w:eastAsia="zh-CN"/>
              </w:rPr>
              <w:t>（</w:t>
            </w:r>
            <w:r>
              <w:rPr>
                <w:rFonts w:hint="default"/>
                <w:highlight w:val="none"/>
              </w:rPr>
              <w:t>厚2.0mm）+土工布+抗渗混凝土层。</w:t>
            </w:r>
            <w:r>
              <w:rPr>
                <w:rFonts w:hint="default"/>
                <w:highlight w:val="none"/>
                <w:lang w:eastAsia="zh-CN"/>
              </w:rPr>
              <w:t>等效黏土Mb≥6m，</w:t>
            </w:r>
            <w:r>
              <w:rPr>
                <w:rFonts w:hint="default"/>
                <w:highlight w:val="none"/>
              </w:rPr>
              <w:t>渗透系数K≤1.0×10</w:t>
            </w:r>
            <w:r>
              <w:rPr>
                <w:rFonts w:hint="default"/>
                <w:highlight w:val="none"/>
                <w:vertAlign w:val="superscript"/>
              </w:rPr>
              <w:t>-10</w:t>
            </w:r>
            <w:r>
              <w:rPr>
                <w:rFonts w:hint="default"/>
                <w:highlight w:val="none"/>
              </w:rPr>
              <w:t>cm/s的防渗性能</w:t>
            </w:r>
          </w:p>
        </w:tc>
        <w:tc>
          <w:tcPr>
            <w:tcW w:w="830" w:type="dxa"/>
            <w:vAlign w:val="center"/>
          </w:tcPr>
          <w:p w14:paraId="153BA883">
            <w:pPr>
              <w:pStyle w:val="8"/>
              <w:suppressLineNumbers w:val="0"/>
              <w:bidi w:val="0"/>
              <w:spacing w:before="0" w:beforeAutospacing="0" w:after="0" w:afterAutospacing="0"/>
              <w:ind w:left="0" w:right="0"/>
              <w:rPr>
                <w:rFonts w:hint="default"/>
                <w:highlight w:val="none"/>
                <w:lang w:eastAsia="zh-CN"/>
              </w:rPr>
            </w:pPr>
            <w:r>
              <w:rPr>
                <w:rFonts w:hint="eastAsia"/>
                <w:highlight w:val="none"/>
                <w:lang w:val="en-US" w:eastAsia="zh-CN"/>
              </w:rPr>
              <w:t>新建</w:t>
            </w:r>
          </w:p>
        </w:tc>
      </w:tr>
    </w:tbl>
    <w:p w14:paraId="5F87556C">
      <w:pPr>
        <w:pStyle w:val="6"/>
        <w:bidi w:val="0"/>
        <w:rPr>
          <w:highlight w:val="none"/>
        </w:rPr>
      </w:pPr>
      <w:r>
        <w:rPr>
          <w:highlight w:val="none"/>
        </w:rPr>
        <w:t>6.2.3.3地下水污染监控系统</w:t>
      </w:r>
    </w:p>
    <w:p w14:paraId="6DD6266C">
      <w:pPr>
        <w:bidi w:val="0"/>
        <w:rPr>
          <w:highlight w:val="none"/>
        </w:rPr>
      </w:pPr>
      <w:bookmarkStart w:id="389" w:name="_Toc26843"/>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监测</w:t>
      </w:r>
      <w:r>
        <w:rPr>
          <w:rFonts w:hint="eastAsia"/>
          <w:highlight w:val="none"/>
          <w:lang w:val="en-US" w:eastAsia="zh-CN"/>
        </w:rPr>
        <w:t>点</w:t>
      </w:r>
      <w:r>
        <w:rPr>
          <w:highlight w:val="none"/>
        </w:rPr>
        <w:t>布设</w:t>
      </w:r>
      <w:bookmarkEnd w:id="389"/>
    </w:p>
    <w:p w14:paraId="47E485EB">
      <w:pPr>
        <w:bidi w:val="0"/>
        <w:rPr>
          <w:highlight w:val="none"/>
        </w:rPr>
      </w:pPr>
      <w:r>
        <w:rPr>
          <w:highlight w:val="none"/>
        </w:rPr>
        <w:t>评价建议建立区域地下水监控，其主要内容包括监测点位与监测项目、监测频次与监测因子、监测设备与监测人员等</w:t>
      </w:r>
      <w:r>
        <w:rPr>
          <w:rFonts w:hint="eastAsia"/>
          <w:highlight w:val="none"/>
        </w:rPr>
        <w:t>。</w:t>
      </w:r>
      <w:r>
        <w:rPr>
          <w:rFonts w:hint="default" w:ascii="Times New Roman" w:hAnsi="Times New Roman" w:eastAsia="宋体" w:cs="Times New Roman"/>
          <w:highlight w:val="none"/>
        </w:rPr>
        <w:t>根据《环境影响评价技术导则地下水环境》（HJ610-2016）11.</w:t>
      </w:r>
      <w:r>
        <w:rPr>
          <w:rFonts w:hint="eastAsia" w:cs="Times New Roman"/>
          <w:highlight w:val="none"/>
          <w:lang w:val="en-US" w:eastAsia="zh-CN"/>
        </w:rPr>
        <w:t>3</w:t>
      </w:r>
      <w:r>
        <w:rPr>
          <w:rFonts w:hint="default" w:ascii="Times New Roman" w:hAnsi="Times New Roman" w:eastAsia="宋体" w:cs="Times New Roman"/>
          <w:highlight w:val="none"/>
        </w:rPr>
        <w:t>.2.1条的要求</w:t>
      </w:r>
      <w:r>
        <w:rPr>
          <w:rFonts w:hint="eastAsia" w:cs="Times New Roman"/>
          <w:highlight w:val="none"/>
          <w:lang w:eastAsia="zh-CN"/>
        </w:rPr>
        <w:t>，</w:t>
      </w:r>
      <w:r>
        <w:rPr>
          <w:rFonts w:hint="eastAsia" w:cs="Times New Roman"/>
          <w:highlight w:val="none"/>
          <w:lang w:val="en-US" w:eastAsia="zh-CN"/>
        </w:rPr>
        <w:t>本项目应设立不少于三个监测点。</w:t>
      </w:r>
      <w:r>
        <w:rPr>
          <w:rFonts w:hint="eastAsia"/>
          <w:highlight w:val="none"/>
          <w:lang w:val="en-US" w:eastAsia="zh-CN"/>
        </w:rPr>
        <w:t>厂区</w:t>
      </w:r>
      <w:r>
        <w:rPr>
          <w:rFonts w:hAnsiTheme="minorEastAsia" w:eastAsiaTheme="minorEastAsia"/>
          <w:bCs/>
          <w:sz w:val="24"/>
          <w:highlight w:val="none"/>
        </w:rPr>
        <w:t>现有地下水跟踪监测井</w:t>
      </w:r>
      <w:r>
        <w:rPr>
          <w:rFonts w:hint="eastAsia" w:hAnsiTheme="minorEastAsia" w:eastAsiaTheme="minorEastAsia"/>
          <w:bCs/>
          <w:sz w:val="24"/>
          <w:highlight w:val="none"/>
          <w:lang w:val="en-US" w:eastAsia="zh-CN"/>
        </w:rPr>
        <w:t>1</w:t>
      </w:r>
      <w:r>
        <w:rPr>
          <w:rFonts w:hint="eastAsia" w:hAnsiTheme="minorEastAsia" w:eastAsiaTheme="minorEastAsia"/>
          <w:bCs/>
          <w:sz w:val="24"/>
          <w:highlight w:val="none"/>
        </w:rPr>
        <w:t>眼</w:t>
      </w:r>
      <w:r>
        <w:rPr>
          <w:rFonts w:hint="eastAsia"/>
          <w:highlight w:val="none"/>
        </w:rPr>
        <w:t>，</w:t>
      </w:r>
      <w:r>
        <w:rPr>
          <w:rFonts w:hint="eastAsia" w:hAnsiTheme="minorEastAsia" w:eastAsiaTheme="minorEastAsia"/>
          <w:bCs/>
          <w:sz w:val="24"/>
          <w:highlight w:val="none"/>
        </w:rPr>
        <w:t>1#监测井位于</w:t>
      </w:r>
      <w:r>
        <w:rPr>
          <w:rFonts w:hint="eastAsia" w:hAnsiTheme="minorEastAsia" w:eastAsiaTheme="minorEastAsia"/>
          <w:bCs/>
          <w:sz w:val="24"/>
          <w:highlight w:val="none"/>
          <w:lang w:val="en-US" w:eastAsia="zh-CN"/>
        </w:rPr>
        <w:t>危险废物贮存库</w:t>
      </w:r>
      <w:r>
        <w:rPr>
          <w:rFonts w:hint="eastAsia" w:hAnsiTheme="minorEastAsia" w:eastAsiaTheme="minorEastAsia"/>
          <w:bCs/>
          <w:sz w:val="24"/>
          <w:highlight w:val="none"/>
        </w:rPr>
        <w:t>地下水流向下游</w:t>
      </w:r>
      <w:r>
        <w:rPr>
          <w:rFonts w:hint="eastAsia"/>
          <w:highlight w:val="none"/>
        </w:rPr>
        <w:t>，</w:t>
      </w:r>
      <w:r>
        <w:rPr>
          <w:rFonts w:hint="eastAsia"/>
          <w:highlight w:val="none"/>
          <w:lang w:val="en-US" w:eastAsia="zh-CN"/>
        </w:rPr>
        <w:t>本项目建成后涉及危险废物贮存，</w:t>
      </w:r>
      <w:r>
        <w:rPr>
          <w:rFonts w:hint="eastAsia"/>
          <w:highlight w:val="none"/>
        </w:rPr>
        <w:t>因此依托</w:t>
      </w:r>
      <w:r>
        <w:rPr>
          <w:highlight w:val="none"/>
        </w:rPr>
        <w:t>可行</w:t>
      </w:r>
      <w:r>
        <w:rPr>
          <w:rFonts w:hint="eastAsia"/>
          <w:highlight w:val="none"/>
          <w:lang w:eastAsia="zh-CN"/>
        </w:rPr>
        <w:t>；</w:t>
      </w:r>
      <w:r>
        <w:rPr>
          <w:rFonts w:hint="eastAsia"/>
          <w:highlight w:val="none"/>
          <w:lang w:val="en-US" w:eastAsia="zh-CN"/>
        </w:rPr>
        <w:t>需新增3眼监测井，位于重点污染风险源处：含油金属屑处理车间地下水流向下游及厂区上游、厂区下游。</w:t>
      </w:r>
      <w:r>
        <w:rPr>
          <w:highlight w:val="none"/>
        </w:rPr>
        <w:t>跟踪监测布点计划见</w:t>
      </w:r>
      <w:r>
        <w:rPr>
          <w:rFonts w:hint="eastAsia"/>
          <w:highlight w:val="none"/>
          <w:lang w:val="en-US" w:eastAsia="zh-CN"/>
        </w:rPr>
        <w:t>下表</w:t>
      </w:r>
      <w:r>
        <w:rPr>
          <w:highlight w:val="none"/>
        </w:rPr>
        <w:t>，监测点布图见下图。</w:t>
      </w:r>
    </w:p>
    <w:p w14:paraId="4BB8811D">
      <w:pPr>
        <w:pStyle w:val="7"/>
        <w:bidi w:val="0"/>
        <w:rPr>
          <w:rFonts w:hint="eastAsia"/>
          <w:highlight w:val="none"/>
          <w:lang w:eastAsia="zh-CN"/>
        </w:rPr>
      </w:pPr>
      <w:r>
        <w:rPr>
          <w:highlight w:val="none"/>
        </w:rPr>
        <w:t>表6-2-</w:t>
      </w:r>
      <w:r>
        <w:rPr>
          <w:rFonts w:hint="eastAsia"/>
          <w:highlight w:val="none"/>
          <w:lang w:val="en-US" w:eastAsia="zh-CN"/>
        </w:rPr>
        <w:t>2</w:t>
      </w:r>
      <w:r>
        <w:rPr>
          <w:highlight w:val="none"/>
        </w:rPr>
        <w:t>地下水环境监测</w:t>
      </w:r>
      <w:r>
        <w:rPr>
          <w:rFonts w:hint="eastAsia"/>
          <w:highlight w:val="none"/>
          <w:lang w:val="en-US" w:eastAsia="zh-CN"/>
        </w:rPr>
        <w:t>计划</w:t>
      </w:r>
    </w:p>
    <w:tbl>
      <w:tblPr>
        <w:tblStyle w:val="4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6954"/>
      </w:tblGrid>
      <w:tr w14:paraId="7BF89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vAlign w:val="center"/>
          </w:tcPr>
          <w:p w14:paraId="248CED11">
            <w:pPr>
              <w:pStyle w:val="8"/>
              <w:suppressLineNumbers w:val="0"/>
              <w:bidi w:val="0"/>
              <w:spacing w:before="0" w:beforeAutospacing="0" w:after="0" w:afterAutospacing="0"/>
              <w:ind w:left="0" w:right="0"/>
              <w:rPr>
                <w:rFonts w:hint="default"/>
                <w:highlight w:val="none"/>
              </w:rPr>
            </w:pPr>
            <w:r>
              <w:rPr>
                <w:rFonts w:hint="default"/>
                <w:highlight w:val="none"/>
              </w:rPr>
              <w:t>监测项目</w:t>
            </w:r>
          </w:p>
        </w:tc>
        <w:tc>
          <w:tcPr>
            <w:tcW w:w="6954" w:type="dxa"/>
            <w:vAlign w:val="center"/>
          </w:tcPr>
          <w:p w14:paraId="6A0300E0">
            <w:pPr>
              <w:pStyle w:val="8"/>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石油类</w:t>
            </w:r>
          </w:p>
        </w:tc>
      </w:tr>
      <w:tr w14:paraId="6E751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vAlign w:val="center"/>
          </w:tcPr>
          <w:p w14:paraId="2357FFFF">
            <w:pPr>
              <w:pStyle w:val="8"/>
              <w:suppressLineNumbers w:val="0"/>
              <w:bidi w:val="0"/>
              <w:spacing w:before="0" w:beforeAutospacing="0" w:after="0" w:afterAutospacing="0"/>
              <w:ind w:left="0" w:right="0"/>
              <w:rPr>
                <w:rFonts w:hint="default"/>
                <w:highlight w:val="none"/>
              </w:rPr>
            </w:pPr>
            <w:r>
              <w:rPr>
                <w:rFonts w:hint="default"/>
                <w:highlight w:val="none"/>
              </w:rPr>
              <w:t>监测频率</w:t>
            </w:r>
          </w:p>
        </w:tc>
        <w:tc>
          <w:tcPr>
            <w:tcW w:w="6954" w:type="dxa"/>
            <w:vAlign w:val="center"/>
          </w:tcPr>
          <w:p w14:paraId="1B748F02">
            <w:pPr>
              <w:pStyle w:val="8"/>
              <w:suppressLineNumbers w:val="0"/>
              <w:bidi w:val="0"/>
              <w:spacing w:before="0" w:beforeAutospacing="0" w:after="0" w:afterAutospacing="0"/>
              <w:ind w:left="0" w:right="0"/>
              <w:rPr>
                <w:rFonts w:hint="eastAsia" w:eastAsia="宋体"/>
                <w:highlight w:val="none"/>
                <w:lang w:eastAsia="zh-CN"/>
              </w:rPr>
            </w:pPr>
            <w:r>
              <w:rPr>
                <w:rFonts w:hint="default"/>
                <w:highlight w:val="none"/>
              </w:rPr>
              <w:t>1次/</w:t>
            </w:r>
            <w:r>
              <w:rPr>
                <w:rFonts w:hint="eastAsia"/>
                <w:highlight w:val="none"/>
                <w:lang w:val="en-US" w:eastAsia="zh-CN"/>
              </w:rPr>
              <w:t>季</w:t>
            </w:r>
          </w:p>
        </w:tc>
      </w:tr>
      <w:tr w14:paraId="47B91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vAlign w:val="center"/>
          </w:tcPr>
          <w:p w14:paraId="1C608A52">
            <w:pPr>
              <w:pStyle w:val="8"/>
              <w:suppressLineNumbers w:val="0"/>
              <w:bidi w:val="0"/>
              <w:spacing w:before="0" w:beforeAutospacing="0" w:after="0" w:afterAutospacing="0"/>
              <w:ind w:left="0" w:right="0"/>
              <w:rPr>
                <w:rFonts w:hint="default"/>
                <w:highlight w:val="none"/>
              </w:rPr>
            </w:pPr>
            <w:r>
              <w:rPr>
                <w:rFonts w:hint="default"/>
                <w:highlight w:val="none"/>
              </w:rPr>
              <w:t>监测方式</w:t>
            </w:r>
          </w:p>
        </w:tc>
        <w:tc>
          <w:tcPr>
            <w:tcW w:w="6954" w:type="dxa"/>
            <w:vAlign w:val="center"/>
          </w:tcPr>
          <w:p w14:paraId="25BA4F98">
            <w:pPr>
              <w:pStyle w:val="8"/>
              <w:suppressLineNumbers w:val="0"/>
              <w:bidi w:val="0"/>
              <w:spacing w:before="0" w:beforeAutospacing="0" w:after="0" w:afterAutospacing="0"/>
              <w:ind w:left="0" w:right="0"/>
              <w:rPr>
                <w:rFonts w:hint="default"/>
                <w:highlight w:val="none"/>
              </w:rPr>
            </w:pPr>
            <w:r>
              <w:rPr>
                <w:rFonts w:hint="default"/>
                <w:highlight w:val="none"/>
              </w:rPr>
              <w:t>委托有监测资质单位监测</w:t>
            </w:r>
          </w:p>
        </w:tc>
      </w:tr>
      <w:tr w14:paraId="09812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vAlign w:val="center"/>
          </w:tcPr>
          <w:p w14:paraId="3E4CCD5C">
            <w:pPr>
              <w:pStyle w:val="8"/>
              <w:suppressLineNumbers w:val="0"/>
              <w:bidi w:val="0"/>
              <w:spacing w:before="0" w:beforeAutospacing="0" w:after="0" w:afterAutospacing="0"/>
              <w:ind w:left="0" w:right="0"/>
              <w:rPr>
                <w:rFonts w:hint="default"/>
                <w:highlight w:val="none"/>
              </w:rPr>
            </w:pPr>
            <w:r>
              <w:rPr>
                <w:rFonts w:hint="default"/>
                <w:highlight w:val="none"/>
              </w:rPr>
              <w:t>监测点位</w:t>
            </w:r>
          </w:p>
        </w:tc>
        <w:tc>
          <w:tcPr>
            <w:tcW w:w="6954" w:type="dxa"/>
            <w:vAlign w:val="center"/>
          </w:tcPr>
          <w:p w14:paraId="138683B0">
            <w:pPr>
              <w:pStyle w:val="8"/>
              <w:suppressLineNumbers w:val="0"/>
              <w:bidi w:val="0"/>
              <w:spacing w:before="0" w:beforeAutospacing="0" w:after="0" w:afterAutospacing="0"/>
              <w:ind w:left="0" w:right="0"/>
              <w:rPr>
                <w:rFonts w:hint="default"/>
                <w:highlight w:val="none"/>
              </w:rPr>
            </w:pPr>
            <w:r>
              <w:rPr>
                <w:rFonts w:hint="eastAsia"/>
                <w:highlight w:val="none"/>
                <w:lang w:val="en-US" w:eastAsia="zh-CN"/>
              </w:rPr>
              <w:t>3</w:t>
            </w:r>
            <w:r>
              <w:rPr>
                <w:rFonts w:hint="default"/>
                <w:highlight w:val="none"/>
              </w:rPr>
              <w:t>口监测井</w:t>
            </w:r>
          </w:p>
          <w:p w14:paraId="0DA166CB">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危险废物贮存库</w:t>
            </w:r>
            <w:r>
              <w:rPr>
                <w:rFonts w:hint="eastAsia"/>
                <w:highlight w:val="none"/>
              </w:rPr>
              <w:t>地下</w:t>
            </w:r>
            <w:r>
              <w:rPr>
                <w:rFonts w:hint="eastAsia"/>
                <w:highlight w:val="none"/>
                <w:lang w:val="en-US" w:eastAsia="zh-CN"/>
              </w:rPr>
              <w:t>水流向下游3#：</w:t>
            </w:r>
            <w:r>
              <w:rPr>
                <w:rFonts w:hint="default"/>
                <w:highlight w:val="none"/>
                <w:lang w:val="en-US" w:eastAsia="zh-CN"/>
              </w:rPr>
              <w:t>126.658667913,45.607290354</w:t>
            </w:r>
            <w:r>
              <w:rPr>
                <w:rFonts w:hint="eastAsia"/>
                <w:highlight w:val="none"/>
                <w:lang w:val="en-US" w:eastAsia="zh-CN"/>
              </w:rPr>
              <w:t>；</w:t>
            </w:r>
          </w:p>
          <w:p w14:paraId="3E690A34">
            <w:pPr>
              <w:pStyle w:val="8"/>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下游污染扩散监测点2#：126.660148492,45.611646262；</w:t>
            </w:r>
          </w:p>
          <w:p w14:paraId="0C62402F">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厂区地下水流向上游1#：126.658957587，45.601835856。</w:t>
            </w:r>
          </w:p>
        </w:tc>
      </w:tr>
      <w:tr w14:paraId="1DBA9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vAlign w:val="center"/>
          </w:tcPr>
          <w:p w14:paraId="1B882FCF">
            <w:pPr>
              <w:pStyle w:val="8"/>
              <w:suppressLineNumbers w:val="0"/>
              <w:bidi w:val="0"/>
              <w:spacing w:before="0" w:beforeAutospacing="0" w:after="0" w:afterAutospacing="0"/>
              <w:ind w:left="0" w:right="0"/>
              <w:rPr>
                <w:rFonts w:hint="default"/>
                <w:highlight w:val="none"/>
              </w:rPr>
            </w:pPr>
            <w:r>
              <w:rPr>
                <w:rFonts w:hint="default"/>
                <w:highlight w:val="none"/>
              </w:rPr>
              <w:t>监测层位</w:t>
            </w:r>
          </w:p>
        </w:tc>
        <w:tc>
          <w:tcPr>
            <w:tcW w:w="6954" w:type="dxa"/>
            <w:vAlign w:val="center"/>
          </w:tcPr>
          <w:p w14:paraId="774C717F">
            <w:pPr>
              <w:pStyle w:val="8"/>
              <w:suppressLineNumbers w:val="0"/>
              <w:bidi w:val="0"/>
              <w:spacing w:before="0" w:beforeAutospacing="0" w:after="0" w:afterAutospacing="0"/>
              <w:ind w:left="0" w:right="0"/>
              <w:rPr>
                <w:rFonts w:hint="default"/>
                <w:highlight w:val="none"/>
              </w:rPr>
            </w:pPr>
            <w:r>
              <w:rPr>
                <w:rFonts w:hint="eastAsia"/>
                <w:highlight w:val="none"/>
                <w:lang w:val="en-US" w:eastAsia="zh-CN"/>
              </w:rPr>
              <w:t>承压</w:t>
            </w:r>
            <w:r>
              <w:rPr>
                <w:rFonts w:hint="default"/>
                <w:highlight w:val="none"/>
              </w:rPr>
              <w:t>水层，井深</w:t>
            </w:r>
            <w:r>
              <w:rPr>
                <w:rFonts w:hint="eastAsia"/>
                <w:highlight w:val="none"/>
                <w:lang w:val="en-US" w:eastAsia="zh-CN"/>
              </w:rPr>
              <w:t>7</w:t>
            </w:r>
            <w:r>
              <w:rPr>
                <w:rFonts w:hint="default"/>
                <w:highlight w:val="none"/>
              </w:rPr>
              <w:t>0m</w:t>
            </w:r>
          </w:p>
        </w:tc>
      </w:tr>
    </w:tbl>
    <w:p w14:paraId="12DFF79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highlight w:val="none"/>
        </w:rPr>
      </w:pPr>
      <w:r>
        <w:rPr>
          <w:sz w:val="21"/>
          <w:highlight w:val="none"/>
        </w:rPr>
        <mc:AlternateContent>
          <mc:Choice Requires="wps">
            <w:drawing>
              <wp:anchor distT="0" distB="0" distL="114300" distR="114300" simplePos="0" relativeHeight="251671552" behindDoc="0" locked="0" layoutInCell="1" allowOverlap="1">
                <wp:simplePos x="0" y="0"/>
                <wp:positionH relativeFrom="column">
                  <wp:posOffset>167005</wp:posOffset>
                </wp:positionH>
                <wp:positionV relativeFrom="paragraph">
                  <wp:posOffset>3032760</wp:posOffset>
                </wp:positionV>
                <wp:extent cx="75565" cy="75565"/>
                <wp:effectExtent l="5080" t="5080" r="14605" b="14605"/>
                <wp:wrapNone/>
                <wp:docPr id="325" name="椭圆 353"/>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椭圆 353" o:spid="_x0000_s1026" o:spt="3" type="#_x0000_t3" style="position:absolute;left:0pt;margin-left:13.15pt;margin-top:238.8pt;height:5.95pt;width:5.95pt;z-index:251671552;mso-width-relative:page;mso-height-relative:page;" fillcolor="#FF0000" filled="t" stroked="t" coordsize="21600,21600" o:gfxdata="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GcYS2AAAAAkBAAAPAAAAAAAAAAEAIAAAACIAAABkcnMvZG93bnJldi54bWxQ&#10;SwECFAAUAAAACACHTuJAPMsfhvcBAAAiBAAADgAAAAAAAAABACAAAAAnAQAAZHJzL2Uyb0RvYy54&#10;bWxQSwUGAAAAAAYABgBZAQAAkAUAAAAA&#10;">
                <v:fill on="t" focussize="0,0"/>
                <v:stroke color="#FF0000" joinstyle="miter"/>
                <v:imagedata o:title=""/>
                <o:lock v:ext="edit" aspectratio="f"/>
              </v:shape>
            </w:pict>
          </mc:Fallback>
        </mc:AlternateContent>
      </w:r>
      <w:r>
        <w:rPr>
          <w:sz w:val="21"/>
          <w:highlight w:val="none"/>
        </w:rPr>
        <mc:AlternateContent>
          <mc:Choice Requires="wps">
            <w:drawing>
              <wp:anchor distT="0" distB="0" distL="114300" distR="114300" simplePos="0" relativeHeight="251668480" behindDoc="0" locked="0" layoutInCell="1" allowOverlap="1">
                <wp:simplePos x="0" y="0"/>
                <wp:positionH relativeFrom="column">
                  <wp:posOffset>26035</wp:posOffset>
                </wp:positionH>
                <wp:positionV relativeFrom="paragraph">
                  <wp:posOffset>2759710</wp:posOffset>
                </wp:positionV>
                <wp:extent cx="1628775" cy="523875"/>
                <wp:effectExtent l="4445" t="4445" r="5080" b="5080"/>
                <wp:wrapNone/>
                <wp:docPr id="322" name="文本框 352"/>
                <wp:cNvGraphicFramePr/>
                <a:graphic xmlns:a="http://schemas.openxmlformats.org/drawingml/2006/main">
                  <a:graphicData uri="http://schemas.microsoft.com/office/word/2010/wordprocessingShape">
                    <wps:wsp>
                      <wps:cNvSpPr txBox="1"/>
                      <wps:spPr>
                        <a:xfrm>
                          <a:off x="0" y="0"/>
                          <a:ext cx="1628775"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662B35">
                            <w:pPr>
                              <w:pStyle w:val="8"/>
                              <w:bidi w:val="0"/>
                              <w:rPr>
                                <w:rFonts w:hint="eastAsia"/>
                                <w:lang w:val="en-US" w:eastAsia="zh-CN"/>
                              </w:rPr>
                            </w:pPr>
                            <w:r>
                              <w:rPr>
                                <w:rFonts w:hint="eastAsia"/>
                                <w:lang w:val="en-US" w:eastAsia="zh-CN"/>
                              </w:rPr>
                              <w:t>图例</w:t>
                            </w:r>
                          </w:p>
                          <w:p w14:paraId="1FAAB2E9">
                            <w:pPr>
                              <w:pStyle w:val="8"/>
                              <w:bidi w:val="0"/>
                              <w:rPr>
                                <w:rFonts w:hint="default"/>
                                <w:lang w:val="en-US" w:eastAsia="zh-CN"/>
                              </w:rPr>
                            </w:pPr>
                            <w:r>
                              <w:rPr>
                                <w:rFonts w:hint="eastAsia"/>
                                <w:lang w:val="en-US" w:eastAsia="zh-CN"/>
                              </w:rPr>
                              <w:t>地下水跟踪监测井</w:t>
                            </w:r>
                          </w:p>
                        </w:txbxContent>
                      </wps:txbx>
                      <wps:bodyPr upright="1"/>
                    </wps:wsp>
                  </a:graphicData>
                </a:graphic>
              </wp:anchor>
            </w:drawing>
          </mc:Choice>
          <mc:Fallback>
            <w:pict>
              <v:shape id="文本框 352" o:spid="_x0000_s1026" o:spt="202" type="#_x0000_t202" style="position:absolute;left:0pt;margin-left:2.05pt;margin-top:217.3pt;height:41.25pt;width:128.25pt;z-index:251668480;mso-width-relative:page;mso-height-relative:page;" fillcolor="#FFFFFF" filled="t" stroked="t" coordsize="21600,21600" o:gfxdata="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5F56NgAAAAJAQAADwAAAAAAAAABACAA&#10;AAAiAAAAZHJzL2Rvd25yZXYueG1sUEsBAhQAFAAAAAgAh07iQPTDFnMNAgAAOgQAAA4AAAAAAAAA&#10;AQAgAAAAJwEAAGRycy9lMm9Eb2MueG1sUEsFBgAAAAAGAAYAWQEAAKYFAAAAAA==&#10;">
                <v:fill on="t" focussize="0,0"/>
                <v:stroke color="#000000" joinstyle="miter"/>
                <v:imagedata o:title=""/>
                <o:lock v:ext="edit" aspectratio="f"/>
                <v:textbox>
                  <w:txbxContent>
                    <w:p w14:paraId="22662B35">
                      <w:pPr>
                        <w:pStyle w:val="8"/>
                        <w:bidi w:val="0"/>
                        <w:rPr>
                          <w:rFonts w:hint="eastAsia"/>
                          <w:lang w:val="en-US" w:eastAsia="zh-CN"/>
                        </w:rPr>
                      </w:pPr>
                      <w:r>
                        <w:rPr>
                          <w:rFonts w:hint="eastAsia"/>
                          <w:lang w:val="en-US" w:eastAsia="zh-CN"/>
                        </w:rPr>
                        <w:t>图例</w:t>
                      </w:r>
                    </w:p>
                    <w:p w14:paraId="1FAAB2E9">
                      <w:pPr>
                        <w:pStyle w:val="8"/>
                        <w:bidi w:val="0"/>
                        <w:rPr>
                          <w:rFonts w:hint="default"/>
                          <w:lang w:val="en-US" w:eastAsia="zh-CN"/>
                        </w:rPr>
                      </w:pPr>
                      <w:r>
                        <w:rPr>
                          <w:rFonts w:hint="eastAsia"/>
                          <w:lang w:val="en-US" w:eastAsia="zh-CN"/>
                        </w:rPr>
                        <w:t>地下水跟踪监测井</w:t>
                      </w:r>
                    </w:p>
                  </w:txbxContent>
                </v:textbox>
              </v:shape>
            </w:pict>
          </mc:Fallback>
        </mc:AlternateContent>
      </w:r>
      <w:r>
        <w:rPr>
          <w:sz w:val="21"/>
          <w:highlight w:val="none"/>
        </w:rPr>
        <mc:AlternateContent>
          <mc:Choice Requires="wps">
            <w:drawing>
              <wp:anchor distT="0" distB="0" distL="114300" distR="114300" simplePos="0" relativeHeight="251674624" behindDoc="0" locked="0" layoutInCell="1" allowOverlap="1">
                <wp:simplePos x="0" y="0"/>
                <wp:positionH relativeFrom="column">
                  <wp:posOffset>1799590</wp:posOffset>
                </wp:positionH>
                <wp:positionV relativeFrom="paragraph">
                  <wp:posOffset>1265555</wp:posOffset>
                </wp:positionV>
                <wp:extent cx="476885" cy="266700"/>
                <wp:effectExtent l="0" t="0" r="0" b="0"/>
                <wp:wrapNone/>
                <wp:docPr id="328" name="文本框 356"/>
                <wp:cNvGraphicFramePr/>
                <a:graphic xmlns:a="http://schemas.openxmlformats.org/drawingml/2006/main">
                  <a:graphicData uri="http://schemas.microsoft.com/office/word/2010/wordprocessingShape">
                    <wps:wsp>
                      <wps:cNvSpPr txBox="1"/>
                      <wps:spPr>
                        <a:xfrm>
                          <a:off x="0" y="0"/>
                          <a:ext cx="476885" cy="266700"/>
                        </a:xfrm>
                        <a:prstGeom prst="rect">
                          <a:avLst/>
                        </a:prstGeom>
                        <a:noFill/>
                        <a:ln>
                          <a:noFill/>
                        </a:ln>
                      </wps:spPr>
                      <wps:txbx>
                        <w:txbxContent>
                          <w:p w14:paraId="156457D3">
                            <w:pPr>
                              <w:pStyle w:val="8"/>
                              <w:bidi w:val="0"/>
                              <w:rPr>
                                <w:rFonts w:hint="default"/>
                                <w:b/>
                                <w:bCs/>
                                <w:color w:val="FF0000"/>
                                <w:lang w:val="en-US" w:eastAsia="zh-CN"/>
                              </w:rPr>
                            </w:pPr>
                            <w:r>
                              <w:rPr>
                                <w:rFonts w:hint="eastAsia"/>
                                <w:b/>
                                <w:bCs/>
                                <w:color w:val="FF0000"/>
                                <w:lang w:val="en-US" w:eastAsia="zh-CN"/>
                              </w:rPr>
                              <w:t>2#</w:t>
                            </w:r>
                          </w:p>
                        </w:txbxContent>
                      </wps:txbx>
                      <wps:bodyPr upright="1"/>
                    </wps:wsp>
                  </a:graphicData>
                </a:graphic>
              </wp:anchor>
            </w:drawing>
          </mc:Choice>
          <mc:Fallback>
            <w:pict>
              <v:shape id="文本框 356" o:spid="_x0000_s1026" o:spt="202" type="#_x0000_t202" style="position:absolute;left:0pt;margin-left:141.7pt;margin-top:99.65pt;height:21pt;width:37.55pt;z-index:251674624;mso-width-relative:page;mso-height-relative:page;" filled="f" stroked="f" coordsize="21600,21600" o:gfxdata="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403&#10;TtcAAAALAQAADwAAAAAAAAABACAAAAAiAAAAZHJzL2Rvd25yZXYueG1sUEsBAhQAFAAAAAgAh07i&#10;QNTnRs6xAQAAUQMAAA4AAAAAAAAAAQAgAAAAJgEAAGRycy9lMm9Eb2MueG1sUEsFBgAAAAAGAAYA&#10;WQEAAEkFAAAAAA==&#10;">
                <v:fill on="f" focussize="0,0"/>
                <v:stroke on="f"/>
                <v:imagedata o:title=""/>
                <o:lock v:ext="edit" aspectratio="f"/>
                <v:textbox>
                  <w:txbxContent>
                    <w:p w14:paraId="156457D3">
                      <w:pPr>
                        <w:pStyle w:val="8"/>
                        <w:bidi w:val="0"/>
                        <w:rPr>
                          <w:rFonts w:hint="default"/>
                          <w:b/>
                          <w:bCs/>
                          <w:color w:val="FF0000"/>
                          <w:lang w:val="en-US" w:eastAsia="zh-CN"/>
                        </w:rPr>
                      </w:pPr>
                      <w:r>
                        <w:rPr>
                          <w:rFonts w:hint="eastAsia"/>
                          <w:b/>
                          <w:bCs/>
                          <w:color w:val="FF0000"/>
                          <w:lang w:val="en-US" w:eastAsia="zh-CN"/>
                        </w:rPr>
                        <w:t>2#</w:t>
                      </w:r>
                    </w:p>
                  </w:txbxContent>
                </v:textbox>
              </v:shape>
            </w:pict>
          </mc:Fallback>
        </mc:AlternateContent>
      </w:r>
      <w:r>
        <w:rPr>
          <w:sz w:val="21"/>
          <w:highlight w:val="none"/>
        </w:rPr>
        <mc:AlternateContent>
          <mc:Choice Requires="wps">
            <w:drawing>
              <wp:anchor distT="0" distB="0" distL="114300" distR="114300" simplePos="0" relativeHeight="251673600" behindDoc="0" locked="0" layoutInCell="1" allowOverlap="1">
                <wp:simplePos x="0" y="0"/>
                <wp:positionH relativeFrom="column">
                  <wp:posOffset>1962785</wp:posOffset>
                </wp:positionH>
                <wp:positionV relativeFrom="paragraph">
                  <wp:posOffset>1727835</wp:posOffset>
                </wp:positionV>
                <wp:extent cx="429260" cy="351790"/>
                <wp:effectExtent l="0" t="0" r="0" b="0"/>
                <wp:wrapNone/>
                <wp:docPr id="327" name="文本框 355"/>
                <wp:cNvGraphicFramePr/>
                <a:graphic xmlns:a="http://schemas.openxmlformats.org/drawingml/2006/main">
                  <a:graphicData uri="http://schemas.microsoft.com/office/word/2010/wordprocessingShape">
                    <wps:wsp>
                      <wps:cNvSpPr txBox="1"/>
                      <wps:spPr>
                        <a:xfrm>
                          <a:off x="0" y="0"/>
                          <a:ext cx="429260" cy="351790"/>
                        </a:xfrm>
                        <a:prstGeom prst="rect">
                          <a:avLst/>
                        </a:prstGeom>
                        <a:noFill/>
                        <a:ln>
                          <a:noFill/>
                        </a:ln>
                      </wps:spPr>
                      <wps:txbx>
                        <w:txbxContent>
                          <w:p w14:paraId="3B6D0968">
                            <w:pPr>
                              <w:pStyle w:val="8"/>
                              <w:bidi w:val="0"/>
                              <w:rPr>
                                <w:rFonts w:hint="default"/>
                                <w:b/>
                                <w:bCs/>
                                <w:color w:val="FF0000"/>
                                <w:lang w:val="en-US" w:eastAsia="zh-CN"/>
                              </w:rPr>
                            </w:pPr>
                            <w:r>
                              <w:rPr>
                                <w:rFonts w:hint="eastAsia"/>
                                <w:b/>
                                <w:bCs/>
                                <w:color w:val="FF0000"/>
                                <w:lang w:val="en-US" w:eastAsia="zh-CN"/>
                              </w:rPr>
                              <w:t>3#</w:t>
                            </w:r>
                          </w:p>
                        </w:txbxContent>
                      </wps:txbx>
                      <wps:bodyPr upright="1"/>
                    </wps:wsp>
                  </a:graphicData>
                </a:graphic>
              </wp:anchor>
            </w:drawing>
          </mc:Choice>
          <mc:Fallback>
            <w:pict>
              <v:shape id="文本框 355" o:spid="_x0000_s1026" o:spt="202" type="#_x0000_t202" style="position:absolute;left:0pt;margin-left:154.55pt;margin-top:136.05pt;height:27.7pt;width:33.8pt;z-index:251673600;mso-width-relative:page;mso-height-relative:page;" filled="f" stroked="f" coordsize="21600,21600" o:gfxdata="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Ck&#10;ElDYAAAACwEAAA8AAAAAAAAAAQAgAAAAIgAAAGRycy9kb3ducmV2LnhtbFBLAQIUABQAAAAIAIdO&#10;4kASCcPesQEAAFEDAAAOAAAAAAAAAAEAIAAAACcBAABkcnMvZTJvRG9jLnhtbFBLBQYAAAAABgAG&#10;AFkBAABKBQAAAAA=&#10;">
                <v:fill on="f" focussize="0,0"/>
                <v:stroke on="f"/>
                <v:imagedata o:title=""/>
                <o:lock v:ext="edit" aspectratio="f"/>
                <v:textbox>
                  <w:txbxContent>
                    <w:p w14:paraId="3B6D0968">
                      <w:pPr>
                        <w:pStyle w:val="8"/>
                        <w:bidi w:val="0"/>
                        <w:rPr>
                          <w:rFonts w:hint="default"/>
                          <w:b/>
                          <w:bCs/>
                          <w:color w:val="FF0000"/>
                          <w:lang w:val="en-US" w:eastAsia="zh-CN"/>
                        </w:rPr>
                      </w:pPr>
                      <w:r>
                        <w:rPr>
                          <w:rFonts w:hint="eastAsia"/>
                          <w:b/>
                          <w:bCs/>
                          <w:color w:val="FF0000"/>
                          <w:lang w:val="en-US" w:eastAsia="zh-CN"/>
                        </w:rPr>
                        <w:t>3#</w:t>
                      </w:r>
                    </w:p>
                  </w:txbxContent>
                </v:textbox>
              </v:shape>
            </w:pict>
          </mc:Fallback>
        </mc:AlternateContent>
      </w:r>
      <w:r>
        <w:rPr>
          <w:sz w:val="21"/>
          <w:highlight w:val="none"/>
        </w:rPr>
        <mc:AlternateContent>
          <mc:Choice Requires="wps">
            <w:drawing>
              <wp:anchor distT="0" distB="0" distL="114300" distR="114300" simplePos="0" relativeHeight="251669504" behindDoc="0" locked="0" layoutInCell="1" allowOverlap="1">
                <wp:simplePos x="0" y="0"/>
                <wp:positionH relativeFrom="column">
                  <wp:posOffset>1993900</wp:posOffset>
                </wp:positionH>
                <wp:positionV relativeFrom="paragraph">
                  <wp:posOffset>1813560</wp:posOffset>
                </wp:positionV>
                <wp:extent cx="75565" cy="75565"/>
                <wp:effectExtent l="5080" t="5080" r="14605" b="14605"/>
                <wp:wrapNone/>
                <wp:docPr id="323" name="椭圆 357"/>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椭圆 357" o:spid="_x0000_s1026" o:spt="3" type="#_x0000_t3" style="position:absolute;left:0pt;margin-left:157pt;margin-top:142.8pt;height:5.95pt;width:5.95pt;z-index:251669504;mso-width-relative:page;mso-height-relative:page;" fillcolor="#FF0000" filled="t" stroked="t" coordsize="21600,21600" o:gfxdata="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vDz72gAAAAsBAAAPAAAAAAAAAAEAIAAAACIAAABkcnMvZG93bnJldi54&#10;bWxQSwECFAAUAAAACACHTuJAO9KHEvgBAAAiBAAADgAAAAAAAAABACAAAAApAQAAZHJzL2Uyb0Rv&#10;Yy54bWxQSwUGAAAAAAYABgBZAQAAkwUAAAAA&#10;">
                <v:fill on="t" focussize="0,0"/>
                <v:stroke color="#FF0000" joinstyle="miter"/>
                <v:imagedata o:title=""/>
                <o:lock v:ext="edit" aspectratio="f"/>
              </v:shape>
            </w:pict>
          </mc:Fallback>
        </mc:AlternateContent>
      </w:r>
      <w:r>
        <w:rPr>
          <w:sz w:val="21"/>
          <w:highlight w:val="none"/>
        </w:rPr>
        <mc:AlternateContent>
          <mc:Choice Requires="wps">
            <w:drawing>
              <wp:anchor distT="0" distB="0" distL="114300" distR="114300" simplePos="0" relativeHeight="251670528" behindDoc="0" locked="0" layoutInCell="1" allowOverlap="1">
                <wp:simplePos x="0" y="0"/>
                <wp:positionH relativeFrom="column">
                  <wp:posOffset>2126615</wp:posOffset>
                </wp:positionH>
                <wp:positionV relativeFrom="paragraph">
                  <wp:posOffset>1395095</wp:posOffset>
                </wp:positionV>
                <wp:extent cx="75565" cy="75565"/>
                <wp:effectExtent l="5080" t="5080" r="14605" b="14605"/>
                <wp:wrapNone/>
                <wp:docPr id="324" name="椭圆 351"/>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椭圆 351" o:spid="_x0000_s1026" o:spt="3" type="#_x0000_t3" style="position:absolute;left:0pt;margin-left:167.45pt;margin-top:109.85pt;height:5.95pt;width:5.95pt;z-index:251670528;mso-width-relative:page;mso-height-relative:page;" fillcolor="#FF0000" filled="t" stroked="t" coordsize="21600,21600" o:gfxdata="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at90fZAAAACwEAAA8AAAAAAAAAAQAgAAAAIgAAAGRycy9kb3ducmV2Lnht&#10;bFBLAQIUABQAAAAIAIdO4kDRuquO+AEAACIEAAAOAAAAAAAAAAEAIAAAACgBAABkcnMvZTJvRG9j&#10;LnhtbFBLBQYAAAAABgAGAFkBAACSBQAAAAA=&#10;">
                <v:fill on="t" focussize="0,0"/>
                <v:stroke color="#FF0000" joinstyle="miter"/>
                <v:imagedata o:title=""/>
                <o:lock v:ext="edit" aspectratio="f"/>
              </v:shape>
            </w:pict>
          </mc:Fallback>
        </mc:AlternateContent>
      </w: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2425700</wp:posOffset>
                </wp:positionH>
                <wp:positionV relativeFrom="paragraph">
                  <wp:posOffset>2131060</wp:posOffset>
                </wp:positionV>
                <wp:extent cx="75565" cy="75565"/>
                <wp:effectExtent l="5080" t="5080" r="14605" b="14605"/>
                <wp:wrapNone/>
                <wp:docPr id="316" name="椭圆 309"/>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椭圆 309" o:spid="_x0000_s1026" o:spt="3" type="#_x0000_t3" style="position:absolute;left:0pt;margin-left:191pt;margin-top:167.8pt;height:5.95pt;width:5.95pt;z-index:251666432;mso-width-relative:page;mso-height-relative:page;" fillcolor="#FF0000" filled="t" stroked="t" coordsize="21600,21600" o:gfxdata="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fVX2vZAAAACwEAAA8AAAAAAAAAAQAgAAAAIgAAAGRycy9kb3ducmV2Lnht&#10;bFBLAQIUABQAAAAIAIdO4kAbIHd4+AEAACIEAAAOAAAAAAAAAAEAIAAAACgBAABkcnMvZTJvRG9j&#10;LnhtbFBLBQYAAAAABgAGAFkBAACSBQAAAAA=&#10;">
                <v:fill on="t" focussize="0,0"/>
                <v:stroke color="#FF0000" joinstyle="miter"/>
                <v:imagedata o:title=""/>
                <o:lock v:ext="edit" aspectratio="f"/>
              </v:shape>
            </w:pict>
          </mc:Fallback>
        </mc:AlternateContent>
      </w:r>
      <w:r>
        <w:rPr>
          <w:sz w:val="21"/>
          <w:highlight w:val="none"/>
        </w:rPr>
        <mc:AlternateContent>
          <mc:Choice Requires="wps">
            <w:drawing>
              <wp:anchor distT="0" distB="0" distL="114300" distR="114300" simplePos="0" relativeHeight="251672576" behindDoc="0" locked="0" layoutInCell="1" allowOverlap="1">
                <wp:simplePos x="0" y="0"/>
                <wp:positionH relativeFrom="column">
                  <wp:posOffset>2343785</wp:posOffset>
                </wp:positionH>
                <wp:positionV relativeFrom="paragraph">
                  <wp:posOffset>2035810</wp:posOffset>
                </wp:positionV>
                <wp:extent cx="476885" cy="266700"/>
                <wp:effectExtent l="0" t="0" r="0" b="0"/>
                <wp:wrapNone/>
                <wp:docPr id="326" name="文本框 354"/>
                <wp:cNvGraphicFramePr/>
                <a:graphic xmlns:a="http://schemas.openxmlformats.org/drawingml/2006/main">
                  <a:graphicData uri="http://schemas.microsoft.com/office/word/2010/wordprocessingShape">
                    <wps:wsp>
                      <wps:cNvSpPr txBox="1"/>
                      <wps:spPr>
                        <a:xfrm>
                          <a:off x="0" y="0"/>
                          <a:ext cx="476885" cy="266700"/>
                        </a:xfrm>
                        <a:prstGeom prst="rect">
                          <a:avLst/>
                        </a:prstGeom>
                        <a:noFill/>
                        <a:ln>
                          <a:noFill/>
                        </a:ln>
                      </wps:spPr>
                      <wps:txbx>
                        <w:txbxContent>
                          <w:p w14:paraId="3EFEDC5B">
                            <w:pPr>
                              <w:pStyle w:val="8"/>
                              <w:bidi w:val="0"/>
                              <w:rPr>
                                <w:rFonts w:hint="default"/>
                                <w:b/>
                                <w:bCs/>
                                <w:color w:val="FF0000"/>
                                <w:lang w:val="en-US" w:eastAsia="zh-CN"/>
                              </w:rPr>
                            </w:pPr>
                            <w:r>
                              <w:rPr>
                                <w:rFonts w:hint="eastAsia"/>
                                <w:b/>
                                <w:bCs/>
                                <w:color w:val="FF0000"/>
                                <w:lang w:val="en-US" w:eastAsia="zh-CN"/>
                              </w:rPr>
                              <w:t>1#</w:t>
                            </w:r>
                          </w:p>
                        </w:txbxContent>
                      </wps:txbx>
                      <wps:bodyPr upright="1"/>
                    </wps:wsp>
                  </a:graphicData>
                </a:graphic>
              </wp:anchor>
            </w:drawing>
          </mc:Choice>
          <mc:Fallback>
            <w:pict>
              <v:shape id="文本框 354" o:spid="_x0000_s1026" o:spt="202" type="#_x0000_t202" style="position:absolute;left:0pt;margin-left:184.55pt;margin-top:160.3pt;height:21pt;width:37.55pt;z-index:251672576;mso-width-relative:page;mso-height-relative:page;" filled="f" stroked="f" coordsize="21600,21600" o:gfxdata="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r0i&#10;HtcAAAALAQAADwAAAAAAAAABACAAAAAiAAAAZHJzL2Rvd25yZXYueG1sUEsBAhQAFAAAAAgAh07i&#10;QImZCfmxAQAAUQMAAA4AAAAAAAAAAQAgAAAAJgEAAGRycy9lMm9Eb2MueG1sUEsFBgAAAAAGAAYA&#10;WQEAAEkFAAAAAA==&#10;">
                <v:fill on="f" focussize="0,0"/>
                <v:stroke on="f"/>
                <v:imagedata o:title=""/>
                <o:lock v:ext="edit" aspectratio="f"/>
                <v:textbox>
                  <w:txbxContent>
                    <w:p w14:paraId="3EFEDC5B">
                      <w:pPr>
                        <w:pStyle w:val="8"/>
                        <w:bidi w:val="0"/>
                        <w:rPr>
                          <w:rFonts w:hint="default"/>
                          <w:b/>
                          <w:bCs/>
                          <w:color w:val="FF0000"/>
                          <w:lang w:val="en-US" w:eastAsia="zh-CN"/>
                        </w:rPr>
                      </w:pPr>
                      <w:r>
                        <w:rPr>
                          <w:rFonts w:hint="eastAsia"/>
                          <w:b/>
                          <w:bCs/>
                          <w:color w:val="FF0000"/>
                          <w:lang w:val="en-US" w:eastAsia="zh-CN"/>
                        </w:rPr>
                        <w:t>1#</w:t>
                      </w:r>
                    </w:p>
                  </w:txbxContent>
                </v:textbox>
              </v:shape>
            </w:pict>
          </mc:Fallback>
        </mc:AlternateContent>
      </w:r>
      <w:r>
        <w:drawing>
          <wp:inline distT="0" distB="0" distL="114300" distR="114300">
            <wp:extent cx="5272405" cy="3297555"/>
            <wp:effectExtent l="0" t="0" r="4445" b="17145"/>
            <wp:docPr id="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pic:cNvPicPr>
                      <a:picLocks noChangeAspect="1"/>
                    </pic:cNvPicPr>
                  </pic:nvPicPr>
                  <pic:blipFill>
                    <a:blip r:embed="rId61"/>
                    <a:stretch>
                      <a:fillRect/>
                    </a:stretch>
                  </pic:blipFill>
                  <pic:spPr>
                    <a:xfrm>
                      <a:off x="0" y="0"/>
                      <a:ext cx="5272405" cy="3297555"/>
                    </a:xfrm>
                    <a:prstGeom prst="rect">
                      <a:avLst/>
                    </a:prstGeom>
                    <a:noFill/>
                    <a:ln>
                      <a:noFill/>
                    </a:ln>
                  </pic:spPr>
                </pic:pic>
              </a:graphicData>
            </a:graphic>
          </wp:inline>
        </w:drawing>
      </w:r>
      <w:r>
        <w:rPr>
          <w:sz w:val="21"/>
          <w:highlight w:val="none"/>
        </w:rPr>
        <mc:AlternateContent>
          <mc:Choice Requires="wps">
            <w:drawing>
              <wp:anchor distT="0" distB="0" distL="114300" distR="114300" simplePos="0" relativeHeight="251667456" behindDoc="0" locked="0" layoutInCell="1" allowOverlap="1">
                <wp:simplePos x="0" y="0"/>
                <wp:positionH relativeFrom="column">
                  <wp:posOffset>4657090</wp:posOffset>
                </wp:positionH>
                <wp:positionV relativeFrom="paragraph">
                  <wp:posOffset>359410</wp:posOffset>
                </wp:positionV>
                <wp:extent cx="1326515" cy="530860"/>
                <wp:effectExtent l="0" t="0" r="0" b="0"/>
                <wp:wrapNone/>
                <wp:docPr id="320" name="自选图形 306"/>
                <wp:cNvGraphicFramePr/>
                <a:graphic xmlns:a="http://schemas.openxmlformats.org/drawingml/2006/main">
                  <a:graphicData uri="http://schemas.microsoft.com/office/word/2010/wordprocessingShape">
                    <wps:wsp>
                      <wps:cNvSpPr/>
                      <wps:spPr>
                        <a:xfrm>
                          <a:off x="0" y="0"/>
                          <a:ext cx="1326515" cy="530860"/>
                        </a:xfrm>
                        <a:prstGeom prst="wedgeRectCallout">
                          <a:avLst>
                            <a:gd name="adj1" fmla="val -33806"/>
                            <a:gd name="adj2" fmla="val 90380"/>
                          </a:avLst>
                        </a:prstGeom>
                        <a:noFill/>
                        <a:ln>
                          <a:noFill/>
                        </a:ln>
                      </wps:spPr>
                      <wps:txbx>
                        <w:txbxContent>
                          <w:p w14:paraId="34511AF2">
                            <w:pPr>
                              <w:rPr>
                                <w:rFonts w:hint="default" w:eastAsia="宋体"/>
                                <w:color w:val="FF0000"/>
                                <w:sz w:val="28"/>
                                <w:szCs w:val="28"/>
                                <w:lang w:val="en-US" w:eastAsia="zh-CN"/>
                              </w:rPr>
                            </w:pPr>
                            <w:r>
                              <w:rPr>
                                <w:rFonts w:hint="eastAsia"/>
                                <w:color w:val="FF0000"/>
                                <w:sz w:val="28"/>
                                <w:szCs w:val="28"/>
                                <w:lang w:val="en-US" w:eastAsia="zh-CN"/>
                              </w:rPr>
                              <w:t>N</w:t>
                            </w:r>
                          </w:p>
                        </w:txbxContent>
                      </wps:txbx>
                      <wps:bodyPr upright="1"/>
                    </wps:wsp>
                  </a:graphicData>
                </a:graphic>
              </wp:anchor>
            </w:drawing>
          </mc:Choice>
          <mc:Fallback>
            <w:pict>
              <v:shape id="自选图形 306" o:spid="_x0000_s1026" o:spt="61" type="#_x0000_t61" style="position:absolute;left:0pt;margin-left:366.7pt;margin-top:28.3pt;height:41.8pt;width:104.45pt;z-index:251667456;mso-width-relative:page;mso-height-relative:page;" filled="f" stroked="f" coordsize="21600,21600" o:gfxdata="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5ms2g2gAAAAoB&#10;AAAPAAAAAAAAAAEAIAAAACIAAABkcnMvZG93bnJldi54bWxQSwECFAAUAAAACACHTuJAZkgzEeAB&#10;AACpAwAADgAAAAAAAAABACAAAAApAQAAZHJzL2Uyb0RvYy54bWxQSwUGAAAAAAYABgBZAQAAewUA&#10;AAAA&#10;" adj="3498,30322">
                <v:fill on="f" focussize="0,0"/>
                <v:stroke on="f"/>
                <v:imagedata o:title=""/>
                <o:lock v:ext="edit" aspectratio="f"/>
                <v:textbox>
                  <w:txbxContent>
                    <w:p w14:paraId="34511AF2">
                      <w:pPr>
                        <w:rPr>
                          <w:rFonts w:hint="default" w:eastAsia="宋体"/>
                          <w:color w:val="FF0000"/>
                          <w:sz w:val="28"/>
                          <w:szCs w:val="28"/>
                          <w:lang w:val="en-US" w:eastAsia="zh-CN"/>
                        </w:rPr>
                      </w:pPr>
                      <w:r>
                        <w:rPr>
                          <w:rFonts w:hint="eastAsia"/>
                          <w:color w:val="FF0000"/>
                          <w:sz w:val="28"/>
                          <w:szCs w:val="28"/>
                          <w:lang w:val="en-US" w:eastAsia="zh-CN"/>
                        </w:rPr>
                        <w:t>N</w:t>
                      </w:r>
                    </w:p>
                  </w:txbxContent>
                </v:textbox>
              </v:shape>
            </w:pict>
          </mc:Fallback>
        </mc:AlternateContent>
      </w: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5010150</wp:posOffset>
                </wp:positionH>
                <wp:positionV relativeFrom="paragraph">
                  <wp:posOffset>110490</wp:posOffset>
                </wp:positionV>
                <wp:extent cx="6985" cy="714375"/>
                <wp:effectExtent l="140335" t="0" r="138430" b="9525"/>
                <wp:wrapNone/>
                <wp:docPr id="315" name="自选图形 307"/>
                <wp:cNvGraphicFramePr/>
                <a:graphic xmlns:a="http://schemas.openxmlformats.org/drawingml/2006/main">
                  <a:graphicData uri="http://schemas.microsoft.com/office/word/2010/wordprocessingShape">
                    <wps:wsp>
                      <wps:cNvCnPr/>
                      <wps:spPr>
                        <a:xfrm flipH="1" flipV="1">
                          <a:off x="0" y="0"/>
                          <a:ext cx="6985" cy="714375"/>
                        </a:xfrm>
                        <a:prstGeom prst="straightConnector1">
                          <a:avLst/>
                        </a:prstGeom>
                        <a:ln w="63500" cap="flat" cmpd="sng">
                          <a:solidFill>
                            <a:srgbClr val="FF0000"/>
                          </a:solidFill>
                          <a:prstDash val="solid"/>
                          <a:miter/>
                          <a:headEnd type="none" w="med" len="med"/>
                          <a:tailEnd type="arrow" w="med" len="med"/>
                        </a:ln>
                      </wps:spPr>
                      <wps:bodyPr/>
                    </wps:wsp>
                  </a:graphicData>
                </a:graphic>
              </wp:anchor>
            </w:drawing>
          </mc:Choice>
          <mc:Fallback>
            <w:pict>
              <v:shape id="自选图形 307" o:spid="_x0000_s1026" o:spt="32" type="#_x0000_t32" style="position:absolute;left:0pt;flip:x y;margin-left:394.5pt;margin-top:8.7pt;height:56.25pt;width:0.55pt;z-index:251666432;mso-width-relative:page;mso-height-relative:page;" filled="f" stroked="t" coordsize="21600,21600" o:gfxdata="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E/GBi2QAAAAoBAAAPAAAA&#10;AAAAAAEAIAAAACIAAABkcnMvZG93bnJldi54bWxQSwECFAAUAAAACACHTuJAqXDFQxQCAAAJBAAA&#10;DgAAAAAAAAABACAAAAAoAQAAZHJzL2Uyb0RvYy54bWxQSwUGAAAAAAYABgBZAQAArgUAAAAA&#10;">
                <v:fill on="f" focussize="0,0"/>
                <v:stroke weight="5pt" color="#FF0000" joinstyle="miter" endarrow="open"/>
                <v:imagedata o:title=""/>
                <o:lock v:ext="edit" aspectratio="f"/>
              </v:shape>
            </w:pict>
          </mc:Fallback>
        </mc:AlternateContent>
      </w:r>
    </w:p>
    <w:p w14:paraId="293F9460">
      <w:pPr>
        <w:pStyle w:val="7"/>
        <w:bidi w:val="0"/>
        <w:rPr>
          <w:highlight w:val="none"/>
        </w:rPr>
      </w:pPr>
      <w:r>
        <w:rPr>
          <w:rFonts w:hint="eastAsia"/>
          <w:highlight w:val="none"/>
          <w:lang w:val="en-US" w:eastAsia="zh-CN"/>
        </w:rPr>
        <w:t>图6-2-2监测布点图</w:t>
      </w:r>
    </w:p>
    <w:p w14:paraId="328CAFDB">
      <w:pPr>
        <w:bidi w:val="0"/>
        <w:rPr>
          <w:highlight w:val="none"/>
        </w:rPr>
      </w:pPr>
      <w:bookmarkStart w:id="390" w:name="_Toc14125"/>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数据管理</w:t>
      </w:r>
      <w:bookmarkEnd w:id="390"/>
    </w:p>
    <w:p w14:paraId="1DBCBF38">
      <w:pPr>
        <w:bidi w:val="0"/>
        <w:rPr>
          <w:highlight w:val="none"/>
        </w:rPr>
      </w:pPr>
      <w:r>
        <w:rPr>
          <w:highlight w:val="none"/>
        </w:rPr>
        <w:t>建设单位应按照相关规定对监测结果及时建立档案，并按照国家环保部门相关规定定期向相关部门汇报并报备。如发现污染物浓度异常升高，加密监测频次，并分析污染原因，确定泄漏污染源，及时采取应急措施。建设单位应建立完善的质量管理体系，实现</w:t>
      </w:r>
      <w:r>
        <w:rPr>
          <w:rFonts w:hint="eastAsia"/>
          <w:highlight w:val="none"/>
          <w:lang w:eastAsia="zh-CN"/>
        </w:rPr>
        <w:t>“</w:t>
      </w:r>
      <w:r>
        <w:rPr>
          <w:highlight w:val="none"/>
        </w:rPr>
        <w:t>质量、安全、环境</w:t>
      </w:r>
      <w:r>
        <w:rPr>
          <w:rFonts w:hint="eastAsia"/>
          <w:highlight w:val="none"/>
          <w:lang w:eastAsia="zh-CN"/>
        </w:rPr>
        <w:t>”</w:t>
      </w:r>
      <w:r>
        <w:rPr>
          <w:highlight w:val="none"/>
        </w:rPr>
        <w:t>三位一体的全面质量管理目标。设立地下水动态监测小组，负责对地下水环境监测和管理，或者委托专业的资质机构完成。建立有关规章制度和岗位责任制。制定风险预警方案，设立应急设施减少环境污染影响。</w:t>
      </w:r>
    </w:p>
    <w:p w14:paraId="6B236C14">
      <w:pPr>
        <w:bidi w:val="0"/>
        <w:rPr>
          <w:rFonts w:hint="default" w:ascii="Times New Roman" w:hAnsi="Times New Roman" w:cs="Times New Roman"/>
          <w:highlight w:val="none"/>
        </w:rPr>
      </w:pPr>
      <w:r>
        <w:rPr>
          <w:rFonts w:hint="default" w:ascii="Times New Roman" w:hAnsi="Times New Roman" w:cs="Times New Roman"/>
          <w:highlight w:val="none"/>
        </w:rPr>
        <w:t>①管理措施</w:t>
      </w:r>
    </w:p>
    <w:p w14:paraId="4895ECB9">
      <w:pPr>
        <w:bidi w:val="0"/>
        <w:rPr>
          <w:rFonts w:hint="default" w:ascii="Times New Roman" w:hAnsi="Times New Roman" w:cs="Times New Roman"/>
          <w:highlight w:val="none"/>
        </w:rPr>
      </w:pPr>
      <w:r>
        <w:rPr>
          <w:rFonts w:hint="default" w:ascii="Times New Roman" w:hAnsi="Times New Roman" w:cs="Times New Roman"/>
          <w:highlight w:val="none"/>
        </w:rPr>
        <w:t>建设单位应委托具有监测资质的单位负责地下水监测工作，按要求及时分析整理原始资料、监测报告的编写工作。</w:t>
      </w:r>
    </w:p>
    <w:p w14:paraId="1C9F01A8">
      <w:pPr>
        <w:bidi w:val="0"/>
        <w:rPr>
          <w:rFonts w:hint="default" w:ascii="Times New Roman" w:hAnsi="Times New Roman" w:cs="Times New Roman"/>
          <w:highlight w:val="none"/>
        </w:rPr>
      </w:pPr>
      <w:r>
        <w:rPr>
          <w:rFonts w:hint="default" w:ascii="Times New Roman" w:hAnsi="Times New Roman" w:cs="Times New Roman"/>
          <w:highlight w:val="none"/>
        </w:rPr>
        <w:t>建立地下水监测数据信息管理系统，根据实际情况，按事故的性质、类型、影响范围、严重后果分等级制定相应预案。在制定预案时要根据本场环境污染事故潜在威胁的情况，认真细致地考虑各项影响因素，适当的时候组织有关部门、人员进行演练，不断补充完善。</w:t>
      </w:r>
    </w:p>
    <w:p w14:paraId="3E111ACE">
      <w:pPr>
        <w:bidi w:val="0"/>
        <w:rPr>
          <w:rFonts w:hint="default" w:ascii="Times New Roman" w:hAnsi="Times New Roman" w:cs="Times New Roman"/>
          <w:highlight w:val="none"/>
        </w:rPr>
      </w:pPr>
      <w:r>
        <w:rPr>
          <w:rFonts w:hint="default" w:ascii="Times New Roman" w:hAnsi="Times New Roman" w:cs="Times New Roman"/>
          <w:highlight w:val="none"/>
        </w:rPr>
        <w:t>②技术措施</w:t>
      </w:r>
    </w:p>
    <w:p w14:paraId="7485C60E">
      <w:pPr>
        <w:bidi w:val="0"/>
        <w:rPr>
          <w:highlight w:val="none"/>
        </w:rPr>
      </w:pPr>
      <w:r>
        <w:rPr>
          <w:highlight w:val="none"/>
        </w:rPr>
        <w:t>按照《地下水环境监测技术规范》（HJ/T164-20</w:t>
      </w:r>
      <w:r>
        <w:rPr>
          <w:rFonts w:hint="eastAsia"/>
          <w:highlight w:val="none"/>
        </w:rPr>
        <w:t>20</w:t>
      </w:r>
      <w:r>
        <w:rPr>
          <w:highlight w:val="none"/>
        </w:rPr>
        <w:t>）要求，及时上报监测数据和有关表格。</w:t>
      </w:r>
    </w:p>
    <w:p w14:paraId="6129ECFB">
      <w:pPr>
        <w:bidi w:val="0"/>
        <w:rPr>
          <w:highlight w:val="none"/>
        </w:rPr>
      </w:pPr>
      <w:r>
        <w:rPr>
          <w:highlight w:val="none"/>
        </w:rPr>
        <w:t>在日常例行监测中，一旦发现地下水水质监测数据异常，应尽快核查数据，确保数据的正确性。并将核查过的监测数据通告公司安全环保部门，由专人负责对数据进行分析、核实，并密切关注生产设施的运行情况，为防止地下水污染采取措施提供正确的依据。应采取措施如下：</w:t>
      </w:r>
    </w:p>
    <w:p w14:paraId="5C09BA5D">
      <w:pPr>
        <w:bidi w:val="0"/>
        <w:rPr>
          <w:highlight w:val="none"/>
        </w:rPr>
      </w:pPr>
      <w:r>
        <w:rPr>
          <w:highlight w:val="none"/>
        </w:rPr>
        <w:t>了解全场生产是否出现异常情况，出现异常情况的装置、原因。加大监测密度，分析变化动向；周期性地编写地下水动态监测报告；定期对污染区的生产装置进行检查</w:t>
      </w:r>
    </w:p>
    <w:p w14:paraId="1F4CE676">
      <w:pPr>
        <w:bidi w:val="0"/>
        <w:rPr>
          <w:highlight w:val="none"/>
        </w:rPr>
      </w:pPr>
      <w:bookmarkStart w:id="391" w:name="_Toc24534"/>
      <w:r>
        <w:rPr>
          <w:rFonts w:hint="eastAsia"/>
          <w:highlight w:val="none"/>
          <w:lang w:eastAsia="zh-CN"/>
        </w:rPr>
        <w:t>（</w:t>
      </w:r>
      <w:r>
        <w:rPr>
          <w:rFonts w:hint="eastAsia"/>
          <w:highlight w:val="none"/>
          <w:lang w:val="en-US" w:eastAsia="zh-CN"/>
        </w:rPr>
        <w:t>3</w:t>
      </w:r>
      <w:r>
        <w:rPr>
          <w:rFonts w:hint="eastAsia"/>
          <w:highlight w:val="none"/>
          <w:lang w:eastAsia="zh-CN"/>
        </w:rPr>
        <w:t>）</w:t>
      </w:r>
      <w:r>
        <w:rPr>
          <w:highlight w:val="none"/>
        </w:rPr>
        <w:t>信息公开</w:t>
      </w:r>
      <w:bookmarkEnd w:id="391"/>
    </w:p>
    <w:p w14:paraId="1586372F">
      <w:pPr>
        <w:bidi w:val="0"/>
        <w:rPr>
          <w:highlight w:val="none"/>
        </w:rPr>
      </w:pPr>
      <w:r>
        <w:rPr>
          <w:highlight w:val="none"/>
        </w:rPr>
        <w:t>本项目跟踪监测报告编制的主体为项目当地环境保护管理部门，跟踪监测具体实施单位由环境保护管理部门委托具有资质单位负责。</w:t>
      </w:r>
    </w:p>
    <w:p w14:paraId="4654C045">
      <w:pPr>
        <w:bidi w:val="0"/>
        <w:rPr>
          <w:highlight w:val="none"/>
        </w:rPr>
      </w:pPr>
      <w:r>
        <w:rPr>
          <w:highlight w:val="none"/>
        </w:rPr>
        <w:t>本项目设置的环境监测点的地下水环境跟踪监测数据，同时包括项目排放的污染物的种类、数量和浓度。</w:t>
      </w:r>
    </w:p>
    <w:p w14:paraId="0EE0BF0D">
      <w:pPr>
        <w:bidi w:val="0"/>
        <w:rPr>
          <w:highlight w:val="none"/>
        </w:rPr>
      </w:pPr>
      <w:r>
        <w:rPr>
          <w:highlight w:val="none"/>
        </w:rPr>
        <w:t>场区管线、事故应急装置等设施的运行状况、跑冒滴漏记录、维护记录等。</w:t>
      </w:r>
    </w:p>
    <w:p w14:paraId="17E8A594">
      <w:pPr>
        <w:bidi w:val="0"/>
        <w:rPr>
          <w:rFonts w:eastAsiaTheme="minorEastAsia"/>
          <w:highlight w:val="none"/>
        </w:rPr>
      </w:pPr>
      <w:r>
        <w:rPr>
          <w:highlight w:val="none"/>
        </w:rPr>
        <w:t>跟踪监测的信息应在当地环境保护主管部门网站上公开，公开内容主要包含建设项目特征因子的地下水环境监测值。</w:t>
      </w:r>
    </w:p>
    <w:p w14:paraId="770DCB37">
      <w:pPr>
        <w:pStyle w:val="5"/>
        <w:bidi w:val="0"/>
        <w:rPr>
          <w:highlight w:val="none"/>
        </w:rPr>
      </w:pPr>
      <w:bookmarkStart w:id="392" w:name="_Toc31824"/>
      <w:bookmarkStart w:id="393" w:name="_Toc14160"/>
      <w:r>
        <w:rPr>
          <w:highlight w:val="none"/>
        </w:rPr>
        <w:t>6.2.4声环境保护措施及其可行性论证</w:t>
      </w:r>
      <w:bookmarkEnd w:id="392"/>
      <w:bookmarkEnd w:id="393"/>
    </w:p>
    <w:p w14:paraId="420DB880">
      <w:pPr>
        <w:bidi w:val="0"/>
        <w:rPr>
          <w:highlight w:val="none"/>
        </w:rPr>
      </w:pPr>
      <w:r>
        <w:rPr>
          <w:highlight w:val="none"/>
        </w:rPr>
        <w:t>本项目主要噪声源为生产设备产生的机械噪声，拟采取的污染防治措施如下：</w:t>
      </w:r>
    </w:p>
    <w:p w14:paraId="723A68C1">
      <w:pPr>
        <w:bidi w:val="0"/>
        <w:rPr>
          <w:highlight w:val="none"/>
        </w:rPr>
      </w:pPr>
      <w:r>
        <w:rPr>
          <w:highlight w:val="none"/>
        </w:rPr>
        <w:t>（1）各生产设备设于室内。</w:t>
      </w:r>
    </w:p>
    <w:p w14:paraId="76956457">
      <w:pPr>
        <w:bidi w:val="0"/>
        <w:rPr>
          <w:highlight w:val="none"/>
        </w:rPr>
      </w:pPr>
      <w:r>
        <w:rPr>
          <w:highlight w:val="none"/>
        </w:rPr>
        <w:t>（2）在设计和设备采购阶段，充分选用先进的低噪声设备，从声源上降低设备本身噪声。</w:t>
      </w:r>
    </w:p>
    <w:p w14:paraId="68C0BEB8">
      <w:pPr>
        <w:bidi w:val="0"/>
        <w:rPr>
          <w:highlight w:val="none"/>
        </w:rPr>
      </w:pPr>
      <w:r>
        <w:rPr>
          <w:highlight w:val="none"/>
        </w:rPr>
        <w:t>（3）设备配置减振装置。对防振垫、隔声降噪设备应进行定期检查、维修，对不符合要求的应及时更换，防止机械噪声的升高。</w:t>
      </w:r>
    </w:p>
    <w:p w14:paraId="16A042FE">
      <w:pPr>
        <w:bidi w:val="0"/>
        <w:rPr>
          <w:highlight w:val="none"/>
        </w:rPr>
      </w:pPr>
      <w:r>
        <w:rPr>
          <w:highlight w:val="none"/>
        </w:rPr>
        <w:t>（4）加强设备的日常维护，保证设备的正常运行。</w:t>
      </w:r>
    </w:p>
    <w:p w14:paraId="1FB2D85B">
      <w:pPr>
        <w:bidi w:val="0"/>
        <w:rPr>
          <w:highlight w:val="none"/>
        </w:rPr>
      </w:pPr>
      <w:r>
        <w:rPr>
          <w:highlight w:val="none"/>
        </w:rPr>
        <w:t>（5）加强管理，厂区货物运输车辆限速出入厂区，并禁鸣喇叭，同时注意选择合理的运输时间，尽量避免在晚上</w:t>
      </w:r>
      <w:r>
        <w:rPr>
          <w:rFonts w:hint="eastAsia"/>
          <w:highlight w:val="none"/>
          <w:lang w:val="en-US" w:eastAsia="zh-CN"/>
        </w:rPr>
        <w:t>11</w:t>
      </w:r>
      <w:r>
        <w:rPr>
          <w:highlight w:val="none"/>
        </w:rPr>
        <w:t>点以后输送。</w:t>
      </w:r>
    </w:p>
    <w:p w14:paraId="255ECB70">
      <w:pPr>
        <w:pStyle w:val="17"/>
        <w:spacing w:line="360" w:lineRule="auto"/>
        <w:ind w:firstLine="480" w:firstLineChars="200"/>
        <w:rPr>
          <w:highlight w:val="none"/>
        </w:rPr>
      </w:pPr>
      <w:r>
        <w:rPr>
          <w:rFonts w:ascii="Times New Roman" w:cs="Times New Roman" w:hAnsiTheme="minorEastAsia"/>
          <w:color w:val="auto"/>
          <w:highlight w:val="none"/>
        </w:rPr>
        <w:t>本项目采取上述措施后，保证厂界噪声达标排放，拟建项目不会对周边声环境产生明显影响</w:t>
      </w:r>
      <w:r>
        <w:rPr>
          <w:highlight w:val="none"/>
        </w:rPr>
        <w:t>。</w:t>
      </w:r>
    </w:p>
    <w:p w14:paraId="1D0B73B6">
      <w:pPr>
        <w:pStyle w:val="5"/>
        <w:bidi w:val="0"/>
        <w:rPr>
          <w:highlight w:val="none"/>
        </w:rPr>
      </w:pPr>
      <w:bookmarkStart w:id="394" w:name="_Toc15949"/>
      <w:bookmarkStart w:id="395" w:name="_Toc5511"/>
      <w:r>
        <w:rPr>
          <w:highlight w:val="none"/>
        </w:rPr>
        <w:t>6.2.5固体废物环境保护措施及其可行性论证</w:t>
      </w:r>
      <w:bookmarkEnd w:id="394"/>
      <w:bookmarkEnd w:id="395"/>
    </w:p>
    <w:p w14:paraId="3059E79A">
      <w:pPr>
        <w:ind w:firstLine="480"/>
        <w:rPr>
          <w:rFonts w:hint="default" w:ascii="Times New Roman" w:hAnsi="Times New Roman" w:eastAsia="宋体" w:cs="Times New Roman"/>
          <w:highlight w:val="none"/>
        </w:rPr>
      </w:pPr>
      <w:r>
        <w:rPr>
          <w:rFonts w:hint="default"/>
          <w:highlight w:val="none"/>
          <w:lang w:val="en-US" w:eastAsia="zh-CN"/>
        </w:rPr>
        <w:t>生产过程产生的</w:t>
      </w:r>
      <w:r>
        <w:rPr>
          <w:rFonts w:hint="default"/>
          <w:highlight w:val="none"/>
        </w:rPr>
        <w:t>废过滤材料</w:t>
      </w:r>
      <w:r>
        <w:rPr>
          <w:rFonts w:hint="eastAsia"/>
          <w:highlight w:val="none"/>
          <w:lang w:val="en-US" w:eastAsia="zh-CN"/>
        </w:rPr>
        <w:t>密封袋装收集，暂存于危险废物贮存库中，定期委托有资质单位处置处理</w:t>
      </w:r>
      <w:r>
        <w:rPr>
          <w:rFonts w:hint="default"/>
          <w:highlight w:val="none"/>
        </w:rPr>
        <w:t>。废活性炭</w:t>
      </w:r>
      <w:r>
        <w:rPr>
          <w:rFonts w:hint="eastAsia"/>
          <w:highlight w:val="none"/>
          <w:lang w:val="en-US" w:eastAsia="zh-CN"/>
        </w:rPr>
        <w:t>密封袋装收集，暂存于危险废物贮存库中，定期委托有资质单位处置处理</w:t>
      </w:r>
      <w:r>
        <w:rPr>
          <w:rFonts w:hint="default"/>
          <w:highlight w:val="none"/>
        </w:rPr>
        <w:t>。废</w:t>
      </w:r>
      <w:r>
        <w:rPr>
          <w:rFonts w:hint="eastAsia"/>
          <w:highlight w:val="none"/>
          <w:lang w:eastAsia="zh-CN"/>
        </w:rPr>
        <w:t>液</w:t>
      </w:r>
      <w:r>
        <w:rPr>
          <w:rFonts w:hint="eastAsia"/>
          <w:highlight w:val="none"/>
          <w:lang w:val="en-US" w:eastAsia="zh-CN"/>
        </w:rPr>
        <w:t>密封桶装收集，暂存于危险废物贮存库中，</w:t>
      </w:r>
      <w:r>
        <w:rPr>
          <w:rFonts w:hint="default"/>
          <w:highlight w:val="none"/>
        </w:rPr>
        <w:t>定期委托</w:t>
      </w:r>
      <w:r>
        <w:rPr>
          <w:rFonts w:hint="eastAsia"/>
          <w:highlight w:val="none"/>
          <w:lang w:val="en-US" w:eastAsia="zh-CN"/>
        </w:rPr>
        <w:t>有资质单位</w:t>
      </w:r>
      <w:r>
        <w:rPr>
          <w:rFonts w:hint="default"/>
          <w:highlight w:val="none"/>
        </w:rPr>
        <w:t>处理</w:t>
      </w:r>
      <w:r>
        <w:rPr>
          <w:rFonts w:hint="eastAsia"/>
          <w:highlight w:val="none"/>
          <w:lang w:eastAsia="zh-CN"/>
        </w:rPr>
        <w:t>；</w:t>
      </w:r>
      <w:r>
        <w:rPr>
          <w:rFonts w:hint="eastAsia"/>
          <w:highlight w:val="none"/>
          <w:lang w:val="en-US" w:eastAsia="zh-CN"/>
        </w:rPr>
        <w:t>脱油铁屑、铝屑密封袋装收集，暂存于危险废物贮存库中，定期委托有资质单位处置处理；废电解液和电池密封桶装收集，暂存于危险废物贮存库中，</w:t>
      </w:r>
      <w:r>
        <w:rPr>
          <w:rFonts w:hint="default"/>
          <w:highlight w:val="none"/>
        </w:rPr>
        <w:t>定期委托</w:t>
      </w:r>
      <w:r>
        <w:rPr>
          <w:rFonts w:hint="eastAsia"/>
          <w:highlight w:val="none"/>
          <w:lang w:val="en-US" w:eastAsia="zh-CN"/>
        </w:rPr>
        <w:t>有资质单位</w:t>
      </w:r>
      <w:r>
        <w:rPr>
          <w:rFonts w:hint="default"/>
          <w:highlight w:val="none"/>
        </w:rPr>
        <w:t>处理</w:t>
      </w:r>
      <w:r>
        <w:rPr>
          <w:rFonts w:hint="default" w:ascii="Times New Roman" w:hAnsi="Times New Roman" w:eastAsia="宋体" w:cs="Times New Roman"/>
          <w:highlight w:val="none"/>
        </w:rPr>
        <w:t>。</w:t>
      </w:r>
    </w:p>
    <w:p w14:paraId="58C7BA4F">
      <w:pPr>
        <w:bidi w:val="0"/>
        <w:rPr>
          <w:rFonts w:hint="eastAsia"/>
          <w:highlight w:val="none"/>
          <w:lang w:val="en-US" w:eastAsia="zh-CN"/>
        </w:rPr>
      </w:pPr>
      <w:r>
        <w:rPr>
          <w:highlight w:val="none"/>
        </w:rPr>
        <w:t>危险废物运输时由建设单位填写危险废物转移联单，报当地环保局备案，运输时采用符合国家标准的专用容器和运输车辆送。危险废物在</w:t>
      </w:r>
      <w:r>
        <w:rPr>
          <w:rFonts w:hint="eastAsia"/>
          <w:highlight w:val="none"/>
          <w:lang w:eastAsia="zh-CN"/>
        </w:rPr>
        <w:t>危险废物贮存库</w:t>
      </w:r>
      <w:r>
        <w:rPr>
          <w:highlight w:val="none"/>
        </w:rPr>
        <w:t>内临时贮存，定期送有处置资质单位处置</w:t>
      </w:r>
      <w:r>
        <w:rPr>
          <w:rFonts w:hint="eastAsia"/>
          <w:highlight w:val="none"/>
          <w:lang w:eastAsia="zh-CN"/>
        </w:rPr>
        <w:t>；</w:t>
      </w:r>
      <w:r>
        <w:rPr>
          <w:rFonts w:hint="eastAsia"/>
          <w:highlight w:val="none"/>
          <w:lang w:val="en-US" w:eastAsia="zh-CN"/>
        </w:rPr>
        <w:t>本项目未建设完成，废油、废活性炭暂未签订危险废物处置协议，待本项目建成后，将根据要求签订相关协议。</w:t>
      </w:r>
    </w:p>
    <w:p w14:paraId="4563C07A">
      <w:pPr>
        <w:bidi w:val="0"/>
        <w:rPr>
          <w:rFonts w:hint="default" w:ascii="Times New Roman" w:hAnsi="Times New Roman" w:cs="Times New Roman"/>
          <w:spacing w:val="0"/>
          <w:kern w:val="0"/>
          <w:position w:val="0"/>
          <w:sz w:val="24"/>
          <w:highlight w:val="none"/>
          <w:lang w:bidi="ar"/>
        </w:rPr>
      </w:pPr>
      <w:r>
        <w:rPr>
          <w:color w:val="auto"/>
          <w:highlight w:val="none"/>
        </w:rPr>
        <w:t>经过采取以上措施，危险废物处理符合《危险废物贮存污染控制标准》有关要求，对环境影响很小，处理措施可行。</w:t>
      </w:r>
    </w:p>
    <w:p w14:paraId="2B534319">
      <w:pPr>
        <w:bidi w:val="0"/>
        <w:rPr>
          <w:highlight w:val="none"/>
        </w:rPr>
      </w:pPr>
      <w:r>
        <w:rPr>
          <w:rFonts w:hint="eastAsia" w:cs="Times New Roman"/>
          <w:spacing w:val="0"/>
          <w:kern w:val="0"/>
          <w:position w:val="0"/>
          <w:sz w:val="24"/>
          <w:highlight w:val="none"/>
          <w:lang w:val="en-US" w:eastAsia="zh-CN" w:bidi="ar"/>
        </w:rPr>
        <w:t>本项目</w:t>
      </w:r>
      <w:r>
        <w:rPr>
          <w:rFonts w:hint="default" w:ascii="Times New Roman" w:hAnsi="Times New Roman" w:cs="Times New Roman"/>
          <w:spacing w:val="0"/>
          <w:kern w:val="0"/>
          <w:position w:val="0"/>
          <w:sz w:val="24"/>
          <w:highlight w:val="none"/>
          <w:lang w:bidi="ar"/>
        </w:rPr>
        <w:t>属于危险废物处理处置资源化再利用环保型</w:t>
      </w:r>
      <w:r>
        <w:rPr>
          <w:rFonts w:hint="eastAsia" w:cs="Times New Roman"/>
          <w:spacing w:val="0"/>
          <w:kern w:val="0"/>
          <w:position w:val="0"/>
          <w:sz w:val="24"/>
          <w:highlight w:val="none"/>
          <w:lang w:val="en-US" w:eastAsia="zh-CN" w:bidi="ar"/>
        </w:rPr>
        <w:t>生产线</w:t>
      </w:r>
      <w:r>
        <w:rPr>
          <w:rFonts w:hint="default" w:ascii="Times New Roman" w:hAnsi="Times New Roman" w:cs="Times New Roman"/>
          <w:spacing w:val="0"/>
          <w:kern w:val="0"/>
          <w:position w:val="0"/>
          <w:sz w:val="24"/>
          <w:highlight w:val="none"/>
          <w:lang w:bidi="ar"/>
        </w:rPr>
        <w:t>，根据《危险废物污染防治技术政策》（环发〔2001〕199号），危险废物处理处置及资源化再利用的原则是减量化、资源化、无害化，在危险废物资源化利用过程中产生的危险废物应首先考虑回收利用，减少后续处理处置的负荷。回收利用过程应达到国家和地方有关规定的要求，避免二次污染。因此，建设单位固体废物处理处置符合国家《危险废物污染防治技术政策》要求</w:t>
      </w:r>
      <w:r>
        <w:rPr>
          <w:rFonts w:hint="eastAsia"/>
          <w:highlight w:val="none"/>
          <w:lang w:val="zh-CN" w:eastAsia="zh-CN"/>
        </w:rPr>
        <w:t>。</w:t>
      </w:r>
    </w:p>
    <w:p w14:paraId="55D72A6B">
      <w:pPr>
        <w:pStyle w:val="5"/>
        <w:bidi w:val="0"/>
        <w:rPr>
          <w:highlight w:val="none"/>
        </w:rPr>
      </w:pPr>
      <w:bookmarkStart w:id="396" w:name="_Toc8694"/>
      <w:bookmarkStart w:id="397" w:name="_Toc7836"/>
      <w:r>
        <w:rPr>
          <w:highlight w:val="none"/>
        </w:rPr>
        <w:t>6.2.</w:t>
      </w:r>
      <w:r>
        <w:rPr>
          <w:rFonts w:hint="eastAsia"/>
          <w:highlight w:val="none"/>
          <w:lang w:val="en-US" w:eastAsia="zh-CN"/>
        </w:rPr>
        <w:t>6土壤环境保护措施及其可行性论证</w:t>
      </w:r>
      <w:bookmarkEnd w:id="396"/>
      <w:bookmarkEnd w:id="397"/>
    </w:p>
    <w:p w14:paraId="43370DE4">
      <w:pPr>
        <w:bidi w:val="0"/>
        <w:rPr>
          <w:rFonts w:hint="default"/>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default"/>
          <w:highlight w:val="none"/>
        </w:rPr>
        <w:t>源头控制措施</w:t>
      </w:r>
    </w:p>
    <w:p w14:paraId="2523390A">
      <w:pPr>
        <w:bidi w:val="0"/>
        <w:rPr>
          <w:rFonts w:hint="default" w:ascii="Times New Roman" w:hAnsi="Times New Roman" w:cs="Times New Roman"/>
          <w:highlight w:val="none"/>
        </w:rPr>
      </w:pPr>
      <w:r>
        <w:rPr>
          <w:rFonts w:hint="default" w:ascii="Times New Roman" w:hAnsi="Times New Roman" w:cs="Times New Roman"/>
          <w:highlight w:val="none"/>
        </w:rPr>
        <w:t>①建设单位应当有针对性制定土壤污染防治工作方案，并组织实施。</w:t>
      </w:r>
    </w:p>
    <w:p w14:paraId="5168FB87">
      <w:pPr>
        <w:bidi w:val="0"/>
        <w:rPr>
          <w:rFonts w:hint="default"/>
          <w:highlight w:val="none"/>
        </w:rPr>
      </w:pPr>
      <w:r>
        <w:rPr>
          <w:rFonts w:hint="default" w:ascii="Times New Roman" w:hAnsi="Times New Roman" w:cs="Times New Roman"/>
          <w:highlight w:val="none"/>
        </w:rPr>
        <w:t>②建设单位应加强对危险废物产生、转移、贮存和利用处置各个环节的检查，完善“防扬散、防流失、防渗漏”设施。根据建设项目可能泄漏至地面区域污染物的性质和生产单元的</w:t>
      </w:r>
      <w:r>
        <w:rPr>
          <w:rFonts w:hint="default"/>
          <w:highlight w:val="none"/>
        </w:rPr>
        <w:t>构筑方式，严格落实分区防渗措施，从源头阻断土壤污染途径，避免土壤污染事件发生。</w:t>
      </w:r>
    </w:p>
    <w:p w14:paraId="0D29FF53">
      <w:pPr>
        <w:bidi w:val="0"/>
        <w:rPr>
          <w:rFonts w:hint="default"/>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default"/>
          <w:highlight w:val="none"/>
        </w:rPr>
        <w:t>过程防控措施</w:t>
      </w:r>
    </w:p>
    <w:p w14:paraId="2367A8CE">
      <w:pPr>
        <w:bidi w:val="0"/>
        <w:rPr>
          <w:highlight w:val="none"/>
        </w:rPr>
      </w:pPr>
      <w:r>
        <w:rPr>
          <w:rFonts w:hint="eastAsia"/>
          <w:highlight w:val="none"/>
          <w:lang w:val="en-US" w:eastAsia="zh-CN"/>
        </w:rPr>
        <w:t>厂区地面进行了分区防渗，项目机械加工区域、原料储存区、含油金属屑处理车间为重点防渗区；生产区厂房内除重点防渗区以外的其他区域均设置为一般防渗区；厂内除重点防渗区、一般防渗区以外的区域均设置为简单防渗区。可有效防止污染物垂直入渗污染土壤。</w:t>
      </w:r>
    </w:p>
    <w:p w14:paraId="6548AABC">
      <w:pPr>
        <w:bidi w:val="0"/>
        <w:rPr>
          <w:highlight w:val="none"/>
        </w:rPr>
      </w:pPr>
      <w:r>
        <w:rPr>
          <w:rFonts w:hint="eastAsia"/>
          <w:highlight w:val="none"/>
          <w:lang w:val="en-US" w:eastAsia="zh-CN"/>
        </w:rPr>
        <w:t>因此，采取本次环评提出的防治措施前提下，项目生产运营对周边土壤环境影响较小。</w:t>
      </w:r>
    </w:p>
    <w:p w14:paraId="182676E1">
      <w:pPr>
        <w:bidi w:val="0"/>
        <w:rPr>
          <w:rFonts w:hint="default"/>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default"/>
          <w:highlight w:val="none"/>
        </w:rPr>
        <w:t>跟踪监测</w:t>
      </w:r>
    </w:p>
    <w:p w14:paraId="1A0D97BB">
      <w:pPr>
        <w:bidi w:val="0"/>
        <w:rPr>
          <w:rFonts w:hint="default"/>
          <w:highlight w:val="none"/>
        </w:rPr>
      </w:pPr>
      <w:r>
        <w:rPr>
          <w:rFonts w:hint="default"/>
          <w:highlight w:val="none"/>
        </w:rPr>
        <w:t>根据《环境影响评价技术导则土壤环境（试行）》（HJ964—2018）和《工业企业土壤和地下水自行监测技术指南（试行）》（HJ1209—2021）中的相关要求，结合本项目情况，对重点影响区和土壤环境敏感目标的土壤环境定期进行跟踪监测</w:t>
      </w:r>
      <w:r>
        <w:rPr>
          <w:rFonts w:hint="eastAsia"/>
          <w:highlight w:val="none"/>
          <w:lang w:eastAsia="zh-CN"/>
        </w:rPr>
        <w:t>，</w:t>
      </w:r>
      <w:r>
        <w:rPr>
          <w:rFonts w:hint="eastAsia"/>
          <w:highlight w:val="none"/>
          <w:lang w:val="en-US" w:eastAsia="zh-CN"/>
        </w:rPr>
        <w:t>监测频次为3年一次</w:t>
      </w:r>
      <w:r>
        <w:rPr>
          <w:rFonts w:hint="default"/>
          <w:highlight w:val="none"/>
        </w:rPr>
        <w:t>。</w:t>
      </w:r>
      <w:r>
        <w:rPr>
          <w:rFonts w:hint="eastAsia"/>
          <w:highlight w:val="none"/>
          <w:lang w:val="en-US" w:eastAsia="zh-CN"/>
        </w:rPr>
        <w:t>本项目于厂区外生产车间地下水下游设置1个监测点位</w:t>
      </w:r>
      <w:r>
        <w:rPr>
          <w:rFonts w:hint="default"/>
          <w:highlight w:val="none"/>
        </w:rPr>
        <w:t>。</w:t>
      </w:r>
    </w:p>
    <w:p w14:paraId="2B42BDB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highlight w:val="none"/>
        </w:rPr>
      </w:pPr>
      <w:r>
        <w:rPr>
          <w:sz w:val="21"/>
          <w:highlight w:val="none"/>
        </w:rPr>
        <mc:AlternateContent>
          <mc:Choice Requires="wps">
            <w:drawing>
              <wp:anchor distT="0" distB="0" distL="114300" distR="114300" simplePos="0" relativeHeight="251681792" behindDoc="0" locked="0" layoutInCell="1" allowOverlap="1">
                <wp:simplePos x="0" y="0"/>
                <wp:positionH relativeFrom="column">
                  <wp:posOffset>257810</wp:posOffset>
                </wp:positionH>
                <wp:positionV relativeFrom="paragraph">
                  <wp:posOffset>3048000</wp:posOffset>
                </wp:positionV>
                <wp:extent cx="85725" cy="85725"/>
                <wp:effectExtent l="4445" t="4445" r="5080" b="5080"/>
                <wp:wrapNone/>
                <wp:docPr id="397" name="矩形 45"/>
                <wp:cNvGraphicFramePr/>
                <a:graphic xmlns:a="http://schemas.openxmlformats.org/drawingml/2006/main">
                  <a:graphicData uri="http://schemas.microsoft.com/office/word/2010/wordprocessingShape">
                    <wps:wsp>
                      <wps:cNvSpPr/>
                      <wps:spPr>
                        <a:xfrm>
                          <a:off x="0" y="0"/>
                          <a:ext cx="85725" cy="85725"/>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45" o:spid="_x0000_s1026" o:spt="1" style="position:absolute;left:0pt;margin-left:20.3pt;margin-top:240pt;height:6.75pt;width:6.75pt;z-index:251681792;mso-width-relative:page;mso-height-relative:page;" fillcolor="#FF0000" filled="t" stroked="t" coordsize="21600,21600" o:gfxdata="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iSPSNoAAAAJAQAADwAAAAAAAAABACAAAAAiAAAAZHJzL2Rvd25yZXYueG1s&#10;UEsBAhQAFAAAAAgAh07iQCTkw/T2AQAAHgQAAA4AAAAAAAAAAQAgAAAAKQEAAGRycy9lMm9Eb2Mu&#10;eG1sUEsFBgAAAAAGAAYAWQEAAJEFAAAAAA==&#10;">
                <v:fill on="t" focussize="0,0"/>
                <v:stroke color="#FF0000" joinstyle="miter"/>
                <v:imagedata o:title=""/>
                <o:lock v:ext="edit" aspectratio="f"/>
              </v:rect>
            </w:pict>
          </mc:Fallback>
        </mc:AlternateContent>
      </w:r>
      <w:r>
        <w:rPr>
          <w:sz w:val="21"/>
          <w:highlight w:val="none"/>
        </w:rPr>
        <mc:AlternateContent>
          <mc:Choice Requires="wps">
            <w:drawing>
              <wp:anchor distT="0" distB="0" distL="114300" distR="114300" simplePos="0" relativeHeight="251680768" behindDoc="0" locked="0" layoutInCell="1" allowOverlap="1">
                <wp:simplePos x="0" y="0"/>
                <wp:positionH relativeFrom="column">
                  <wp:posOffset>29210</wp:posOffset>
                </wp:positionH>
                <wp:positionV relativeFrom="paragraph">
                  <wp:posOffset>2771140</wp:posOffset>
                </wp:positionV>
                <wp:extent cx="1628775" cy="523875"/>
                <wp:effectExtent l="4445" t="4445" r="5080" b="5080"/>
                <wp:wrapNone/>
                <wp:docPr id="395" name="文本框 28"/>
                <wp:cNvGraphicFramePr/>
                <a:graphic xmlns:a="http://schemas.openxmlformats.org/drawingml/2006/main">
                  <a:graphicData uri="http://schemas.microsoft.com/office/word/2010/wordprocessingShape">
                    <wps:wsp>
                      <wps:cNvSpPr txBox="1"/>
                      <wps:spPr>
                        <a:xfrm>
                          <a:off x="0" y="0"/>
                          <a:ext cx="1628775"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D14B98">
                            <w:pPr>
                              <w:pStyle w:val="8"/>
                              <w:bidi w:val="0"/>
                              <w:rPr>
                                <w:rFonts w:hint="eastAsia"/>
                                <w:lang w:val="en-US" w:eastAsia="zh-CN"/>
                              </w:rPr>
                            </w:pPr>
                            <w:r>
                              <w:rPr>
                                <w:rFonts w:hint="eastAsia"/>
                                <w:lang w:val="en-US" w:eastAsia="zh-CN"/>
                              </w:rPr>
                              <w:t>图例</w:t>
                            </w:r>
                          </w:p>
                          <w:p w14:paraId="399558D0">
                            <w:pPr>
                              <w:pStyle w:val="8"/>
                              <w:bidi w:val="0"/>
                              <w:rPr>
                                <w:rFonts w:hint="default"/>
                                <w:lang w:val="en-US" w:eastAsia="zh-CN"/>
                              </w:rPr>
                            </w:pPr>
                            <w:r>
                              <w:rPr>
                                <w:rFonts w:hint="eastAsia"/>
                                <w:lang w:val="en-US" w:eastAsia="zh-CN"/>
                              </w:rPr>
                              <w:t xml:space="preserve">   土壤跟踪监测点位</w:t>
                            </w:r>
                          </w:p>
                        </w:txbxContent>
                      </wps:txbx>
                      <wps:bodyPr upright="1"/>
                    </wps:wsp>
                  </a:graphicData>
                </a:graphic>
              </wp:anchor>
            </w:drawing>
          </mc:Choice>
          <mc:Fallback>
            <w:pict>
              <v:shape id="文本框 28" o:spid="_x0000_s1026" o:spt="202" type="#_x0000_t202" style="position:absolute;left:0pt;margin-left:2.3pt;margin-top:218.2pt;height:41.25pt;width:128.25pt;z-index:251680768;mso-width-relative:page;mso-height-relative:page;" fillcolor="#FFFFFF" filled="t" stroked="t" coordsize="21600,21600" o:gfxdata="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1Rv92AAAAAkBAAAPAAAAAAAAAAEAIAAA&#10;ACIAAABkcnMvZG93bnJldi54bWxQSwECFAAUAAAACACHTuJAB0PPVQwCAAA5BAAADgAAAAAAAAAB&#10;ACAAAAAnAQAAZHJzL2Uyb0RvYy54bWxQSwUGAAAAAAYABgBZAQAApQUAAAAA&#10;">
                <v:fill on="t" focussize="0,0"/>
                <v:stroke color="#000000" joinstyle="miter"/>
                <v:imagedata o:title=""/>
                <o:lock v:ext="edit" aspectratio="f"/>
                <v:textbox>
                  <w:txbxContent>
                    <w:p w14:paraId="62D14B98">
                      <w:pPr>
                        <w:pStyle w:val="8"/>
                        <w:bidi w:val="0"/>
                        <w:rPr>
                          <w:rFonts w:hint="eastAsia"/>
                          <w:lang w:val="en-US" w:eastAsia="zh-CN"/>
                        </w:rPr>
                      </w:pPr>
                      <w:r>
                        <w:rPr>
                          <w:rFonts w:hint="eastAsia"/>
                          <w:lang w:val="en-US" w:eastAsia="zh-CN"/>
                        </w:rPr>
                        <w:t>图例</w:t>
                      </w:r>
                    </w:p>
                    <w:p w14:paraId="399558D0">
                      <w:pPr>
                        <w:pStyle w:val="8"/>
                        <w:bidi w:val="0"/>
                        <w:rPr>
                          <w:rFonts w:hint="default"/>
                          <w:lang w:val="en-US" w:eastAsia="zh-CN"/>
                        </w:rPr>
                      </w:pPr>
                      <w:r>
                        <w:rPr>
                          <w:rFonts w:hint="eastAsia"/>
                          <w:lang w:val="en-US" w:eastAsia="zh-CN"/>
                        </w:rPr>
                        <w:t xml:space="preserve">   土壤跟踪监测点位</w:t>
                      </w:r>
                    </w:p>
                  </w:txbxContent>
                </v:textbox>
              </v:shape>
            </w:pict>
          </mc:Fallback>
        </mc:AlternateContent>
      </w:r>
      <w:r>
        <w:rPr>
          <w:sz w:val="21"/>
          <w:highlight w:val="none"/>
        </w:rPr>
        <mc:AlternateContent>
          <mc:Choice Requires="wps">
            <w:drawing>
              <wp:anchor distT="0" distB="0" distL="114300" distR="114300" simplePos="0" relativeHeight="251676672" behindDoc="0" locked="0" layoutInCell="1" allowOverlap="1">
                <wp:simplePos x="0" y="0"/>
                <wp:positionH relativeFrom="column">
                  <wp:posOffset>1727835</wp:posOffset>
                </wp:positionH>
                <wp:positionV relativeFrom="paragraph">
                  <wp:posOffset>1153795</wp:posOffset>
                </wp:positionV>
                <wp:extent cx="85725" cy="85725"/>
                <wp:effectExtent l="4445" t="4445" r="5080" b="5080"/>
                <wp:wrapNone/>
                <wp:docPr id="333" name="矩形 32"/>
                <wp:cNvGraphicFramePr/>
                <a:graphic xmlns:a="http://schemas.openxmlformats.org/drawingml/2006/main">
                  <a:graphicData uri="http://schemas.microsoft.com/office/word/2010/wordprocessingShape">
                    <wps:wsp>
                      <wps:cNvSpPr/>
                      <wps:spPr>
                        <a:xfrm>
                          <a:off x="0" y="0"/>
                          <a:ext cx="85725" cy="85725"/>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32" o:spid="_x0000_s1026" o:spt="1" style="position:absolute;left:0pt;margin-left:136.05pt;margin-top:90.85pt;height:6.75pt;width:6.75pt;z-index:251676672;mso-width-relative:page;mso-height-relative:page;" fillcolor="#FF0000" filled="t" stroked="t" coordsize="21600,21600" o:gfxdata="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WGKW/cAAAACwEAAA8AAAAAAAAAAQAgAAAAIgAAAGRycy9kb3ducmV2Lnht&#10;bFBLAQIUABQAAAAIAIdO4kCIhwxZ9QEAAB4EAAAOAAAAAAAAAAEAIAAAACsBAABkcnMvZTJvRG9j&#10;LnhtbFBLBQYAAAAABgAGAFkBAACSBQAAAAA=&#10;">
                <v:fill on="t" focussize="0,0"/>
                <v:stroke color="#FF0000" joinstyle="miter"/>
                <v:imagedata o:title=""/>
                <o:lock v:ext="edit" aspectratio="f"/>
              </v:rect>
            </w:pict>
          </mc:Fallback>
        </mc:AlternateContent>
      </w:r>
      <w:r>
        <w:rPr>
          <w:sz w:val="21"/>
          <w:highlight w:val="none"/>
        </w:rPr>
        <mc:AlternateContent>
          <mc:Choice Requires="wps">
            <w:drawing>
              <wp:anchor distT="0" distB="0" distL="114300" distR="114300" simplePos="0" relativeHeight="251684864" behindDoc="0" locked="0" layoutInCell="1" allowOverlap="1">
                <wp:simplePos x="0" y="0"/>
                <wp:positionH relativeFrom="column">
                  <wp:posOffset>1688465</wp:posOffset>
                </wp:positionH>
                <wp:positionV relativeFrom="paragraph">
                  <wp:posOffset>1129030</wp:posOffset>
                </wp:positionV>
                <wp:extent cx="476885" cy="266700"/>
                <wp:effectExtent l="0" t="0" r="0" b="0"/>
                <wp:wrapNone/>
                <wp:docPr id="19" name="文本框 356"/>
                <wp:cNvGraphicFramePr/>
                <a:graphic xmlns:a="http://schemas.openxmlformats.org/drawingml/2006/main">
                  <a:graphicData uri="http://schemas.microsoft.com/office/word/2010/wordprocessingShape">
                    <wps:wsp>
                      <wps:cNvSpPr txBox="1"/>
                      <wps:spPr>
                        <a:xfrm>
                          <a:off x="0" y="0"/>
                          <a:ext cx="476885" cy="266700"/>
                        </a:xfrm>
                        <a:prstGeom prst="rect">
                          <a:avLst/>
                        </a:prstGeom>
                        <a:noFill/>
                        <a:ln>
                          <a:noFill/>
                        </a:ln>
                      </wps:spPr>
                      <wps:txbx>
                        <w:txbxContent>
                          <w:p w14:paraId="5B618FE6">
                            <w:pPr>
                              <w:pStyle w:val="8"/>
                              <w:bidi w:val="0"/>
                              <w:rPr>
                                <w:rFonts w:hint="default"/>
                                <w:b/>
                                <w:bCs/>
                                <w:color w:val="FF0000"/>
                                <w:lang w:val="en-US" w:eastAsia="zh-CN"/>
                              </w:rPr>
                            </w:pPr>
                            <w:r>
                              <w:rPr>
                                <w:rFonts w:hint="eastAsia"/>
                                <w:b/>
                                <w:bCs/>
                                <w:color w:val="FF0000"/>
                                <w:lang w:val="en-US" w:eastAsia="zh-CN"/>
                              </w:rPr>
                              <w:t>1#</w:t>
                            </w:r>
                          </w:p>
                        </w:txbxContent>
                      </wps:txbx>
                      <wps:bodyPr upright="1"/>
                    </wps:wsp>
                  </a:graphicData>
                </a:graphic>
              </wp:anchor>
            </w:drawing>
          </mc:Choice>
          <mc:Fallback>
            <w:pict>
              <v:shape id="文本框 356" o:spid="_x0000_s1026" o:spt="202" type="#_x0000_t202" style="position:absolute;left:0pt;margin-left:132.95pt;margin-top:88.9pt;height:21pt;width:37.55pt;z-index:251684864;mso-width-relative:page;mso-height-relative:page;" filled="f" stroked="f" coordsize="21600,21600" o:gfxdata="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QN&#10;DOLZAAAACwEAAA8AAAAAAAAAAQAgAAAAIgAAAGRycy9kb3ducmV2LnhtbFBLAQIUABQAAAAIAIdO&#10;4kBhmzhPsAEAAFADAAAOAAAAAAAAAAEAIAAAACgBAABkcnMvZTJvRG9jLnhtbFBLBQYAAAAABgAG&#10;AFkBAABKBQAAAAA=&#10;">
                <v:fill on="f" focussize="0,0"/>
                <v:stroke on="f"/>
                <v:imagedata o:title=""/>
                <o:lock v:ext="edit" aspectratio="f"/>
                <v:textbox>
                  <w:txbxContent>
                    <w:p w14:paraId="5B618FE6">
                      <w:pPr>
                        <w:pStyle w:val="8"/>
                        <w:bidi w:val="0"/>
                        <w:rPr>
                          <w:rFonts w:hint="default"/>
                          <w:b/>
                          <w:bCs/>
                          <w:color w:val="FF0000"/>
                          <w:lang w:val="en-US" w:eastAsia="zh-CN"/>
                        </w:rPr>
                      </w:pPr>
                      <w:r>
                        <w:rPr>
                          <w:rFonts w:hint="eastAsia"/>
                          <w:b/>
                          <w:bCs/>
                          <w:color w:val="FF0000"/>
                          <w:lang w:val="en-US" w:eastAsia="zh-CN"/>
                        </w:rPr>
                        <w:t>1#</w:t>
                      </w:r>
                    </w:p>
                  </w:txbxContent>
                </v:textbox>
              </v:shape>
            </w:pict>
          </mc:Fallback>
        </mc:AlternateContent>
      </w:r>
      <w:r>
        <w:rPr>
          <w:sz w:val="21"/>
          <w:highlight w:val="none"/>
        </w:rPr>
        <mc:AlternateContent>
          <mc:Choice Requires="wps">
            <w:drawing>
              <wp:anchor distT="0" distB="0" distL="114300" distR="114300" simplePos="0" relativeHeight="251678720" behindDoc="0" locked="0" layoutInCell="1" allowOverlap="1">
                <wp:simplePos x="0" y="0"/>
                <wp:positionH relativeFrom="column">
                  <wp:posOffset>4838700</wp:posOffset>
                </wp:positionH>
                <wp:positionV relativeFrom="paragraph">
                  <wp:posOffset>5715</wp:posOffset>
                </wp:positionV>
                <wp:extent cx="6985" cy="714375"/>
                <wp:effectExtent l="140335" t="0" r="138430" b="9525"/>
                <wp:wrapNone/>
                <wp:docPr id="393" name="自选图形 31"/>
                <wp:cNvGraphicFramePr/>
                <a:graphic xmlns:a="http://schemas.openxmlformats.org/drawingml/2006/main">
                  <a:graphicData uri="http://schemas.microsoft.com/office/word/2010/wordprocessingShape">
                    <wps:wsp>
                      <wps:cNvCnPr/>
                      <wps:spPr>
                        <a:xfrm flipH="1" flipV="1">
                          <a:off x="0" y="0"/>
                          <a:ext cx="6985" cy="714375"/>
                        </a:xfrm>
                        <a:prstGeom prst="straightConnector1">
                          <a:avLst/>
                        </a:prstGeom>
                        <a:ln w="63500" cap="flat" cmpd="sng">
                          <a:solidFill>
                            <a:srgbClr val="FF0000"/>
                          </a:solidFill>
                          <a:prstDash val="solid"/>
                          <a:miter/>
                          <a:headEnd type="none" w="med" len="med"/>
                          <a:tailEnd type="arrow" w="med" len="med"/>
                        </a:ln>
                      </wps:spPr>
                      <wps:bodyPr/>
                    </wps:wsp>
                  </a:graphicData>
                </a:graphic>
              </wp:anchor>
            </w:drawing>
          </mc:Choice>
          <mc:Fallback>
            <w:pict>
              <v:shape id="自选图形 31" o:spid="_x0000_s1026" o:spt="32" type="#_x0000_t32" style="position:absolute;left:0pt;flip:x y;margin-left:381pt;margin-top:0.45pt;height:56.25pt;width:0.55pt;z-index:251678720;mso-width-relative:page;mso-height-relative:page;" filled="f" stroked="t" coordsize="21600,21600" o:gfxdata="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7sRmXYAAAACAEAAA8AAAAA&#10;AAAAAQAgAAAAIgAAAGRycy9kb3ducmV2LnhtbFBLAQIUABQAAAAIAIdO4kBGB4t8FAIAAAgEAAAO&#10;AAAAAAAAAAEAIAAAACcBAABkcnMvZTJvRG9jLnhtbFBLBQYAAAAABgAGAFkBAACtBQAAAAA=&#10;">
                <v:fill on="f" focussize="0,0"/>
                <v:stroke weight="5pt" color="#FF0000" joinstyle="miter" endarrow="open"/>
                <v:imagedata o:title=""/>
                <o:lock v:ext="edit" aspectratio="f"/>
              </v:shape>
            </w:pict>
          </mc:Fallback>
        </mc:AlternateContent>
      </w:r>
      <w:r>
        <w:rPr>
          <w:sz w:val="21"/>
          <w:highlight w:val="none"/>
        </w:rPr>
        <mc:AlternateContent>
          <mc:Choice Requires="wps">
            <w:drawing>
              <wp:anchor distT="0" distB="0" distL="114300" distR="114300" simplePos="0" relativeHeight="251679744" behindDoc="0" locked="0" layoutInCell="1" allowOverlap="1">
                <wp:simplePos x="0" y="0"/>
                <wp:positionH relativeFrom="column">
                  <wp:posOffset>4618990</wp:posOffset>
                </wp:positionH>
                <wp:positionV relativeFrom="paragraph">
                  <wp:posOffset>187960</wp:posOffset>
                </wp:positionV>
                <wp:extent cx="1326515" cy="530860"/>
                <wp:effectExtent l="0" t="0" r="0" b="0"/>
                <wp:wrapNone/>
                <wp:docPr id="394" name="自选图形 30"/>
                <wp:cNvGraphicFramePr/>
                <a:graphic xmlns:a="http://schemas.openxmlformats.org/drawingml/2006/main">
                  <a:graphicData uri="http://schemas.microsoft.com/office/word/2010/wordprocessingShape">
                    <wps:wsp>
                      <wps:cNvSpPr/>
                      <wps:spPr>
                        <a:xfrm>
                          <a:off x="0" y="0"/>
                          <a:ext cx="1326515" cy="530860"/>
                        </a:xfrm>
                        <a:prstGeom prst="wedgeRectCallout">
                          <a:avLst>
                            <a:gd name="adj1" fmla="val -33806"/>
                            <a:gd name="adj2" fmla="val 90380"/>
                          </a:avLst>
                        </a:prstGeom>
                        <a:noFill/>
                        <a:ln>
                          <a:noFill/>
                        </a:ln>
                      </wps:spPr>
                      <wps:txbx>
                        <w:txbxContent>
                          <w:p w14:paraId="2068FED9">
                            <w:pPr>
                              <w:rPr>
                                <w:rFonts w:hint="default" w:eastAsia="宋体"/>
                                <w:color w:val="FF0000"/>
                                <w:sz w:val="28"/>
                                <w:szCs w:val="28"/>
                                <w:lang w:val="en-US" w:eastAsia="zh-CN"/>
                              </w:rPr>
                            </w:pPr>
                            <w:r>
                              <w:rPr>
                                <w:rFonts w:hint="eastAsia"/>
                                <w:color w:val="FF0000"/>
                                <w:sz w:val="28"/>
                                <w:szCs w:val="28"/>
                                <w:lang w:val="en-US" w:eastAsia="zh-CN"/>
                              </w:rPr>
                              <w:t>N</w:t>
                            </w:r>
                          </w:p>
                        </w:txbxContent>
                      </wps:txbx>
                      <wps:bodyPr upright="1"/>
                    </wps:wsp>
                  </a:graphicData>
                </a:graphic>
              </wp:anchor>
            </w:drawing>
          </mc:Choice>
          <mc:Fallback>
            <w:pict>
              <v:shape id="自选图形 30" o:spid="_x0000_s1026" o:spt="61" type="#_x0000_t61" style="position:absolute;left:0pt;margin-left:363.7pt;margin-top:14.8pt;height:41.8pt;width:104.45pt;z-index:251679744;mso-width-relative:page;mso-height-relative:page;" filled="f" stroked="f" coordsize="21600,21600" o:gfxdata="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8vSvtoAAAAKAQAA&#10;DwAAAAAAAAABACAAAAAiAAAAZHJzL2Rvd25yZXYueG1sUEsBAhQAFAAAAAgAh07iQBF1TaneAQAA&#10;qAMAAA4AAAAAAAAAAQAgAAAAKQEAAGRycy9lMm9Eb2MueG1sUEsFBgAAAAAGAAYAWQEAAHkFAAAA&#10;AA==&#10;" adj="3498,30322">
                <v:fill on="f" focussize="0,0"/>
                <v:stroke on="f"/>
                <v:imagedata o:title=""/>
                <o:lock v:ext="edit" aspectratio="f"/>
                <v:textbox>
                  <w:txbxContent>
                    <w:p w14:paraId="2068FED9">
                      <w:pPr>
                        <w:rPr>
                          <w:rFonts w:hint="default" w:eastAsia="宋体"/>
                          <w:color w:val="FF0000"/>
                          <w:sz w:val="28"/>
                          <w:szCs w:val="28"/>
                          <w:lang w:val="en-US" w:eastAsia="zh-CN"/>
                        </w:rPr>
                      </w:pPr>
                      <w:r>
                        <w:rPr>
                          <w:rFonts w:hint="eastAsia"/>
                          <w:color w:val="FF0000"/>
                          <w:sz w:val="28"/>
                          <w:szCs w:val="28"/>
                          <w:lang w:val="en-US" w:eastAsia="zh-CN"/>
                        </w:rPr>
                        <w:t>N</w:t>
                      </w:r>
                    </w:p>
                  </w:txbxContent>
                </v:textbox>
              </v:shape>
            </w:pict>
          </mc:Fallback>
        </mc:AlternateContent>
      </w:r>
      <w:r>
        <w:drawing>
          <wp:inline distT="0" distB="0" distL="114300" distR="114300">
            <wp:extent cx="5273675" cy="3329940"/>
            <wp:effectExtent l="0" t="0" r="3175" b="381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62"/>
                    <a:stretch>
                      <a:fillRect/>
                    </a:stretch>
                  </pic:blipFill>
                  <pic:spPr>
                    <a:xfrm>
                      <a:off x="0" y="0"/>
                      <a:ext cx="5273675" cy="3329940"/>
                    </a:xfrm>
                    <a:prstGeom prst="rect">
                      <a:avLst/>
                    </a:prstGeom>
                    <a:noFill/>
                    <a:ln>
                      <a:noFill/>
                    </a:ln>
                  </pic:spPr>
                </pic:pic>
              </a:graphicData>
            </a:graphic>
          </wp:inline>
        </w:drawing>
      </w:r>
    </w:p>
    <w:p w14:paraId="5CC8A0E8">
      <w:pPr>
        <w:pStyle w:val="7"/>
        <w:bidi w:val="0"/>
        <w:rPr>
          <w:rFonts w:hint="default" w:eastAsia="宋体"/>
          <w:highlight w:val="none"/>
          <w:lang w:val="en-US" w:eastAsia="zh-CN"/>
        </w:rPr>
      </w:pPr>
      <w:r>
        <w:rPr>
          <w:rFonts w:hint="eastAsia"/>
          <w:highlight w:val="none"/>
          <w:lang w:val="en-US" w:eastAsia="zh-CN"/>
        </w:rPr>
        <w:t>图6-2-3监测布点图</w:t>
      </w:r>
    </w:p>
    <w:p w14:paraId="7B8446F5">
      <w:pPr>
        <w:pStyle w:val="7"/>
        <w:bidi w:val="0"/>
        <w:rPr>
          <w:rFonts w:hint="eastAsia"/>
          <w:highlight w:val="none"/>
          <w:lang w:eastAsia="zh-CN"/>
        </w:rPr>
      </w:pPr>
      <w:r>
        <w:rPr>
          <w:highlight w:val="none"/>
        </w:rPr>
        <w:t>表6-2-</w:t>
      </w:r>
      <w:r>
        <w:rPr>
          <w:rFonts w:hint="eastAsia"/>
          <w:highlight w:val="none"/>
          <w:lang w:val="en-US" w:eastAsia="zh-CN"/>
        </w:rPr>
        <w:t>3土壤</w:t>
      </w:r>
      <w:r>
        <w:rPr>
          <w:highlight w:val="none"/>
        </w:rPr>
        <w:t>环境监测</w:t>
      </w:r>
      <w:r>
        <w:rPr>
          <w:rFonts w:hint="eastAsia"/>
          <w:highlight w:val="none"/>
          <w:lang w:val="en-US" w:eastAsia="zh-CN"/>
        </w:rPr>
        <w:t>计划</w:t>
      </w:r>
    </w:p>
    <w:tbl>
      <w:tblPr>
        <w:tblStyle w:val="4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6954"/>
      </w:tblGrid>
      <w:tr w14:paraId="31F5E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vAlign w:val="center"/>
          </w:tcPr>
          <w:p w14:paraId="7EE5955A">
            <w:pPr>
              <w:pStyle w:val="8"/>
              <w:suppressLineNumbers w:val="0"/>
              <w:bidi w:val="0"/>
              <w:spacing w:before="0" w:beforeAutospacing="0" w:after="0" w:afterAutospacing="0"/>
              <w:ind w:left="0" w:right="0"/>
              <w:rPr>
                <w:rFonts w:hint="default"/>
                <w:highlight w:val="none"/>
              </w:rPr>
            </w:pPr>
            <w:r>
              <w:rPr>
                <w:rFonts w:hint="default"/>
                <w:highlight w:val="none"/>
              </w:rPr>
              <w:t>监测项目</w:t>
            </w:r>
          </w:p>
        </w:tc>
        <w:tc>
          <w:tcPr>
            <w:tcW w:w="6954" w:type="dxa"/>
            <w:vAlign w:val="center"/>
          </w:tcPr>
          <w:p w14:paraId="16E09390">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石油烃</w:t>
            </w:r>
          </w:p>
        </w:tc>
      </w:tr>
      <w:tr w14:paraId="1AAB7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vAlign w:val="center"/>
          </w:tcPr>
          <w:p w14:paraId="2B6E19FC">
            <w:pPr>
              <w:pStyle w:val="8"/>
              <w:suppressLineNumbers w:val="0"/>
              <w:bidi w:val="0"/>
              <w:spacing w:before="0" w:beforeAutospacing="0" w:after="0" w:afterAutospacing="0"/>
              <w:ind w:left="0" w:right="0"/>
              <w:rPr>
                <w:rFonts w:hint="default"/>
                <w:highlight w:val="none"/>
              </w:rPr>
            </w:pPr>
            <w:r>
              <w:rPr>
                <w:rFonts w:hint="default"/>
                <w:highlight w:val="none"/>
              </w:rPr>
              <w:t>监测频率</w:t>
            </w:r>
          </w:p>
        </w:tc>
        <w:tc>
          <w:tcPr>
            <w:tcW w:w="6954" w:type="dxa"/>
            <w:vAlign w:val="center"/>
          </w:tcPr>
          <w:p w14:paraId="771420DF">
            <w:pPr>
              <w:pStyle w:val="8"/>
              <w:suppressLineNumbers w:val="0"/>
              <w:bidi w:val="0"/>
              <w:spacing w:before="0" w:beforeAutospacing="0" w:after="0" w:afterAutospacing="0"/>
              <w:ind w:left="0" w:right="0"/>
              <w:rPr>
                <w:rFonts w:hint="default" w:eastAsia="宋体"/>
                <w:highlight w:val="none"/>
                <w:lang w:val="en-US" w:eastAsia="zh-CN"/>
              </w:rPr>
            </w:pPr>
            <w:r>
              <w:rPr>
                <w:rFonts w:hint="default"/>
                <w:highlight w:val="none"/>
              </w:rPr>
              <w:t>1次/</w:t>
            </w:r>
            <w:r>
              <w:rPr>
                <w:rFonts w:hint="eastAsia"/>
                <w:highlight w:val="none"/>
                <w:lang w:val="en-US" w:eastAsia="zh-CN"/>
              </w:rPr>
              <w:t>3年</w:t>
            </w:r>
          </w:p>
        </w:tc>
      </w:tr>
      <w:tr w14:paraId="7E108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vAlign w:val="center"/>
          </w:tcPr>
          <w:p w14:paraId="793E4D10">
            <w:pPr>
              <w:pStyle w:val="8"/>
              <w:suppressLineNumbers w:val="0"/>
              <w:bidi w:val="0"/>
              <w:spacing w:before="0" w:beforeAutospacing="0" w:after="0" w:afterAutospacing="0"/>
              <w:ind w:left="0" w:right="0"/>
              <w:rPr>
                <w:rFonts w:hint="default"/>
                <w:highlight w:val="none"/>
              </w:rPr>
            </w:pPr>
            <w:r>
              <w:rPr>
                <w:rFonts w:hint="default"/>
                <w:highlight w:val="none"/>
              </w:rPr>
              <w:t>监测方式</w:t>
            </w:r>
          </w:p>
        </w:tc>
        <w:tc>
          <w:tcPr>
            <w:tcW w:w="6954" w:type="dxa"/>
            <w:vAlign w:val="center"/>
          </w:tcPr>
          <w:p w14:paraId="1506C2E9">
            <w:pPr>
              <w:pStyle w:val="8"/>
              <w:suppressLineNumbers w:val="0"/>
              <w:bidi w:val="0"/>
              <w:spacing w:before="0" w:beforeAutospacing="0" w:after="0" w:afterAutospacing="0"/>
              <w:ind w:left="0" w:right="0"/>
              <w:rPr>
                <w:rFonts w:hint="default"/>
                <w:highlight w:val="none"/>
              </w:rPr>
            </w:pPr>
            <w:r>
              <w:rPr>
                <w:rFonts w:hint="default"/>
                <w:highlight w:val="none"/>
              </w:rPr>
              <w:t>委托有监测资质单位监测</w:t>
            </w:r>
          </w:p>
        </w:tc>
      </w:tr>
      <w:tr w14:paraId="64116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vAlign w:val="center"/>
          </w:tcPr>
          <w:p w14:paraId="0EA631DE">
            <w:pPr>
              <w:pStyle w:val="8"/>
              <w:suppressLineNumbers w:val="0"/>
              <w:bidi w:val="0"/>
              <w:spacing w:before="0" w:beforeAutospacing="0" w:after="0" w:afterAutospacing="0"/>
              <w:ind w:left="0" w:right="0"/>
              <w:rPr>
                <w:rFonts w:hint="default"/>
                <w:highlight w:val="none"/>
              </w:rPr>
            </w:pPr>
            <w:r>
              <w:rPr>
                <w:rFonts w:hint="default"/>
                <w:highlight w:val="none"/>
              </w:rPr>
              <w:t>监测点位</w:t>
            </w:r>
          </w:p>
        </w:tc>
        <w:tc>
          <w:tcPr>
            <w:tcW w:w="6954" w:type="dxa"/>
            <w:vAlign w:val="center"/>
          </w:tcPr>
          <w:p w14:paraId="547F4019">
            <w:pPr>
              <w:pStyle w:val="8"/>
              <w:suppressLineNumbers w:val="0"/>
              <w:bidi w:val="0"/>
              <w:spacing w:before="0" w:beforeAutospacing="0" w:after="0" w:afterAutospacing="0"/>
              <w:ind w:left="0" w:right="0"/>
              <w:rPr>
                <w:rFonts w:hint="eastAsia"/>
                <w:highlight w:val="none"/>
                <w:lang w:eastAsia="zh-CN"/>
              </w:rPr>
            </w:pPr>
            <w:r>
              <w:rPr>
                <w:rFonts w:hint="eastAsia"/>
                <w:highlight w:val="none"/>
                <w:lang w:val="en-US" w:eastAsia="zh-CN"/>
              </w:rPr>
              <w:t>地下水流向下游监测点1#：126.661586156,45.604908553</w:t>
            </w:r>
          </w:p>
        </w:tc>
      </w:tr>
    </w:tbl>
    <w:p w14:paraId="15B9C124">
      <w:pPr>
        <w:bidi w:val="0"/>
        <w:rPr>
          <w:rFonts w:hint="eastAsia" w:eastAsia="宋体"/>
          <w:highlight w:val="none"/>
          <w:lang w:eastAsia="zh-CN"/>
        </w:rPr>
      </w:pPr>
      <w:r>
        <w:rPr>
          <w:highlight w:val="none"/>
        </w:rPr>
        <w:t>监测结果应形成跟踪监测报告，明确跟踪监测报告编制的责任主体。监测结果应按项目有关规定及时建立档案，并定期向当地环保部门汇报，所有监测因子监测数据应进行公开，满足法律中关于知情权的要求。发现污染时，要及时进行处理，开展系统调查，并上报有关部门</w:t>
      </w:r>
      <w:r>
        <w:rPr>
          <w:rFonts w:hint="eastAsia"/>
          <w:highlight w:val="none"/>
          <w:lang w:eastAsia="zh-CN"/>
        </w:rPr>
        <w:t>。</w:t>
      </w:r>
    </w:p>
    <w:p w14:paraId="2F8E4D60">
      <w:pPr>
        <w:bidi w:val="0"/>
        <w:rPr>
          <w:rFonts w:hint="default"/>
          <w:highlight w:val="none"/>
        </w:rPr>
      </w:pPr>
      <w:r>
        <w:rPr>
          <w:rFonts w:hint="eastAsia"/>
          <w:highlight w:val="none"/>
          <w:lang w:val="en-US" w:eastAsia="zh-CN"/>
        </w:rPr>
        <w:t>（4）</w:t>
      </w:r>
      <w:r>
        <w:rPr>
          <w:rFonts w:hint="default"/>
          <w:highlight w:val="none"/>
        </w:rPr>
        <w:t>应急措施</w:t>
      </w:r>
    </w:p>
    <w:p w14:paraId="269DBA57">
      <w:pPr>
        <w:bidi w:val="0"/>
        <w:rPr>
          <w:highlight w:val="none"/>
        </w:rPr>
      </w:pPr>
      <w:r>
        <w:rPr>
          <w:rFonts w:hint="default"/>
          <w:highlight w:val="none"/>
        </w:rPr>
        <w:t>发生突发事件可能造成土壤污染的，应当立即采取应急措施，防止土壤污染，并依照《中华人民共和国土壤污染防治法》规定做好土壤污染状况监测、调查和土壤污染风险评估、风险管控、修复等工作。</w:t>
      </w:r>
    </w:p>
    <w:p w14:paraId="51DB022C">
      <w:pPr>
        <w:pStyle w:val="4"/>
        <w:bidi w:val="0"/>
        <w:rPr>
          <w:highlight w:val="none"/>
        </w:rPr>
      </w:pPr>
      <w:bookmarkStart w:id="398" w:name="_Toc27755"/>
      <w:bookmarkStart w:id="399" w:name="_Toc26350"/>
      <w:bookmarkStart w:id="400" w:name="_Toc19623"/>
      <w:r>
        <w:rPr>
          <w:highlight w:val="none"/>
        </w:rPr>
        <w:t>6.3环境风险</w:t>
      </w:r>
      <w:r>
        <w:rPr>
          <w:rFonts w:hint="eastAsia"/>
          <w:highlight w:val="none"/>
        </w:rPr>
        <w:t>管理</w:t>
      </w:r>
      <w:bookmarkEnd w:id="398"/>
      <w:bookmarkEnd w:id="399"/>
      <w:bookmarkEnd w:id="400"/>
    </w:p>
    <w:p w14:paraId="4B5D5DCF">
      <w:pPr>
        <w:pStyle w:val="5"/>
        <w:bidi w:val="0"/>
        <w:rPr>
          <w:highlight w:val="none"/>
        </w:rPr>
      </w:pPr>
      <w:bookmarkStart w:id="401" w:name="_Toc18880"/>
      <w:bookmarkStart w:id="402" w:name="_Toc11396"/>
      <w:r>
        <w:rPr>
          <w:highlight w:val="none"/>
        </w:rPr>
        <w:t>6.3.1</w:t>
      </w:r>
      <w:r>
        <w:rPr>
          <w:rFonts w:hint="eastAsia"/>
          <w:highlight w:val="none"/>
        </w:rPr>
        <w:t>环境</w:t>
      </w:r>
      <w:r>
        <w:rPr>
          <w:highlight w:val="none"/>
        </w:rPr>
        <w:t>风险管理目标</w:t>
      </w:r>
      <w:bookmarkEnd w:id="401"/>
      <w:bookmarkEnd w:id="402"/>
    </w:p>
    <w:p w14:paraId="0FF0FB29">
      <w:pPr>
        <w:bidi w:val="0"/>
        <w:rPr>
          <w:rFonts w:hint="eastAsia"/>
          <w:highlight w:val="none"/>
        </w:rPr>
      </w:pPr>
      <w:r>
        <w:rPr>
          <w:rFonts w:hint="eastAsia"/>
          <w:highlight w:val="none"/>
        </w:rPr>
        <w:t>环境风险管理目标是采用最低合理可行原则管控环境风险。采取的环境风险防范措施应与社会经济技术发展水平相适应，运用科学的技术手段和管理方法，对环境风险进行有效</w:t>
      </w:r>
      <w:r>
        <w:rPr>
          <w:rFonts w:hint="eastAsia"/>
          <w:highlight w:val="none"/>
          <w:lang w:eastAsia="zh-CN"/>
        </w:rPr>
        <w:t>地</w:t>
      </w:r>
      <w:r>
        <w:rPr>
          <w:rFonts w:hint="eastAsia"/>
          <w:highlight w:val="none"/>
        </w:rPr>
        <w:t>预防、监控、响应。</w:t>
      </w:r>
    </w:p>
    <w:p w14:paraId="275ACFD1">
      <w:pPr>
        <w:pStyle w:val="5"/>
        <w:bidi w:val="0"/>
        <w:rPr>
          <w:highlight w:val="none"/>
        </w:rPr>
      </w:pPr>
      <w:bookmarkStart w:id="403" w:name="_Toc6445"/>
      <w:bookmarkStart w:id="404" w:name="_Toc11519"/>
      <w:r>
        <w:rPr>
          <w:highlight w:val="none"/>
        </w:rPr>
        <w:t>6.3.</w:t>
      </w:r>
      <w:r>
        <w:rPr>
          <w:rFonts w:hint="eastAsia"/>
          <w:highlight w:val="none"/>
        </w:rPr>
        <w:t>2环境风险</w:t>
      </w:r>
      <w:r>
        <w:rPr>
          <w:rFonts w:hint="eastAsia"/>
          <w:highlight w:val="none"/>
          <w:lang w:val="en-US" w:eastAsia="zh-CN"/>
        </w:rPr>
        <w:t>管理</w:t>
      </w:r>
      <w:r>
        <w:rPr>
          <w:rFonts w:hint="eastAsia"/>
          <w:highlight w:val="none"/>
        </w:rPr>
        <w:t>措施</w:t>
      </w:r>
      <w:bookmarkEnd w:id="403"/>
      <w:bookmarkEnd w:id="404"/>
    </w:p>
    <w:p w14:paraId="302F1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r>
        <w:rPr>
          <w:rFonts w:hint="eastAsia" w:ascii="Times New Roman" w:hAnsi="Calibri" w:eastAsia="宋体" w:cs="宋体"/>
          <w:kern w:val="2"/>
          <w:sz w:val="24"/>
          <w:szCs w:val="24"/>
          <w:highlight w:val="none"/>
          <w:lang w:val="en-US" w:eastAsia="zh-CN" w:bidi="ar"/>
        </w:rPr>
        <w:t>环境风险事故的发生，不仅对现场人员、财产造成损失，而且对周围环境可能存在着难以弥补的危害。本着避免风险事故发生和降低风险事故发生后对环境造成污染的态度，建设单位首先应努力开展和完善本项目的风险管理体系和各项防范措施。</w:t>
      </w:r>
    </w:p>
    <w:p w14:paraId="4354DD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bookmarkStart w:id="405" w:name="_Toc16191"/>
      <w:bookmarkStart w:id="406" w:name="_Toc30749"/>
      <w:r>
        <w:rPr>
          <w:rFonts w:hint="eastAsia" w:ascii="Times New Roman" w:hAnsi="Calibri" w:eastAsia="宋体" w:cs="宋体"/>
          <w:kern w:val="2"/>
          <w:sz w:val="24"/>
          <w:szCs w:val="24"/>
          <w:highlight w:val="none"/>
          <w:lang w:val="en-US" w:eastAsia="zh-CN" w:bidi="ar"/>
        </w:rPr>
        <w:t>（</w:t>
      </w:r>
      <w:r>
        <w:rPr>
          <w:rFonts w:hint="default" w:ascii="Times New Roman" w:hAnsi="Calibri" w:eastAsia="宋体" w:cs="Times New Roman"/>
          <w:kern w:val="2"/>
          <w:sz w:val="24"/>
          <w:szCs w:val="24"/>
          <w:highlight w:val="none"/>
          <w:lang w:val="en-US" w:eastAsia="zh-CN" w:bidi="ar"/>
        </w:rPr>
        <w:t>1</w:t>
      </w:r>
      <w:r>
        <w:rPr>
          <w:rFonts w:hint="eastAsia" w:ascii="Times New Roman" w:hAnsi="Calibri" w:eastAsia="宋体" w:cs="宋体"/>
          <w:kern w:val="2"/>
          <w:sz w:val="24"/>
          <w:szCs w:val="24"/>
          <w:highlight w:val="none"/>
          <w:lang w:val="en-US" w:eastAsia="zh-CN" w:bidi="ar"/>
        </w:rPr>
        <w:t>）树立并强化环境风险意识</w:t>
      </w:r>
      <w:bookmarkEnd w:id="405"/>
      <w:bookmarkEnd w:id="406"/>
    </w:p>
    <w:p w14:paraId="17CCF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r>
        <w:rPr>
          <w:rFonts w:hint="eastAsia" w:ascii="Times New Roman" w:hAnsi="Calibri" w:eastAsia="宋体" w:cs="宋体"/>
          <w:kern w:val="2"/>
          <w:sz w:val="24"/>
          <w:szCs w:val="24"/>
          <w:highlight w:val="none"/>
          <w:lang w:val="en-US" w:eastAsia="zh-CN" w:bidi="ar"/>
        </w:rPr>
        <w:t>建设单位应全面贯彻“安全第一，预防为主，综合治理”方针，树立环境风险意识，明确环境风险责任，落实环境保护的内容。</w:t>
      </w:r>
    </w:p>
    <w:p w14:paraId="4B1E8E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bookmarkStart w:id="407" w:name="_Toc2016"/>
      <w:bookmarkStart w:id="408" w:name="_Toc618"/>
      <w:r>
        <w:rPr>
          <w:rFonts w:hint="eastAsia" w:ascii="Times New Roman" w:hAnsi="Calibri" w:eastAsia="宋体" w:cs="宋体"/>
          <w:kern w:val="2"/>
          <w:sz w:val="24"/>
          <w:szCs w:val="24"/>
          <w:highlight w:val="none"/>
          <w:lang w:val="en-US" w:eastAsia="zh-CN" w:bidi="ar"/>
        </w:rPr>
        <w:t>（</w:t>
      </w:r>
      <w:r>
        <w:rPr>
          <w:rFonts w:hint="default" w:ascii="Times New Roman" w:hAnsi="Calibri" w:eastAsia="宋体" w:cs="Times New Roman"/>
          <w:kern w:val="2"/>
          <w:sz w:val="24"/>
          <w:szCs w:val="24"/>
          <w:highlight w:val="none"/>
          <w:lang w:val="en-US" w:eastAsia="zh-CN" w:bidi="ar"/>
        </w:rPr>
        <w:t>2</w:t>
      </w:r>
      <w:r>
        <w:rPr>
          <w:rFonts w:hint="eastAsia" w:ascii="Times New Roman" w:hAnsi="Calibri" w:eastAsia="宋体" w:cs="宋体"/>
          <w:kern w:val="2"/>
          <w:sz w:val="24"/>
          <w:szCs w:val="24"/>
          <w:highlight w:val="none"/>
          <w:lang w:val="en-US" w:eastAsia="zh-CN" w:bidi="ar"/>
        </w:rPr>
        <w:t>）实行安全环保管理制度</w:t>
      </w:r>
      <w:bookmarkEnd w:id="407"/>
      <w:bookmarkEnd w:id="408"/>
    </w:p>
    <w:p w14:paraId="06971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r>
        <w:rPr>
          <w:rFonts w:hint="eastAsia" w:ascii="Times New Roman" w:hAnsi="Calibri" w:eastAsia="宋体" w:cs="宋体"/>
          <w:kern w:val="2"/>
          <w:sz w:val="24"/>
          <w:szCs w:val="24"/>
          <w:highlight w:val="none"/>
          <w:lang w:val="en-US" w:eastAsia="zh-CN" w:bidi="ar"/>
        </w:rPr>
        <w:t>本项目在运行期间应针对事故可能发生的环节及可能造成的影响开展全面、全员、全过程的系统管理，把安全工作重点放在系统的安全隐患的预防上，并从整体和全局上促进建设项目各个环节的安全操作，同时建立监察、监测、管理系统，实行安全检查目标管理。</w:t>
      </w:r>
    </w:p>
    <w:p w14:paraId="19BCAF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bookmarkStart w:id="409" w:name="_Toc11757"/>
      <w:bookmarkStart w:id="410" w:name="_Toc3683"/>
      <w:r>
        <w:rPr>
          <w:rFonts w:hint="eastAsia" w:ascii="Times New Roman" w:hAnsi="Calibri" w:eastAsia="宋体" w:cs="宋体"/>
          <w:kern w:val="2"/>
          <w:sz w:val="24"/>
          <w:szCs w:val="24"/>
          <w:highlight w:val="none"/>
          <w:lang w:val="en-US" w:eastAsia="zh-CN" w:bidi="ar"/>
        </w:rPr>
        <w:t>（</w:t>
      </w:r>
      <w:r>
        <w:rPr>
          <w:rFonts w:hint="default" w:ascii="Times New Roman" w:hAnsi="Calibri" w:eastAsia="宋体" w:cs="Times New Roman"/>
          <w:kern w:val="2"/>
          <w:sz w:val="24"/>
          <w:szCs w:val="24"/>
          <w:highlight w:val="none"/>
          <w:lang w:val="en-US" w:eastAsia="zh-CN" w:bidi="ar"/>
        </w:rPr>
        <w:t>3</w:t>
      </w:r>
      <w:r>
        <w:rPr>
          <w:rFonts w:hint="eastAsia" w:ascii="Times New Roman" w:hAnsi="Calibri" w:eastAsia="宋体" w:cs="宋体"/>
          <w:kern w:val="2"/>
          <w:sz w:val="24"/>
          <w:szCs w:val="24"/>
          <w:highlight w:val="none"/>
          <w:lang w:val="en-US" w:eastAsia="zh-CN" w:bidi="ar"/>
        </w:rPr>
        <w:t>）规范并强化风险预防措施</w:t>
      </w:r>
      <w:bookmarkEnd w:id="409"/>
      <w:bookmarkEnd w:id="410"/>
    </w:p>
    <w:p w14:paraId="321C5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r>
        <w:rPr>
          <w:rFonts w:hint="eastAsia" w:ascii="Times New Roman" w:hAnsi="Calibri" w:eastAsia="宋体" w:cs="宋体"/>
          <w:kern w:val="2"/>
          <w:sz w:val="24"/>
          <w:szCs w:val="24"/>
          <w:highlight w:val="none"/>
          <w:lang w:val="en-US" w:eastAsia="zh-CN" w:bidi="ar"/>
        </w:rPr>
        <w:t>建设单位应制定安全管理规章制度，并采取相应的预防和处理措施，对防止安全事故的发生起到制度上、技术上的保证作用，对汽油泄漏事故等一些较大的事故进行重点防范，把事故发生的概率降到最低。</w:t>
      </w:r>
    </w:p>
    <w:p w14:paraId="13019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bookmarkStart w:id="411" w:name="_Toc14328"/>
      <w:bookmarkStart w:id="412" w:name="_Toc2361"/>
      <w:r>
        <w:rPr>
          <w:rFonts w:hint="eastAsia" w:ascii="Times New Roman" w:hAnsi="Calibri" w:eastAsia="宋体" w:cs="宋体"/>
          <w:kern w:val="2"/>
          <w:sz w:val="24"/>
          <w:szCs w:val="24"/>
          <w:highlight w:val="none"/>
          <w:lang w:val="en-US" w:eastAsia="zh-CN" w:bidi="ar"/>
        </w:rPr>
        <w:t>（</w:t>
      </w:r>
      <w:r>
        <w:rPr>
          <w:rFonts w:hint="default" w:ascii="Times New Roman" w:hAnsi="Calibri" w:eastAsia="宋体" w:cs="Times New Roman"/>
          <w:kern w:val="2"/>
          <w:sz w:val="24"/>
          <w:szCs w:val="24"/>
          <w:highlight w:val="none"/>
          <w:lang w:val="en-US" w:eastAsia="zh-CN" w:bidi="ar"/>
        </w:rPr>
        <w:t>4</w:t>
      </w:r>
      <w:r>
        <w:rPr>
          <w:rFonts w:hint="eastAsia" w:ascii="Times New Roman" w:hAnsi="Calibri" w:eastAsia="宋体" w:cs="宋体"/>
          <w:kern w:val="2"/>
          <w:sz w:val="24"/>
          <w:szCs w:val="24"/>
          <w:highlight w:val="none"/>
          <w:lang w:val="en-US" w:eastAsia="zh-CN" w:bidi="ar"/>
        </w:rPr>
        <w:t>）提高生产及管理人员的技术水平</w:t>
      </w:r>
      <w:bookmarkEnd w:id="411"/>
      <w:bookmarkEnd w:id="412"/>
    </w:p>
    <w:p w14:paraId="172DD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r>
        <w:rPr>
          <w:rFonts w:hint="eastAsia" w:ascii="Times New Roman" w:hAnsi="Calibri" w:eastAsia="宋体" w:cs="宋体"/>
          <w:kern w:val="2"/>
          <w:sz w:val="24"/>
          <w:szCs w:val="24"/>
          <w:highlight w:val="none"/>
          <w:lang w:val="en-US" w:eastAsia="zh-CN" w:bidi="ar"/>
        </w:rPr>
        <w:t>管理和操作人员的失误是导致事故发生的重要因素之一。失误的原因主要是技术能力不足、工作疏忽等。操作事故是生产过程中发生概率较大的风险事故，而管理及操作人员的技术水平则直接影响到此类事故的发生概率。项目在建设和发展过程中，建设单位应严格要求操作和管理人员的技术水平，职工上岗前必须参加培训，落实安全教育制度。</w:t>
      </w:r>
    </w:p>
    <w:p w14:paraId="3FE38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Calibri" w:eastAsia="宋体" w:cs="Times New Roman"/>
          <w:sz w:val="24"/>
          <w:szCs w:val="24"/>
          <w:highlight w:val="none"/>
          <w:lang w:val="en-US"/>
        </w:rPr>
      </w:pPr>
      <w:bookmarkStart w:id="413" w:name="_Toc19060"/>
      <w:bookmarkStart w:id="414" w:name="_Toc14646"/>
      <w:r>
        <w:rPr>
          <w:rFonts w:hint="eastAsia" w:ascii="Times New Roman" w:hAnsi="Calibri" w:eastAsia="宋体" w:cs="宋体"/>
          <w:kern w:val="2"/>
          <w:sz w:val="24"/>
          <w:szCs w:val="24"/>
          <w:highlight w:val="none"/>
          <w:lang w:val="en-US" w:eastAsia="zh-CN" w:bidi="ar"/>
        </w:rPr>
        <w:t>（</w:t>
      </w:r>
      <w:r>
        <w:rPr>
          <w:rFonts w:hint="eastAsia" w:ascii="Times New Roman" w:hAnsi="Calibri" w:eastAsia="宋体" w:cs="Times New Roman"/>
          <w:kern w:val="2"/>
          <w:sz w:val="24"/>
          <w:szCs w:val="24"/>
          <w:highlight w:val="none"/>
          <w:lang w:val="en-US" w:eastAsia="zh-CN" w:bidi="ar"/>
        </w:rPr>
        <w:t>5</w:t>
      </w:r>
      <w:r>
        <w:rPr>
          <w:rFonts w:hint="eastAsia" w:ascii="Times New Roman" w:hAnsi="Calibri" w:eastAsia="宋体" w:cs="宋体"/>
          <w:kern w:val="2"/>
          <w:sz w:val="24"/>
          <w:szCs w:val="24"/>
          <w:highlight w:val="none"/>
          <w:lang w:val="en-US" w:eastAsia="zh-CN" w:bidi="ar"/>
        </w:rPr>
        <w:t>）建立事故救援演习制度</w:t>
      </w:r>
      <w:bookmarkEnd w:id="413"/>
      <w:bookmarkEnd w:id="414"/>
    </w:p>
    <w:p w14:paraId="70BB4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highlight w:val="none"/>
        </w:rPr>
      </w:pPr>
      <w:r>
        <w:rPr>
          <w:rFonts w:hint="eastAsia" w:ascii="Times New Roman" w:hAnsi="Calibri" w:eastAsia="宋体" w:cs="宋体"/>
          <w:kern w:val="2"/>
          <w:sz w:val="24"/>
          <w:szCs w:val="24"/>
          <w:highlight w:val="none"/>
          <w:lang w:val="en-US" w:eastAsia="zh-CN" w:bidi="ar"/>
        </w:rPr>
        <w:t>建设单位应定期进行事故风险救援演习，培养员工的风险意识，训练事故救援队伍的反应和救援能力，为实际工作做充分准备</w:t>
      </w:r>
      <w:r>
        <w:rPr>
          <w:rFonts w:hint="eastAsia"/>
          <w:highlight w:val="none"/>
          <w:lang w:val="en-US" w:eastAsia="zh-CN"/>
        </w:rPr>
        <w:t>。</w:t>
      </w:r>
    </w:p>
    <w:p w14:paraId="52C3C818">
      <w:pPr>
        <w:pStyle w:val="5"/>
        <w:bidi w:val="0"/>
        <w:rPr>
          <w:highlight w:val="none"/>
        </w:rPr>
      </w:pPr>
      <w:bookmarkStart w:id="415" w:name="_Toc23559"/>
      <w:bookmarkStart w:id="416" w:name="_Toc28986"/>
      <w:r>
        <w:rPr>
          <w:highlight w:val="none"/>
        </w:rPr>
        <w:t>6.3.</w:t>
      </w:r>
      <w:r>
        <w:rPr>
          <w:rFonts w:hint="eastAsia"/>
          <w:highlight w:val="none"/>
          <w:lang w:val="en-US" w:eastAsia="zh-CN"/>
        </w:rPr>
        <w:t>3</w:t>
      </w:r>
      <w:r>
        <w:rPr>
          <w:rFonts w:hint="eastAsia"/>
          <w:highlight w:val="none"/>
        </w:rPr>
        <w:t>环境风险防范措施</w:t>
      </w:r>
      <w:bookmarkEnd w:id="415"/>
      <w:bookmarkEnd w:id="416"/>
    </w:p>
    <w:p w14:paraId="586D9A15">
      <w:pPr>
        <w:spacing w:line="360" w:lineRule="auto"/>
        <w:ind w:firstLine="480" w:firstLineChars="200"/>
        <w:rPr>
          <w:rFonts w:eastAsiaTheme="minorEastAsia"/>
          <w:snapToGrid w:val="0"/>
          <w:sz w:val="24"/>
          <w:highlight w:val="none"/>
        </w:rPr>
      </w:pPr>
      <w:r>
        <w:rPr>
          <w:rFonts w:hint="eastAsia" w:eastAsiaTheme="minorEastAsia"/>
          <w:snapToGrid w:val="0"/>
          <w:sz w:val="24"/>
          <w:highlight w:val="none"/>
          <w:lang w:eastAsia="zh-CN"/>
        </w:rPr>
        <w:t>（</w:t>
      </w:r>
      <w:r>
        <w:rPr>
          <w:rFonts w:hint="eastAsia" w:eastAsiaTheme="minorEastAsia"/>
          <w:snapToGrid w:val="0"/>
          <w:sz w:val="24"/>
          <w:highlight w:val="none"/>
          <w:lang w:val="en-US" w:eastAsia="zh-CN"/>
        </w:rPr>
        <w:t>1</w:t>
      </w:r>
      <w:r>
        <w:rPr>
          <w:rFonts w:hint="eastAsia" w:eastAsiaTheme="minorEastAsia"/>
          <w:snapToGrid w:val="0"/>
          <w:sz w:val="24"/>
          <w:highlight w:val="none"/>
          <w:lang w:eastAsia="zh-CN"/>
        </w:rPr>
        <w:t>）</w:t>
      </w:r>
      <w:r>
        <w:rPr>
          <w:rFonts w:hint="eastAsia" w:eastAsiaTheme="minorEastAsia"/>
          <w:snapToGrid w:val="0"/>
          <w:sz w:val="24"/>
          <w:highlight w:val="none"/>
        </w:rPr>
        <w:t>大气环境风险防范措施</w:t>
      </w:r>
    </w:p>
    <w:p w14:paraId="6FE09B6E">
      <w:pPr>
        <w:spacing w:line="360" w:lineRule="auto"/>
        <w:ind w:firstLine="480" w:firstLineChars="200"/>
        <w:rPr>
          <w:rFonts w:eastAsiaTheme="minorEastAsia"/>
          <w:snapToGrid w:val="0"/>
          <w:sz w:val="24"/>
          <w:highlight w:val="none"/>
        </w:rPr>
      </w:pPr>
      <w:r>
        <w:rPr>
          <w:rFonts w:hint="eastAsia" w:eastAsiaTheme="minorEastAsia"/>
          <w:snapToGrid w:val="0"/>
          <w:sz w:val="24"/>
          <w:highlight w:val="none"/>
        </w:rPr>
        <w:t>油类物质存储区设置监控，定期巡检，以便于观察物料是否存在</w:t>
      </w:r>
      <w:r>
        <w:rPr>
          <w:rFonts w:hint="eastAsia" w:eastAsiaTheme="minorEastAsia"/>
          <w:snapToGrid w:val="0"/>
          <w:sz w:val="24"/>
          <w:highlight w:val="none"/>
          <w:lang w:eastAsia="zh-CN"/>
        </w:rPr>
        <w:t>泄漏</w:t>
      </w:r>
      <w:r>
        <w:rPr>
          <w:rFonts w:hint="eastAsia" w:eastAsiaTheme="minorEastAsia"/>
          <w:snapToGrid w:val="0"/>
          <w:sz w:val="24"/>
          <w:highlight w:val="none"/>
        </w:rPr>
        <w:t>情况；油类物质存储区设置不低于20cm的围堰，可收集</w:t>
      </w:r>
      <w:r>
        <w:rPr>
          <w:rFonts w:hint="eastAsia" w:eastAsiaTheme="minorEastAsia"/>
          <w:snapToGrid w:val="0"/>
          <w:sz w:val="24"/>
          <w:highlight w:val="none"/>
          <w:lang w:eastAsia="zh-CN"/>
        </w:rPr>
        <w:t>泄漏</w:t>
      </w:r>
      <w:r>
        <w:rPr>
          <w:rFonts w:hint="eastAsia" w:eastAsiaTheme="minorEastAsia"/>
          <w:snapToGrid w:val="0"/>
          <w:sz w:val="24"/>
          <w:highlight w:val="none"/>
        </w:rPr>
        <w:t>的物料不随意流淌；油类物质存储区配置吸油毡，可用来吸附</w:t>
      </w:r>
      <w:r>
        <w:rPr>
          <w:rFonts w:hint="eastAsia" w:eastAsiaTheme="minorEastAsia"/>
          <w:snapToGrid w:val="0"/>
          <w:sz w:val="24"/>
          <w:highlight w:val="none"/>
          <w:lang w:eastAsia="zh-CN"/>
        </w:rPr>
        <w:t>泄漏</w:t>
      </w:r>
      <w:r>
        <w:rPr>
          <w:rFonts w:hint="eastAsia" w:eastAsiaTheme="minorEastAsia"/>
          <w:snapToGrid w:val="0"/>
          <w:sz w:val="24"/>
          <w:highlight w:val="none"/>
        </w:rPr>
        <w:t>的物料；油类物质存储区配备灭火器及防毒面具，如发生厂内可控的火灾时，员工佩戴防毒面具使用灭火器灭火；油类物质存储区张贴禁火禁烟的标识以及疏散路线图。</w:t>
      </w:r>
    </w:p>
    <w:p w14:paraId="7EDCC3EC">
      <w:pPr>
        <w:spacing w:line="360" w:lineRule="auto"/>
        <w:ind w:firstLine="480" w:firstLineChars="200"/>
        <w:rPr>
          <w:rFonts w:eastAsiaTheme="minorEastAsia"/>
          <w:snapToGrid w:val="0"/>
          <w:sz w:val="24"/>
          <w:highlight w:val="none"/>
        </w:rPr>
      </w:pPr>
      <w:r>
        <w:rPr>
          <w:rFonts w:hint="eastAsia" w:eastAsiaTheme="minorEastAsia"/>
          <w:snapToGrid w:val="0"/>
          <w:sz w:val="24"/>
          <w:highlight w:val="none"/>
          <w:lang w:eastAsia="zh-CN"/>
        </w:rPr>
        <w:t>（</w:t>
      </w:r>
      <w:r>
        <w:rPr>
          <w:rFonts w:hint="eastAsia" w:eastAsiaTheme="minorEastAsia"/>
          <w:snapToGrid w:val="0"/>
          <w:sz w:val="24"/>
          <w:highlight w:val="none"/>
          <w:lang w:val="en-US" w:eastAsia="zh-CN"/>
        </w:rPr>
        <w:t>2</w:t>
      </w:r>
      <w:r>
        <w:rPr>
          <w:rFonts w:hint="eastAsia" w:eastAsiaTheme="minorEastAsia"/>
          <w:snapToGrid w:val="0"/>
          <w:sz w:val="24"/>
          <w:highlight w:val="none"/>
          <w:lang w:eastAsia="zh-CN"/>
        </w:rPr>
        <w:t>）</w:t>
      </w:r>
      <w:r>
        <w:rPr>
          <w:rFonts w:hint="eastAsia" w:eastAsiaTheme="minorEastAsia"/>
          <w:snapToGrid w:val="0"/>
          <w:sz w:val="24"/>
          <w:highlight w:val="none"/>
        </w:rPr>
        <w:t>地下水环境风险措施</w:t>
      </w:r>
    </w:p>
    <w:p w14:paraId="25756E7B">
      <w:pPr>
        <w:spacing w:line="360" w:lineRule="auto"/>
        <w:ind w:firstLine="480" w:firstLineChars="200"/>
        <w:rPr>
          <w:rFonts w:eastAsiaTheme="minorEastAsia"/>
          <w:snapToGrid w:val="0"/>
          <w:sz w:val="24"/>
          <w:highlight w:val="none"/>
        </w:rPr>
      </w:pPr>
      <w:r>
        <w:rPr>
          <w:rFonts w:hint="eastAsia" w:eastAsiaTheme="minorEastAsia"/>
          <w:snapToGrid w:val="0"/>
          <w:sz w:val="24"/>
          <w:highlight w:val="none"/>
        </w:rPr>
        <w:t>油类物质存储区采用重点防渗，定期对防渗层进行检查，防止出现开裂后依然未处理的情形。设有地下水跟踪监测井，定期监测。</w:t>
      </w:r>
    </w:p>
    <w:p w14:paraId="1BF755F6">
      <w:pPr>
        <w:numPr>
          <w:ilvl w:val="0"/>
          <w:numId w:val="0"/>
        </w:numPr>
        <w:bidi w:val="0"/>
        <w:ind w:leftChars="200"/>
        <w:rPr>
          <w:rFonts w:hint="eastAsia" w:eastAsiaTheme="minorEastAsia"/>
          <w:snapToGrid w:val="0"/>
          <w:sz w:val="24"/>
          <w:highlight w:val="none"/>
          <w:lang w:val="en-US" w:eastAsia="zh-CN"/>
        </w:rPr>
      </w:pPr>
      <w:r>
        <w:rPr>
          <w:rFonts w:hint="eastAsia" w:eastAsiaTheme="minorEastAsia"/>
          <w:snapToGrid w:val="0"/>
          <w:sz w:val="24"/>
          <w:highlight w:val="none"/>
          <w:lang w:val="en-US" w:eastAsia="zh-CN"/>
        </w:rPr>
        <w:t>（3）地表水环境风险措施</w:t>
      </w:r>
    </w:p>
    <w:p w14:paraId="5EDF8301">
      <w:pPr>
        <w:bidi w:val="0"/>
        <w:rPr>
          <w:rFonts w:hint="default"/>
          <w:highlight w:val="none"/>
          <w:lang w:val="en-US" w:eastAsia="zh-CN"/>
        </w:rPr>
      </w:pPr>
      <w:r>
        <w:rPr>
          <w:rFonts w:hint="eastAsia"/>
          <w:highlight w:val="none"/>
        </w:rPr>
        <w:t>本项目</w:t>
      </w:r>
      <w:r>
        <w:rPr>
          <w:rFonts w:hint="eastAsia"/>
          <w:highlight w:val="none"/>
          <w:lang w:eastAsia="zh-CN"/>
        </w:rPr>
        <w:t>生产均位于封闭厂房内进行，正常情况不会污染周边地表水</w:t>
      </w:r>
      <w:r>
        <w:rPr>
          <w:rFonts w:hint="eastAsia"/>
          <w:highlight w:val="none"/>
        </w:rPr>
        <w:t>。</w:t>
      </w:r>
    </w:p>
    <w:p w14:paraId="2EBD938C">
      <w:pPr>
        <w:bidi w:val="0"/>
        <w:rPr>
          <w:rFonts w:hint="eastAsia" w:eastAsia="宋体"/>
          <w:highlight w:val="none"/>
          <w:lang w:val="en-US" w:eastAsia="zh-CN"/>
        </w:rPr>
      </w:pPr>
      <w:r>
        <w:rPr>
          <w:rFonts w:hint="eastAsia" w:eastAsiaTheme="minorEastAsia"/>
          <w:snapToGrid w:val="0"/>
          <w:sz w:val="24"/>
          <w:highlight w:val="none"/>
          <w:lang w:eastAsia="zh-CN"/>
        </w:rPr>
        <w:t>（</w:t>
      </w:r>
      <w:r>
        <w:rPr>
          <w:rFonts w:hint="eastAsia" w:eastAsiaTheme="minorEastAsia"/>
          <w:snapToGrid w:val="0"/>
          <w:sz w:val="24"/>
          <w:highlight w:val="none"/>
          <w:lang w:val="en-US" w:eastAsia="zh-CN"/>
        </w:rPr>
        <w:t>4</w:t>
      </w:r>
      <w:r>
        <w:rPr>
          <w:rFonts w:hint="eastAsia" w:eastAsiaTheme="minorEastAsia"/>
          <w:snapToGrid w:val="0"/>
          <w:sz w:val="24"/>
          <w:highlight w:val="none"/>
          <w:lang w:eastAsia="zh-CN"/>
        </w:rPr>
        <w:t>）</w:t>
      </w:r>
      <w:r>
        <w:rPr>
          <w:rFonts w:hint="eastAsia" w:eastAsiaTheme="minorEastAsia"/>
          <w:snapToGrid w:val="0"/>
          <w:sz w:val="24"/>
          <w:highlight w:val="none"/>
        </w:rPr>
        <w:t>事故发生后，第一时间委托有资质的监测单位进行应急监测；配备专人看管应急物资，事故发生后及时补充，确保物资充足</w:t>
      </w:r>
      <w:r>
        <w:rPr>
          <w:rFonts w:hint="eastAsia"/>
          <w:highlight w:val="none"/>
          <w:lang w:val="en-US" w:eastAsia="zh-CN"/>
        </w:rPr>
        <w:t>。</w:t>
      </w:r>
    </w:p>
    <w:p w14:paraId="0B892DC5">
      <w:pPr>
        <w:pStyle w:val="5"/>
        <w:bidi w:val="0"/>
        <w:rPr>
          <w:highlight w:val="none"/>
        </w:rPr>
      </w:pPr>
      <w:bookmarkStart w:id="417" w:name="_Toc14961"/>
      <w:bookmarkStart w:id="418" w:name="_Toc31493"/>
      <w:r>
        <w:rPr>
          <w:highlight w:val="none"/>
        </w:rPr>
        <w:t>6.3.</w:t>
      </w:r>
      <w:r>
        <w:rPr>
          <w:rFonts w:hint="eastAsia"/>
          <w:highlight w:val="none"/>
        </w:rPr>
        <w:t>4环境风险应急预案</w:t>
      </w:r>
      <w:bookmarkEnd w:id="417"/>
      <w:bookmarkEnd w:id="418"/>
    </w:p>
    <w:p w14:paraId="32AB6E26">
      <w:pPr>
        <w:bidi w:val="0"/>
        <w:rPr>
          <w:highlight w:val="none"/>
        </w:rPr>
      </w:pPr>
      <w:bookmarkStart w:id="419" w:name="_Toc15871"/>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应急预案</w:t>
      </w:r>
      <w:bookmarkEnd w:id="419"/>
    </w:p>
    <w:p w14:paraId="32B6B30B">
      <w:pPr>
        <w:bidi w:val="0"/>
        <w:rPr>
          <w:rFonts w:hint="default" w:ascii="Times New Roman" w:hAnsi="Times New Roman" w:cs="Times New Roman"/>
          <w:highlight w:val="none"/>
          <w:lang w:val="en-US" w:eastAsia="zh-CN"/>
        </w:rPr>
      </w:pPr>
      <w:r>
        <w:rPr>
          <w:highlight w:val="none"/>
        </w:rPr>
        <w:t>建设单位应根据</w:t>
      </w:r>
      <w:r>
        <w:rPr>
          <w:rFonts w:hint="eastAsia" w:ascii="宋体" w:hAnsi="宋体" w:eastAsia="宋体" w:cs="宋体"/>
          <w:highlight w:val="none"/>
        </w:rPr>
        <w:t>《危险废物经营单位编制应急预案指南》</w:t>
      </w:r>
      <w:r>
        <w:rPr>
          <w:rFonts w:hint="eastAsia" w:ascii="宋体" w:hAnsi="宋体" w:eastAsia="宋体" w:cs="宋体"/>
          <w:highlight w:val="none"/>
          <w:lang w:eastAsia="zh-CN"/>
        </w:rPr>
        <w:t>、</w:t>
      </w:r>
      <w:r>
        <w:rPr>
          <w:highlight w:val="none"/>
        </w:rPr>
        <w:t>《突发事件应急预案管理办法》（国办发〔20</w:t>
      </w:r>
      <w:r>
        <w:rPr>
          <w:rFonts w:hint="eastAsia"/>
          <w:highlight w:val="none"/>
          <w:lang w:val="en-US" w:eastAsia="zh-CN"/>
        </w:rPr>
        <w:t>24</w:t>
      </w:r>
      <w:r>
        <w:rPr>
          <w:highlight w:val="none"/>
        </w:rPr>
        <w:t>〕</w:t>
      </w:r>
      <w:r>
        <w:rPr>
          <w:rFonts w:hint="eastAsia"/>
          <w:highlight w:val="none"/>
          <w:lang w:val="en-US" w:eastAsia="zh-CN"/>
        </w:rPr>
        <w:t>5</w:t>
      </w:r>
      <w:r>
        <w:rPr>
          <w:highlight w:val="none"/>
        </w:rPr>
        <w:t>号）、</w:t>
      </w:r>
      <w:r>
        <w:rPr>
          <w:rFonts w:hint="eastAsia"/>
          <w:highlight w:val="none"/>
          <w:lang w:val="en-US" w:eastAsia="zh-CN"/>
        </w:rPr>
        <w:t>《企业事业单位突发环境事件应急预案备案管理办法（试行）》</w:t>
      </w:r>
      <w:r>
        <w:rPr>
          <w:highlight w:val="none"/>
        </w:rPr>
        <w:t>开展企业突发环境事件应急预案编制工作，</w:t>
      </w:r>
      <w:r>
        <w:rPr>
          <w:rFonts w:hint="eastAsia"/>
          <w:highlight w:val="none"/>
          <w:lang w:val="en-US" w:eastAsia="zh-CN"/>
        </w:rPr>
        <w:t>制订本项目的突发环境事件应急预案并上报当地环保有关部门备案。项目制定的突发环境事件</w:t>
      </w:r>
      <w:r>
        <w:rPr>
          <w:rFonts w:hint="default" w:ascii="Times New Roman" w:hAnsi="Times New Roman" w:cs="Times New Roman"/>
          <w:highlight w:val="none"/>
          <w:lang w:val="en-US" w:eastAsia="zh-CN"/>
        </w:rPr>
        <w:t>应急预案应包括以下内容：</w:t>
      </w:r>
    </w:p>
    <w:p w14:paraId="5C532CE9">
      <w:pPr>
        <w:bidi w:val="0"/>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①总则。包括编制目的、编制依据、适用范围和工作原则等，做到目的明确、依据合法、范围明确、符合国家有关规定要求和本单位应急工作实际。</w:t>
      </w:r>
    </w:p>
    <w:p w14:paraId="6982ADD1">
      <w:pPr>
        <w:bidi w:val="0"/>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②企业基本情况。本单位的概况、周边环境状况、环境敏感点等，明确有关设施、装置、设备、生产线以及重要目标场所的布局等情况。</w:t>
      </w:r>
    </w:p>
    <w:p w14:paraId="5CD08C76">
      <w:pPr>
        <w:bidi w:val="0"/>
        <w:rPr>
          <w:rFonts w:hint="default"/>
          <w:highlight w:val="none"/>
          <w:lang w:val="en-US"/>
        </w:rPr>
      </w:pPr>
      <w:r>
        <w:rPr>
          <w:rFonts w:hint="default" w:ascii="Times New Roman" w:hAnsi="Times New Roman" w:cs="Times New Roman"/>
          <w:highlight w:val="none"/>
          <w:lang w:val="en-US" w:eastAsia="zh-CN"/>
        </w:rPr>
        <w:t>③本单位环境</w:t>
      </w:r>
      <w:r>
        <w:rPr>
          <w:rFonts w:hint="eastAsia"/>
          <w:highlight w:val="none"/>
          <w:lang w:val="en-US" w:eastAsia="zh-CN"/>
        </w:rPr>
        <w:t>危险源情况。本单位的环境危险源情况分析，主要包括环境危险源的基本情况以及可能产生的危害后果及严重程度，能够客观分析本单位存在的危险源及危险程度，能够客观分析可能发生的事件特征、主要污染物种类，客观分析可能引发事故的诱因、影响范围及后果。</w:t>
      </w:r>
    </w:p>
    <w:p w14:paraId="4CBCEBDD">
      <w:pPr>
        <w:bidi w:val="0"/>
        <w:rPr>
          <w:rFonts w:hint="default"/>
          <w:highlight w:val="none"/>
          <w:lang w:val="en-US"/>
        </w:rPr>
      </w:pPr>
      <w:r>
        <w:rPr>
          <w:rFonts w:hint="eastAsia" w:ascii="宋体" w:hAnsi="宋体" w:eastAsia="宋体" w:cs="宋体"/>
          <w:highlight w:val="none"/>
          <w:lang w:val="en-US" w:eastAsia="zh-CN"/>
        </w:rPr>
        <w:t>④</w:t>
      </w:r>
      <w:r>
        <w:rPr>
          <w:rFonts w:hint="eastAsia"/>
          <w:highlight w:val="none"/>
          <w:lang w:val="en-US" w:eastAsia="zh-CN"/>
        </w:rPr>
        <w:t>应急物资储备情况。针对单位危险源数量和性质应储备的应急物资品名和基本储量等，明确对应急救援所需的物资和装备的要求，应急物资与装备保障符合单位实际，满足应急要求。</w:t>
      </w:r>
    </w:p>
    <w:p w14:paraId="51FA1F3E">
      <w:pPr>
        <w:bidi w:val="0"/>
        <w:rPr>
          <w:rFonts w:hint="default"/>
          <w:highlight w:val="none"/>
          <w:lang w:val="en-US"/>
        </w:rPr>
      </w:pPr>
      <w:r>
        <w:rPr>
          <w:rFonts w:hint="eastAsia" w:ascii="宋体" w:hAnsi="宋体" w:eastAsia="宋体" w:cs="宋体"/>
          <w:highlight w:val="none"/>
          <w:lang w:val="en-US" w:eastAsia="zh-CN"/>
        </w:rPr>
        <w:t>⑤</w:t>
      </w:r>
      <w:r>
        <w:rPr>
          <w:rFonts w:hint="eastAsia"/>
          <w:highlight w:val="none"/>
          <w:lang w:val="en-US" w:eastAsia="zh-CN"/>
        </w:rPr>
        <w:t>应急组织指挥体系与职责。包括领导机构、工作机构、地方机构或者现场指挥机构、环境应急专家组等，能够清晰描述本单位的应急组织体系，明确应急组织成员日常及应急状态下的工作职责，各应急救援小组设置合理，应急工作明确。</w:t>
      </w:r>
    </w:p>
    <w:p w14:paraId="0CB226E4">
      <w:pPr>
        <w:bidi w:val="0"/>
        <w:rPr>
          <w:rFonts w:hint="default"/>
          <w:highlight w:val="none"/>
          <w:lang w:val="en-US"/>
        </w:rPr>
      </w:pPr>
      <w:r>
        <w:rPr>
          <w:rFonts w:hint="eastAsia" w:ascii="宋体" w:hAnsi="宋体" w:eastAsia="宋体" w:cs="宋体"/>
          <w:highlight w:val="none"/>
          <w:lang w:val="en-US" w:eastAsia="zh-CN"/>
        </w:rPr>
        <w:t>⑥</w:t>
      </w:r>
      <w:r>
        <w:rPr>
          <w:rFonts w:hint="eastAsia"/>
          <w:highlight w:val="none"/>
          <w:lang w:val="en-US" w:eastAsia="zh-CN"/>
        </w:rPr>
        <w:t>预防与预警机制。包括应急准备措施、环境风险隐患排查和整治措施、预警分级指标、预警发布或者解除程序、预警相应措施等，明确预防和管理措施，明确隐患排查和整治措施，明确预警信息发布的方式、内容和流程，预警级别与采取的预警措施科学合理。</w:t>
      </w:r>
    </w:p>
    <w:p w14:paraId="5816DBBA">
      <w:pPr>
        <w:bidi w:val="0"/>
        <w:rPr>
          <w:rFonts w:hint="default"/>
          <w:highlight w:val="none"/>
          <w:lang w:val="en-US"/>
        </w:rPr>
      </w:pPr>
      <w:r>
        <w:rPr>
          <w:rFonts w:hint="eastAsia" w:ascii="宋体" w:hAnsi="宋体" w:eastAsia="宋体" w:cs="宋体"/>
          <w:highlight w:val="none"/>
          <w:lang w:val="en-US" w:eastAsia="zh-CN"/>
        </w:rPr>
        <w:t>⑦</w:t>
      </w:r>
      <w:r>
        <w:rPr>
          <w:rFonts w:hint="eastAsia"/>
          <w:highlight w:val="none"/>
          <w:lang w:val="en-US" w:eastAsia="zh-CN"/>
        </w:rPr>
        <w:t>应急处置。包括应急预案启动条件、信息报告、先期处置、分级响应、指挥与协调、信息发布、应急终止等程序和措施等。</w:t>
      </w:r>
    </w:p>
    <w:p w14:paraId="5761B7F7">
      <w:pPr>
        <w:bidi w:val="0"/>
        <w:rPr>
          <w:rFonts w:hint="default"/>
          <w:highlight w:val="none"/>
          <w:lang w:val="en-US"/>
        </w:rPr>
      </w:pPr>
      <w:r>
        <w:rPr>
          <w:rFonts w:hint="eastAsia" w:ascii="宋体" w:hAnsi="宋体" w:eastAsia="宋体" w:cs="宋体"/>
          <w:highlight w:val="none"/>
          <w:lang w:val="en-US" w:eastAsia="zh-CN"/>
        </w:rPr>
        <w:t>⑧</w:t>
      </w:r>
      <w:r>
        <w:rPr>
          <w:rFonts w:hint="eastAsia"/>
          <w:highlight w:val="none"/>
          <w:lang w:val="en-US" w:eastAsia="zh-CN"/>
        </w:rPr>
        <w:t>后期处置。包括善后处置、调查与评估、恢复重建等，明确事故发生后，污染物处理、善后处置、应急处置能力评估及应急预案的修订等要求。</w:t>
      </w:r>
    </w:p>
    <w:p w14:paraId="3445E2A0">
      <w:pPr>
        <w:bidi w:val="0"/>
        <w:rPr>
          <w:rFonts w:hint="default"/>
          <w:highlight w:val="none"/>
          <w:lang w:val="en-US"/>
        </w:rPr>
      </w:pPr>
      <w:r>
        <w:rPr>
          <w:rFonts w:hint="eastAsia" w:ascii="宋体" w:hAnsi="宋体" w:eastAsia="宋体" w:cs="宋体"/>
          <w:highlight w:val="none"/>
          <w:lang w:val="en-US" w:eastAsia="zh-CN"/>
        </w:rPr>
        <w:t>⑨</w:t>
      </w:r>
      <w:r>
        <w:rPr>
          <w:rFonts w:hint="eastAsia"/>
          <w:highlight w:val="none"/>
          <w:lang w:val="en-US" w:eastAsia="zh-CN"/>
        </w:rPr>
        <w:t>应急保障。包括人力资源保障、财力保障、物资保障、医疗卫生保障、交通运输保障、通信保障、科技支撑等，明确上述各类保障措施。</w:t>
      </w:r>
    </w:p>
    <w:p w14:paraId="39287225">
      <w:pPr>
        <w:bidi w:val="0"/>
        <w:rPr>
          <w:rFonts w:hint="default"/>
          <w:highlight w:val="none"/>
          <w:lang w:val="en-US"/>
        </w:rPr>
      </w:pPr>
      <w:r>
        <w:rPr>
          <w:rFonts w:hint="eastAsia" w:ascii="宋体" w:hAnsi="宋体" w:eastAsia="宋体" w:cs="宋体"/>
          <w:highlight w:val="none"/>
          <w:lang w:val="en-US" w:eastAsia="zh-CN"/>
        </w:rPr>
        <w:t>⑩</w:t>
      </w:r>
      <w:r>
        <w:rPr>
          <w:rFonts w:hint="eastAsia"/>
          <w:highlight w:val="none"/>
          <w:lang w:val="en-US" w:eastAsia="zh-CN"/>
        </w:rPr>
        <w:t>监督管理。包括应急预案演练、宣教培训、责任与奖惩等，明确本单位开展应急管理培训的计划和方式方法；如果应急预案涉及周边社区和居民，应明确相应的应急宣传教育工作；明确应急演练的方式、频次、范围、内容、组织、评估、总结等内容；明确各类奖惩制度。</w:t>
      </w:r>
    </w:p>
    <w:p w14:paraId="5713DC0B">
      <w:pPr>
        <w:bidi w:val="0"/>
        <w:rPr>
          <w:rFonts w:hint="default"/>
          <w:highlight w:val="none"/>
          <w:lang w:val="en-US"/>
        </w:rPr>
      </w:pPr>
      <w:r>
        <w:rPr>
          <w:rFonts w:hint="eastAsia" w:ascii="微软雅黑" w:hAnsi="微软雅黑" w:eastAsia="微软雅黑" w:cs="微软雅黑"/>
          <w:i w:val="0"/>
          <w:iCs w:val="0"/>
          <w:caps w:val="0"/>
          <w:color w:val="333333"/>
          <w:spacing w:val="0"/>
          <w:sz w:val="24"/>
          <w:szCs w:val="24"/>
          <w:highlight w:val="none"/>
          <w:shd w:val="clear" w:fill="FFFFFF"/>
        </w:rPr>
        <w:t>⑪</w:t>
      </w:r>
      <w:r>
        <w:rPr>
          <w:rFonts w:hint="eastAsia"/>
          <w:highlight w:val="none"/>
          <w:lang w:val="en-US" w:eastAsia="zh-CN"/>
        </w:rPr>
        <w:t>附则。包括名词术语、预案解释、修订情况和实施日期等，对预案中用到的术语进行解释，明确预案的解释单位，说明预案修订情况，明确实施日期。</w:t>
      </w:r>
    </w:p>
    <w:p w14:paraId="3409099A">
      <w:pPr>
        <w:bidi w:val="0"/>
        <w:rPr>
          <w:rFonts w:hint="default"/>
          <w:highlight w:val="none"/>
          <w:lang w:val="en-US"/>
        </w:rPr>
      </w:pPr>
      <w:r>
        <w:rPr>
          <w:rFonts w:hint="eastAsia" w:ascii="微软雅黑" w:hAnsi="微软雅黑" w:eastAsia="微软雅黑" w:cs="微软雅黑"/>
          <w:i w:val="0"/>
          <w:iCs w:val="0"/>
          <w:caps w:val="0"/>
          <w:color w:val="333333"/>
          <w:spacing w:val="0"/>
          <w:sz w:val="24"/>
          <w:szCs w:val="24"/>
          <w:highlight w:val="none"/>
          <w:shd w:val="clear" w:fill="FFFFFF"/>
        </w:rPr>
        <w:t>⑫</w:t>
      </w:r>
      <w:r>
        <w:rPr>
          <w:rFonts w:hint="eastAsia"/>
          <w:highlight w:val="none"/>
          <w:lang w:val="en-US" w:eastAsia="zh-CN"/>
        </w:rPr>
        <w:t>附件。包括相关单位和人员通讯录、标准化格式文本、工作流程图、应急物资储备清单等，通讯录应列出所有参与应急指挥、协调人员姓名、所在部门、职务和联系电话，并保证准确有效；给出信息接报、处理、上报等规范化格式文本，要求规范、清晰、简洁；明确工作流程，关键的路线、标识和图纸等；以表格形式列出应急装备、设施和器材清单，清单应当包括种类、名称、数量以及存放位置、规格、性能、用途和用法等信息。</w:t>
      </w:r>
    </w:p>
    <w:p w14:paraId="0FE2A8AA">
      <w:pPr>
        <w:bidi w:val="0"/>
        <w:rPr>
          <w:highlight w:val="none"/>
        </w:rPr>
      </w:pPr>
      <w:bookmarkStart w:id="420" w:name="_Toc13836"/>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区域应急预案联动方案</w:t>
      </w:r>
      <w:bookmarkEnd w:id="420"/>
    </w:p>
    <w:p w14:paraId="46489393">
      <w:pPr>
        <w:bidi w:val="0"/>
        <w:rPr>
          <w:highlight w:val="none"/>
        </w:rPr>
      </w:pPr>
      <w:r>
        <w:rPr>
          <w:highlight w:val="none"/>
        </w:rPr>
        <w:t>企业环境应急预案和</w:t>
      </w:r>
      <w:r>
        <w:rPr>
          <w:rFonts w:hint="eastAsia"/>
          <w:highlight w:val="none"/>
        </w:rPr>
        <w:t>平房区</w:t>
      </w:r>
      <w:r>
        <w:rPr>
          <w:highlight w:val="none"/>
        </w:rPr>
        <w:t>、市级环境应急预案应有效</w:t>
      </w:r>
      <w:r>
        <w:rPr>
          <w:rFonts w:hint="eastAsia"/>
          <w:highlight w:val="none"/>
          <w:lang w:eastAsia="zh-CN"/>
        </w:rPr>
        <w:t>地</w:t>
      </w:r>
      <w:r>
        <w:rPr>
          <w:highlight w:val="none"/>
        </w:rPr>
        <w:t>衔接和联动。特别重大或者重大突发事故发生后，要立即报告，同时通报有关地区和部门。应急处置过程中，要及时续报有关情况。</w:t>
      </w:r>
    </w:p>
    <w:p w14:paraId="70DF25F5">
      <w:pPr>
        <w:bidi w:val="0"/>
        <w:rPr>
          <w:highlight w:val="none"/>
        </w:rPr>
      </w:pPr>
      <w:r>
        <w:rPr>
          <w:rFonts w:hint="eastAsia"/>
          <w:highlight w:val="none"/>
        </w:rPr>
        <w:t>①</w:t>
      </w:r>
      <w:r>
        <w:rPr>
          <w:highlight w:val="none"/>
        </w:rPr>
        <w:t>在风险事故发生后，企业启动应急预案的同时，依据市政府、园区的应急预案，判定风险事故等级，并进行风险公告；</w:t>
      </w:r>
    </w:p>
    <w:p w14:paraId="494F5066">
      <w:pPr>
        <w:bidi w:val="0"/>
        <w:rPr>
          <w:highlight w:val="none"/>
        </w:rPr>
      </w:pPr>
      <w:r>
        <w:rPr>
          <w:rFonts w:hint="eastAsia"/>
          <w:highlight w:val="none"/>
        </w:rPr>
        <w:t>②</w:t>
      </w:r>
      <w:r>
        <w:rPr>
          <w:highlight w:val="none"/>
        </w:rPr>
        <w:t>与市政府、园区应急预案进行融合，在区域应急预案启动后，企业应急预案各级部门应服从统一安排和调遣，避免在预案启动执行过程中，发生组织混乱、人员职责分配紊乱现象；</w:t>
      </w:r>
    </w:p>
    <w:p w14:paraId="389F2B55">
      <w:pPr>
        <w:bidi w:val="0"/>
        <w:rPr>
          <w:highlight w:val="none"/>
        </w:rPr>
      </w:pPr>
      <w:r>
        <w:rPr>
          <w:rFonts w:hint="eastAsia"/>
          <w:highlight w:val="none"/>
        </w:rPr>
        <w:t>③</w:t>
      </w:r>
      <w:r>
        <w:rPr>
          <w:highlight w:val="none"/>
        </w:rPr>
        <w:t>在区域应急预案与企业预案需同时执行的情况下，企业预案应在不扰乱区域应急预案的前提下进行，并对区域预案有辅助作用；</w:t>
      </w:r>
    </w:p>
    <w:p w14:paraId="6C76D655">
      <w:pPr>
        <w:bidi w:val="0"/>
        <w:rPr>
          <w:highlight w:val="none"/>
        </w:rPr>
      </w:pPr>
      <w:r>
        <w:rPr>
          <w:rFonts w:hint="eastAsia"/>
          <w:highlight w:val="none"/>
        </w:rPr>
        <w:t>④</w:t>
      </w:r>
      <w:r>
        <w:rPr>
          <w:highlight w:val="none"/>
        </w:rPr>
        <w:t>上报企业应急预案，由地区有关部门进行审查，并纳入地区应急预案执行程序中的分预案，由地区应急预案执行部门统一演习训练；</w:t>
      </w:r>
    </w:p>
    <w:p w14:paraId="37953310">
      <w:pPr>
        <w:bidi w:val="0"/>
        <w:rPr>
          <w:highlight w:val="none"/>
        </w:rPr>
      </w:pPr>
      <w:r>
        <w:rPr>
          <w:rFonts w:hint="eastAsia"/>
          <w:highlight w:val="none"/>
        </w:rPr>
        <w:t>⑤</w:t>
      </w:r>
      <w:r>
        <w:rPr>
          <w:highlight w:val="none"/>
        </w:rPr>
        <w:t>具体衔接操作（需启动地区环境应急预案的风险事故预案）：</w:t>
      </w:r>
    </w:p>
    <w:p w14:paraId="781BFC9E">
      <w:pPr>
        <w:bidi w:val="0"/>
        <w:rPr>
          <w:highlight w:val="none"/>
        </w:rPr>
      </w:pPr>
      <w:r>
        <w:rPr>
          <w:highlight w:val="none"/>
        </w:rPr>
        <w:t>事故发生后，企业应及时向上级部门、政府反馈事故信息，要求启动区域环境风险应急预案，并选取对事故较为了解的小组成员作为区域环境应急预案执行过程中的技术指导；</w:t>
      </w:r>
    </w:p>
    <w:p w14:paraId="57759A04">
      <w:pPr>
        <w:bidi w:val="0"/>
        <w:rPr>
          <w:highlight w:val="none"/>
        </w:rPr>
      </w:pPr>
      <w:r>
        <w:rPr>
          <w:highlight w:val="none"/>
        </w:rPr>
        <w:t>企业内部应急程序启动，并将各独立功能组织分配到地区应急程序中，进行有机组合、成员和物资的合理分工，以实现两项应急程序和谐执行；</w:t>
      </w:r>
    </w:p>
    <w:p w14:paraId="766178B7">
      <w:pPr>
        <w:bidi w:val="0"/>
        <w:rPr>
          <w:highlight w:val="none"/>
        </w:rPr>
      </w:pPr>
      <w:r>
        <w:rPr>
          <w:rFonts w:hint="eastAsia"/>
          <w:highlight w:val="none"/>
          <w:lang w:eastAsia="zh-CN"/>
        </w:rPr>
        <w:t>场区应急</w:t>
      </w:r>
      <w:r>
        <w:rPr>
          <w:highlight w:val="none"/>
        </w:rPr>
        <w:t>程序执行目的在于保护区域范围内的人员、环境安全，保证风险事故影响控制在区域最小范围内，从而对保护范围外的环境起到间接保护作用；企业应急预案执行目的在于保护企业内部人员的安全、确保风险事故的环境影响不扩张到企业外界环境。为减少环境风险事故对外环境的影响。企业内部的应急程序应成为地区环境风险事故应急预案的起点，地区应急预案应以首先确保企业内部应急预案执行程序顺利进行为前提，风险事故发生后，应以控制其影响不超出企业范围为基本目的，两项应急程序相互配合，并以企业应急预案为主，地区应急预案为辅；</w:t>
      </w:r>
    </w:p>
    <w:p w14:paraId="58673AC7">
      <w:pPr>
        <w:bidi w:val="0"/>
        <w:rPr>
          <w:highlight w:val="none"/>
        </w:rPr>
      </w:pPr>
      <w:r>
        <w:rPr>
          <w:highlight w:val="none"/>
        </w:rPr>
        <w:t>在风险事故发生后，事故影响已跨越企业范围，影响到外部环境，此时应以地区风险事故应急预案为主，其目的在于确保企业事故影响不会扩大，保护区域环境少受影响；</w:t>
      </w:r>
      <w:r>
        <w:rPr>
          <w:rFonts w:hint="eastAsia" w:ascii="宋体" w:hAnsi="宋体" w:eastAsia="宋体" w:cs="宋体"/>
          <w:highlight w:val="none"/>
        </w:rPr>
        <w:t>企业一旦发生重大事故，本单位抢险抢救力量不足或有可能危及社会安全时，指挥部必须立即向上级和友邻单位通报，必要时请求社会力量援助。社会援助队伍进入厂区时，指挥部应责成专人联络、引导并告知安全注意事项。</w:t>
      </w:r>
    </w:p>
    <w:p w14:paraId="4F92C04C">
      <w:pPr>
        <w:bidi w:val="0"/>
        <w:rPr>
          <w:highlight w:val="none"/>
        </w:rPr>
      </w:pPr>
      <w:r>
        <w:rPr>
          <w:rFonts w:hint="eastAsia"/>
          <w:highlight w:val="none"/>
          <w:lang w:eastAsia="zh-CN"/>
        </w:rPr>
        <w:t>哈尔滨东安汽车发动机制造有限公司</w:t>
      </w:r>
      <w:r>
        <w:rPr>
          <w:highlight w:val="none"/>
        </w:rPr>
        <w:t>与当地政府、邻近企业建立定期交流机制，充分发挥信息互通、资源共享的区域联防优势，提高应急响应效率，有效控制环境事件的扩大。</w:t>
      </w:r>
    </w:p>
    <w:p w14:paraId="7AC69558">
      <w:pPr>
        <w:pStyle w:val="4"/>
        <w:bidi w:val="0"/>
        <w:rPr>
          <w:highlight w:val="none"/>
        </w:rPr>
      </w:pPr>
      <w:bookmarkStart w:id="421" w:name="_Toc14889"/>
      <w:bookmarkStart w:id="422" w:name="_Toc27988"/>
      <w:bookmarkStart w:id="423" w:name="_Toc28007"/>
      <w:r>
        <w:rPr>
          <w:highlight w:val="none"/>
        </w:rPr>
        <w:t>6.4环境保护投资</w:t>
      </w:r>
      <w:bookmarkEnd w:id="421"/>
      <w:bookmarkEnd w:id="422"/>
      <w:bookmarkEnd w:id="423"/>
    </w:p>
    <w:p w14:paraId="182116F4">
      <w:pPr>
        <w:spacing w:line="360" w:lineRule="auto"/>
        <w:ind w:firstLine="480" w:firstLineChars="200"/>
        <w:contextualSpacing/>
        <w:rPr>
          <w:rFonts w:eastAsiaTheme="minorEastAsia"/>
          <w:snapToGrid w:val="0"/>
          <w:kern w:val="0"/>
          <w:sz w:val="24"/>
          <w:highlight w:val="none"/>
        </w:rPr>
      </w:pPr>
      <w:r>
        <w:rPr>
          <w:rFonts w:hAnsiTheme="minorEastAsia" w:eastAsiaTheme="minorEastAsia"/>
          <w:snapToGrid w:val="0"/>
          <w:kern w:val="0"/>
          <w:sz w:val="24"/>
          <w:highlight w:val="none"/>
        </w:rPr>
        <w:t>环保投资比按下式计算：</w:t>
      </w:r>
    </w:p>
    <w:p w14:paraId="36544367">
      <w:pPr>
        <w:jc w:val="center"/>
        <w:rPr>
          <w:rFonts w:eastAsiaTheme="minorEastAsia"/>
          <w:snapToGrid w:val="0"/>
          <w:kern w:val="0"/>
          <w:sz w:val="24"/>
          <w:highlight w:val="none"/>
        </w:rPr>
      </w:pPr>
      <w:r>
        <w:rPr>
          <w:rFonts w:eastAsiaTheme="minorEastAsia"/>
          <w:kern w:val="0"/>
          <w:sz w:val="24"/>
          <w:highlight w:val="none"/>
        </w:rPr>
        <w:drawing>
          <wp:inline distT="0" distB="0" distL="0" distR="0">
            <wp:extent cx="1132840" cy="409575"/>
            <wp:effectExtent l="19050" t="0" r="0" b="0"/>
            <wp:docPr id="67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151"/>
                    <pic:cNvPicPr>
                      <a:picLocks noChangeAspect="1" noChangeArrowheads="1"/>
                    </pic:cNvPicPr>
                  </pic:nvPicPr>
                  <pic:blipFill>
                    <a:blip r:embed="rId63" cstate="print"/>
                    <a:srcRect/>
                    <a:stretch>
                      <a:fillRect/>
                    </a:stretch>
                  </pic:blipFill>
                  <pic:spPr>
                    <a:xfrm>
                      <a:off x="0" y="0"/>
                      <a:ext cx="1132840" cy="409575"/>
                    </a:xfrm>
                    <a:prstGeom prst="rect">
                      <a:avLst/>
                    </a:prstGeom>
                    <a:noFill/>
                    <a:ln w="9525">
                      <a:noFill/>
                      <a:miter lim="800000"/>
                      <a:headEnd/>
                      <a:tailEnd/>
                    </a:ln>
                  </pic:spPr>
                </pic:pic>
              </a:graphicData>
            </a:graphic>
          </wp:inline>
        </w:drawing>
      </w:r>
    </w:p>
    <w:p w14:paraId="4A1299CE">
      <w:pPr>
        <w:spacing w:line="360" w:lineRule="auto"/>
        <w:rPr>
          <w:rFonts w:eastAsiaTheme="minorEastAsia"/>
          <w:snapToGrid w:val="0"/>
          <w:kern w:val="0"/>
          <w:sz w:val="24"/>
          <w:highlight w:val="none"/>
        </w:rPr>
      </w:pPr>
      <w:r>
        <w:rPr>
          <w:rFonts w:hAnsiTheme="minorEastAsia" w:eastAsiaTheme="minorEastAsia"/>
          <w:snapToGrid w:val="0"/>
          <w:kern w:val="0"/>
          <w:sz w:val="24"/>
          <w:highlight w:val="none"/>
        </w:rPr>
        <w:t>式中：</w:t>
      </w:r>
      <w:r>
        <w:rPr>
          <w:rFonts w:eastAsiaTheme="minorEastAsia"/>
          <w:i/>
          <w:snapToGrid w:val="0"/>
          <w:kern w:val="0"/>
          <w:sz w:val="24"/>
          <w:highlight w:val="none"/>
        </w:rPr>
        <w:t>HJ</w:t>
      </w:r>
      <w:r>
        <w:rPr>
          <w:rFonts w:eastAsiaTheme="minorEastAsia"/>
          <w:snapToGrid w:val="0"/>
          <w:kern w:val="0"/>
          <w:sz w:val="24"/>
          <w:highlight w:val="none"/>
        </w:rPr>
        <w:t>—</w:t>
      </w:r>
      <w:r>
        <w:rPr>
          <w:rFonts w:hAnsiTheme="minorEastAsia" w:eastAsiaTheme="minorEastAsia"/>
          <w:snapToGrid w:val="0"/>
          <w:kern w:val="0"/>
          <w:sz w:val="24"/>
          <w:highlight w:val="none"/>
        </w:rPr>
        <w:t>环保费用投资比，</w:t>
      </w:r>
      <w:r>
        <w:rPr>
          <w:rFonts w:eastAsiaTheme="minorEastAsia"/>
          <w:snapToGrid w:val="0"/>
          <w:kern w:val="0"/>
          <w:sz w:val="24"/>
          <w:highlight w:val="none"/>
        </w:rPr>
        <w:t>100</w:t>
      </w:r>
      <w:r>
        <w:rPr>
          <w:rFonts w:hAnsiTheme="minorEastAsia" w:eastAsiaTheme="minorEastAsia"/>
          <w:snapToGrid w:val="0"/>
          <w:kern w:val="0"/>
          <w:sz w:val="24"/>
          <w:highlight w:val="none"/>
        </w:rPr>
        <w:t>％；</w:t>
      </w:r>
    </w:p>
    <w:p w14:paraId="0200D1FB">
      <w:pPr>
        <w:spacing w:line="360" w:lineRule="auto"/>
        <w:rPr>
          <w:rFonts w:eastAsiaTheme="minorEastAsia"/>
          <w:snapToGrid w:val="0"/>
          <w:kern w:val="0"/>
          <w:sz w:val="24"/>
          <w:highlight w:val="none"/>
        </w:rPr>
      </w:pPr>
      <w:r>
        <w:rPr>
          <w:rFonts w:eastAsiaTheme="minorEastAsia"/>
          <w:i/>
          <w:snapToGrid w:val="0"/>
          <w:kern w:val="0"/>
          <w:sz w:val="24"/>
          <w:highlight w:val="none"/>
        </w:rPr>
        <w:t>HT</w:t>
      </w:r>
      <w:r>
        <w:rPr>
          <w:rFonts w:eastAsiaTheme="minorEastAsia"/>
          <w:snapToGrid w:val="0"/>
          <w:kern w:val="0"/>
          <w:sz w:val="24"/>
          <w:highlight w:val="none"/>
        </w:rPr>
        <w:t>—</w:t>
      </w:r>
      <w:r>
        <w:rPr>
          <w:rFonts w:hAnsiTheme="minorEastAsia" w:eastAsiaTheme="minorEastAsia"/>
          <w:snapToGrid w:val="0"/>
          <w:kern w:val="0"/>
          <w:sz w:val="24"/>
          <w:highlight w:val="none"/>
        </w:rPr>
        <w:t>环保投资，万元；</w:t>
      </w:r>
    </w:p>
    <w:p w14:paraId="62C23F7D">
      <w:pPr>
        <w:spacing w:line="360" w:lineRule="auto"/>
        <w:rPr>
          <w:rFonts w:eastAsiaTheme="minorEastAsia"/>
          <w:snapToGrid w:val="0"/>
          <w:kern w:val="0"/>
          <w:sz w:val="24"/>
          <w:highlight w:val="none"/>
        </w:rPr>
      </w:pPr>
      <w:r>
        <w:rPr>
          <w:rFonts w:eastAsiaTheme="minorEastAsia"/>
          <w:i/>
          <w:snapToGrid w:val="0"/>
          <w:kern w:val="0"/>
          <w:sz w:val="24"/>
          <w:highlight w:val="none"/>
        </w:rPr>
        <w:t>JI</w:t>
      </w:r>
      <w:r>
        <w:rPr>
          <w:rFonts w:eastAsiaTheme="minorEastAsia"/>
          <w:snapToGrid w:val="0"/>
          <w:kern w:val="0"/>
          <w:sz w:val="24"/>
          <w:highlight w:val="none"/>
        </w:rPr>
        <w:t>—</w:t>
      </w:r>
      <w:r>
        <w:rPr>
          <w:rFonts w:hAnsiTheme="minorEastAsia" w:eastAsiaTheme="minorEastAsia"/>
          <w:snapToGrid w:val="0"/>
          <w:kern w:val="0"/>
          <w:sz w:val="24"/>
          <w:highlight w:val="none"/>
        </w:rPr>
        <w:t>项目总投资，万元。</w:t>
      </w:r>
    </w:p>
    <w:p w14:paraId="0CAED330">
      <w:pPr>
        <w:spacing w:line="360" w:lineRule="auto"/>
        <w:ind w:firstLine="480" w:firstLineChars="200"/>
        <w:rPr>
          <w:rFonts w:eastAsiaTheme="minorEastAsia"/>
          <w:snapToGrid w:val="0"/>
          <w:kern w:val="0"/>
          <w:sz w:val="24"/>
          <w:highlight w:val="none"/>
        </w:rPr>
      </w:pPr>
      <w:r>
        <w:rPr>
          <w:rFonts w:hAnsiTheme="minorEastAsia" w:eastAsiaTheme="minorEastAsia"/>
          <w:snapToGrid w:val="0"/>
          <w:kern w:val="0"/>
          <w:sz w:val="24"/>
          <w:highlight w:val="none"/>
        </w:rPr>
        <w:t>根据工程分析和环境影响预测及评价结果，本项目产生的污水、废气、噪声等对周围环境将会产生一定的影响，因此，必须采取相应的环境保护措施加以控制，并保证相应环保投资的投入，以使项目建成后生产过程中产生的各类污染物对周围环境的影响降低到最小程度。根据初步估算，本项目的环保投资见</w:t>
      </w:r>
      <w:r>
        <w:rPr>
          <w:rFonts w:hint="eastAsia" w:hAnsiTheme="minorEastAsia" w:eastAsiaTheme="minorEastAsia"/>
          <w:snapToGrid w:val="0"/>
          <w:kern w:val="0"/>
          <w:sz w:val="24"/>
          <w:highlight w:val="none"/>
          <w:lang w:val="en-US" w:eastAsia="zh-CN"/>
        </w:rPr>
        <w:t>下表</w:t>
      </w:r>
      <w:r>
        <w:rPr>
          <w:rFonts w:hAnsiTheme="minorEastAsia" w:eastAsiaTheme="minorEastAsia"/>
          <w:snapToGrid w:val="0"/>
          <w:kern w:val="0"/>
          <w:sz w:val="24"/>
          <w:highlight w:val="none"/>
        </w:rPr>
        <w:t>。</w:t>
      </w:r>
    </w:p>
    <w:p w14:paraId="40AAB2D7">
      <w:pPr>
        <w:spacing w:line="360" w:lineRule="auto"/>
        <w:ind w:firstLine="480" w:firstLineChars="200"/>
        <w:rPr>
          <w:rFonts w:eastAsiaTheme="minorEastAsia"/>
          <w:snapToGrid w:val="0"/>
          <w:kern w:val="0"/>
          <w:highlight w:val="none"/>
        </w:rPr>
      </w:pPr>
      <w:bookmarkStart w:id="424" w:name="_Hlk480428871"/>
      <w:r>
        <w:rPr>
          <w:rFonts w:hAnsiTheme="minorEastAsia" w:eastAsiaTheme="minorEastAsia"/>
          <w:snapToGrid w:val="0"/>
          <w:kern w:val="0"/>
          <w:sz w:val="24"/>
          <w:highlight w:val="none"/>
        </w:rPr>
        <w:t>本工程总投资为</w:t>
      </w:r>
      <w:r>
        <w:rPr>
          <w:rFonts w:hint="eastAsia" w:hAnsiTheme="minorEastAsia" w:eastAsiaTheme="minorEastAsia"/>
          <w:snapToGrid w:val="0"/>
          <w:kern w:val="0"/>
          <w:sz w:val="24"/>
          <w:highlight w:val="none"/>
          <w:lang w:val="en-US" w:eastAsia="zh-CN"/>
        </w:rPr>
        <w:t>1000</w:t>
      </w:r>
      <w:r>
        <w:rPr>
          <w:rFonts w:hAnsiTheme="minorEastAsia" w:eastAsiaTheme="minorEastAsia"/>
          <w:snapToGrid w:val="0"/>
          <w:kern w:val="0"/>
          <w:sz w:val="24"/>
          <w:highlight w:val="none"/>
        </w:rPr>
        <w:t>万元，环保投资估算为</w:t>
      </w:r>
      <w:r>
        <w:rPr>
          <w:rFonts w:hint="eastAsia" w:eastAsiaTheme="minorEastAsia"/>
          <w:snapToGrid w:val="0"/>
          <w:kern w:val="0"/>
          <w:sz w:val="24"/>
          <w:highlight w:val="none"/>
          <w:lang w:val="en-US" w:eastAsia="zh-CN"/>
        </w:rPr>
        <w:t>500</w:t>
      </w:r>
      <w:r>
        <w:rPr>
          <w:rFonts w:hAnsiTheme="minorEastAsia" w:eastAsiaTheme="minorEastAsia"/>
          <w:snapToGrid w:val="0"/>
          <w:kern w:val="0"/>
          <w:sz w:val="24"/>
          <w:highlight w:val="none"/>
        </w:rPr>
        <w:t>万元，占总投资的</w:t>
      </w:r>
      <w:r>
        <w:rPr>
          <w:rFonts w:hint="eastAsia" w:eastAsiaTheme="minorEastAsia"/>
          <w:snapToGrid w:val="0"/>
          <w:kern w:val="0"/>
          <w:sz w:val="24"/>
          <w:highlight w:val="none"/>
          <w:lang w:val="en-US" w:eastAsia="zh-CN"/>
        </w:rPr>
        <w:t>50</w:t>
      </w:r>
      <w:r>
        <w:rPr>
          <w:rFonts w:eastAsiaTheme="minorEastAsia"/>
          <w:snapToGrid w:val="0"/>
          <w:kern w:val="0"/>
          <w:sz w:val="24"/>
          <w:highlight w:val="none"/>
        </w:rPr>
        <w:t>%</w:t>
      </w:r>
      <w:r>
        <w:rPr>
          <w:rFonts w:hAnsiTheme="minorEastAsia" w:eastAsiaTheme="minorEastAsia"/>
          <w:snapToGrid w:val="0"/>
          <w:kern w:val="0"/>
          <w:sz w:val="24"/>
          <w:highlight w:val="none"/>
        </w:rPr>
        <w:t>。</w:t>
      </w:r>
    </w:p>
    <w:p w14:paraId="420A6E74">
      <w:pPr>
        <w:pStyle w:val="7"/>
        <w:bidi w:val="0"/>
        <w:rPr>
          <w:highlight w:val="none"/>
          <w:lang w:val="zh-CN"/>
        </w:rPr>
      </w:pPr>
      <w:r>
        <w:rPr>
          <w:highlight w:val="none"/>
          <w:lang w:val="zh-CN"/>
        </w:rPr>
        <w:t>表6-4-1环保投资明细表</w:t>
      </w:r>
    </w:p>
    <w:tbl>
      <w:tblPr>
        <w:tblStyle w:val="44"/>
        <w:tblW w:w="86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7"/>
        <w:gridCol w:w="1139"/>
        <w:gridCol w:w="5704"/>
        <w:gridCol w:w="1429"/>
      </w:tblGrid>
      <w:tr w14:paraId="64BA7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gridSpan w:val="2"/>
            <w:shd w:val="clear" w:color="auto" w:fill="auto"/>
            <w:vAlign w:val="center"/>
          </w:tcPr>
          <w:p w14:paraId="24A244D6">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项目</w:t>
            </w:r>
          </w:p>
        </w:tc>
        <w:tc>
          <w:tcPr>
            <w:tcW w:w="5704" w:type="dxa"/>
            <w:shd w:val="clear" w:color="auto" w:fill="auto"/>
            <w:vAlign w:val="center"/>
          </w:tcPr>
          <w:p w14:paraId="4FEA1E53">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治理设施内容</w:t>
            </w:r>
          </w:p>
        </w:tc>
        <w:tc>
          <w:tcPr>
            <w:tcW w:w="1429" w:type="dxa"/>
            <w:shd w:val="clear" w:color="auto" w:fill="auto"/>
            <w:vAlign w:val="center"/>
          </w:tcPr>
          <w:p w14:paraId="74413E82">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金额（万元）</w:t>
            </w:r>
          </w:p>
        </w:tc>
      </w:tr>
      <w:tr w14:paraId="07D0E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gridSpan w:val="2"/>
            <w:vMerge w:val="restart"/>
            <w:shd w:val="clear" w:color="auto" w:fill="auto"/>
            <w:vAlign w:val="center"/>
          </w:tcPr>
          <w:p w14:paraId="0337A05E">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施工期</w:t>
            </w:r>
          </w:p>
        </w:tc>
        <w:tc>
          <w:tcPr>
            <w:tcW w:w="5704" w:type="dxa"/>
            <w:shd w:val="clear" w:color="auto" w:fill="auto"/>
            <w:vAlign w:val="center"/>
          </w:tcPr>
          <w:p w14:paraId="4BEC445F">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施工期设备减振措施</w:t>
            </w:r>
          </w:p>
        </w:tc>
        <w:tc>
          <w:tcPr>
            <w:tcW w:w="1429" w:type="dxa"/>
            <w:shd w:val="clear" w:color="auto" w:fill="auto"/>
            <w:vAlign w:val="center"/>
          </w:tcPr>
          <w:p w14:paraId="5368800F">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25</w:t>
            </w:r>
          </w:p>
        </w:tc>
      </w:tr>
      <w:tr w14:paraId="52A8C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gridSpan w:val="2"/>
            <w:vMerge w:val="continue"/>
            <w:shd w:val="clear" w:color="auto" w:fill="auto"/>
            <w:vAlign w:val="center"/>
          </w:tcPr>
          <w:p w14:paraId="404B4646">
            <w:pPr>
              <w:pStyle w:val="8"/>
              <w:suppressLineNumbers w:val="0"/>
              <w:bidi w:val="0"/>
              <w:spacing w:before="0" w:beforeAutospacing="0" w:after="0" w:afterAutospacing="0"/>
              <w:ind w:left="0" w:right="0"/>
              <w:rPr>
                <w:rFonts w:hint="default"/>
                <w:highlight w:val="none"/>
                <w:lang w:val="zh-CN"/>
              </w:rPr>
            </w:pPr>
          </w:p>
        </w:tc>
        <w:tc>
          <w:tcPr>
            <w:tcW w:w="5704" w:type="dxa"/>
            <w:shd w:val="clear" w:color="auto" w:fill="auto"/>
            <w:vAlign w:val="center"/>
          </w:tcPr>
          <w:p w14:paraId="3F75E7CE">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固体废物运输</w:t>
            </w:r>
          </w:p>
        </w:tc>
        <w:tc>
          <w:tcPr>
            <w:tcW w:w="1429" w:type="dxa"/>
            <w:shd w:val="clear" w:color="auto" w:fill="auto"/>
            <w:vAlign w:val="center"/>
          </w:tcPr>
          <w:p w14:paraId="370CADC9">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25</w:t>
            </w:r>
          </w:p>
        </w:tc>
      </w:tr>
      <w:tr w14:paraId="17DD4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gridSpan w:val="2"/>
            <w:vMerge w:val="continue"/>
            <w:shd w:val="clear" w:color="auto" w:fill="auto"/>
            <w:vAlign w:val="center"/>
          </w:tcPr>
          <w:p w14:paraId="031941AC">
            <w:pPr>
              <w:pStyle w:val="8"/>
              <w:suppressLineNumbers w:val="0"/>
              <w:bidi w:val="0"/>
              <w:spacing w:before="0" w:beforeAutospacing="0" w:after="0" w:afterAutospacing="0"/>
              <w:ind w:left="0" w:right="0"/>
              <w:rPr>
                <w:rFonts w:hint="default"/>
                <w:highlight w:val="none"/>
                <w:lang w:val="zh-CN"/>
              </w:rPr>
            </w:pPr>
          </w:p>
        </w:tc>
        <w:tc>
          <w:tcPr>
            <w:tcW w:w="5704" w:type="dxa"/>
            <w:shd w:val="clear" w:color="auto" w:fill="auto"/>
            <w:vAlign w:val="center"/>
          </w:tcPr>
          <w:p w14:paraId="42197356">
            <w:pPr>
              <w:pStyle w:val="8"/>
              <w:suppressLineNumbers w:val="0"/>
              <w:bidi w:val="0"/>
              <w:spacing w:before="0" w:beforeAutospacing="0" w:after="0" w:afterAutospacing="0"/>
              <w:ind w:left="0" w:right="0"/>
              <w:rPr>
                <w:rFonts w:hint="default"/>
                <w:highlight w:val="none"/>
                <w:lang w:val="zh-CN"/>
              </w:rPr>
            </w:pPr>
            <w:r>
              <w:rPr>
                <w:rFonts w:hint="eastAsia"/>
                <w:highlight w:val="none"/>
                <w:lang w:val="zh-CN" w:eastAsia="zh-CN"/>
              </w:rPr>
              <w:t>施工材料苫盖抑尘措施，施工场地围挡</w:t>
            </w:r>
          </w:p>
        </w:tc>
        <w:tc>
          <w:tcPr>
            <w:tcW w:w="1429" w:type="dxa"/>
            <w:shd w:val="clear" w:color="auto" w:fill="auto"/>
            <w:vAlign w:val="center"/>
          </w:tcPr>
          <w:p w14:paraId="0A3A1712">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40</w:t>
            </w:r>
          </w:p>
        </w:tc>
      </w:tr>
      <w:tr w14:paraId="1C312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87" w:type="dxa"/>
            <w:vMerge w:val="restart"/>
            <w:shd w:val="clear" w:color="auto" w:fill="auto"/>
            <w:vAlign w:val="center"/>
          </w:tcPr>
          <w:p w14:paraId="3338F6FF">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运营期</w:t>
            </w:r>
          </w:p>
        </w:tc>
        <w:tc>
          <w:tcPr>
            <w:tcW w:w="1139" w:type="dxa"/>
            <w:shd w:val="clear" w:color="auto" w:fill="auto"/>
            <w:vAlign w:val="center"/>
          </w:tcPr>
          <w:p w14:paraId="36F248CF">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废气治理</w:t>
            </w:r>
          </w:p>
        </w:tc>
        <w:tc>
          <w:tcPr>
            <w:tcW w:w="5704" w:type="dxa"/>
            <w:shd w:val="clear" w:color="auto" w:fill="auto"/>
            <w:vAlign w:val="center"/>
          </w:tcPr>
          <w:p w14:paraId="24113B60">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生产车间废气集中收集+1套油雾净化器+1根15m高排气筒；危险废物贮存库废气集中收集+活性炭吸附+1根15m高排气筒</w:t>
            </w:r>
          </w:p>
        </w:tc>
        <w:tc>
          <w:tcPr>
            <w:tcW w:w="1429" w:type="dxa"/>
            <w:shd w:val="clear" w:color="auto" w:fill="auto"/>
            <w:vAlign w:val="center"/>
          </w:tcPr>
          <w:p w14:paraId="7B133A7D">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100</w:t>
            </w:r>
          </w:p>
        </w:tc>
      </w:tr>
      <w:tr w14:paraId="2F3A0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387" w:type="dxa"/>
            <w:vMerge w:val="continue"/>
            <w:shd w:val="clear" w:color="auto" w:fill="auto"/>
            <w:vAlign w:val="center"/>
          </w:tcPr>
          <w:p w14:paraId="66AD1509">
            <w:pPr>
              <w:pStyle w:val="8"/>
              <w:suppressLineNumbers w:val="0"/>
              <w:bidi w:val="0"/>
              <w:spacing w:before="0" w:beforeAutospacing="0" w:after="0" w:afterAutospacing="0"/>
              <w:ind w:left="0" w:right="0"/>
              <w:rPr>
                <w:rFonts w:hint="default"/>
                <w:highlight w:val="none"/>
                <w:lang w:val="zh-CN"/>
              </w:rPr>
            </w:pPr>
          </w:p>
        </w:tc>
        <w:tc>
          <w:tcPr>
            <w:tcW w:w="1139" w:type="dxa"/>
            <w:shd w:val="clear" w:color="auto" w:fill="auto"/>
            <w:vAlign w:val="center"/>
          </w:tcPr>
          <w:p w14:paraId="68D2F169">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防渗工程</w:t>
            </w:r>
          </w:p>
        </w:tc>
        <w:tc>
          <w:tcPr>
            <w:tcW w:w="5704" w:type="dxa"/>
            <w:shd w:val="clear" w:color="auto" w:fill="auto"/>
            <w:vAlign w:val="center"/>
          </w:tcPr>
          <w:p w14:paraId="5643C06D">
            <w:pPr>
              <w:pStyle w:val="8"/>
              <w:suppressLineNumbers w:val="0"/>
              <w:bidi w:val="0"/>
              <w:spacing w:before="0" w:beforeAutospacing="0" w:after="0" w:afterAutospacing="0"/>
              <w:ind w:left="0" w:right="0"/>
              <w:rPr>
                <w:rFonts w:hint="default"/>
                <w:highlight w:val="none"/>
              </w:rPr>
            </w:pPr>
            <w:r>
              <w:rPr>
                <w:rFonts w:hint="eastAsia"/>
                <w:highlight w:val="none"/>
                <w:lang w:val="en-US" w:eastAsia="zh-CN"/>
              </w:rPr>
              <w:t>生产车间、危险废物贮存库</w:t>
            </w:r>
            <w:r>
              <w:rPr>
                <w:rFonts w:hint="default" w:ascii="Times New Roman" w:hAnsi="Times New Roman" w:cs="Times New Roman" w:eastAsiaTheme="minorEastAsia"/>
                <w:bCs/>
                <w:spacing w:val="0"/>
                <w:position w:val="0"/>
                <w:highlight w:val="none"/>
              </w:rPr>
              <w:t>采取重点防渗</w:t>
            </w:r>
          </w:p>
        </w:tc>
        <w:tc>
          <w:tcPr>
            <w:tcW w:w="1429" w:type="dxa"/>
            <w:shd w:val="clear" w:color="auto" w:fill="auto"/>
            <w:vAlign w:val="center"/>
          </w:tcPr>
          <w:p w14:paraId="7B6DA26F">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100</w:t>
            </w:r>
          </w:p>
        </w:tc>
      </w:tr>
      <w:tr w14:paraId="5BF94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dxa"/>
            <w:vMerge w:val="continue"/>
            <w:shd w:val="clear" w:color="auto" w:fill="auto"/>
            <w:vAlign w:val="center"/>
          </w:tcPr>
          <w:p w14:paraId="35B718FC">
            <w:pPr>
              <w:pStyle w:val="8"/>
              <w:suppressLineNumbers w:val="0"/>
              <w:bidi w:val="0"/>
              <w:spacing w:before="0" w:beforeAutospacing="0" w:after="0" w:afterAutospacing="0"/>
              <w:ind w:left="0" w:right="0"/>
              <w:rPr>
                <w:rFonts w:hint="default"/>
                <w:highlight w:val="none"/>
                <w:lang w:val="zh-CN"/>
              </w:rPr>
            </w:pPr>
          </w:p>
        </w:tc>
        <w:tc>
          <w:tcPr>
            <w:tcW w:w="1139" w:type="dxa"/>
            <w:shd w:val="clear" w:color="auto" w:fill="auto"/>
            <w:vAlign w:val="center"/>
          </w:tcPr>
          <w:p w14:paraId="12FD1949">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固废治理</w:t>
            </w:r>
          </w:p>
        </w:tc>
        <w:tc>
          <w:tcPr>
            <w:tcW w:w="5704" w:type="dxa"/>
            <w:shd w:val="clear" w:color="auto" w:fill="auto"/>
            <w:vAlign w:val="center"/>
          </w:tcPr>
          <w:p w14:paraId="69086DE4">
            <w:pPr>
              <w:pStyle w:val="8"/>
              <w:suppressLineNumbers w:val="0"/>
              <w:bidi w:val="0"/>
              <w:spacing w:before="0" w:beforeAutospacing="0" w:after="0" w:afterAutospacing="0"/>
              <w:ind w:left="0" w:right="0"/>
              <w:rPr>
                <w:rFonts w:hint="default" w:eastAsia="宋体"/>
                <w:highlight w:val="none"/>
                <w:lang w:val="en-US" w:eastAsia="zh-CN"/>
              </w:rPr>
            </w:pPr>
            <w:r>
              <w:rPr>
                <w:rFonts w:hint="default"/>
                <w:highlight w:val="none"/>
                <w:lang w:val="zh-CN"/>
              </w:rPr>
              <w:t>垃圾箱、</w:t>
            </w:r>
            <w:r>
              <w:rPr>
                <w:rFonts w:hint="default"/>
                <w:highlight w:val="none"/>
              </w:rPr>
              <w:t>清运、危废委托处置</w:t>
            </w:r>
          </w:p>
        </w:tc>
        <w:tc>
          <w:tcPr>
            <w:tcW w:w="1429" w:type="dxa"/>
            <w:shd w:val="clear" w:color="auto" w:fill="auto"/>
            <w:vAlign w:val="center"/>
          </w:tcPr>
          <w:p w14:paraId="470BF415">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60</w:t>
            </w:r>
          </w:p>
        </w:tc>
      </w:tr>
      <w:tr w14:paraId="49EDA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dxa"/>
            <w:vMerge w:val="continue"/>
            <w:shd w:val="clear" w:color="auto" w:fill="auto"/>
            <w:vAlign w:val="center"/>
          </w:tcPr>
          <w:p w14:paraId="6FC6393D">
            <w:pPr>
              <w:pStyle w:val="8"/>
              <w:suppressLineNumbers w:val="0"/>
              <w:bidi w:val="0"/>
              <w:spacing w:before="0" w:beforeAutospacing="0" w:after="0" w:afterAutospacing="0"/>
              <w:ind w:left="0" w:right="0"/>
              <w:rPr>
                <w:rFonts w:hint="default"/>
                <w:highlight w:val="none"/>
                <w:lang w:val="zh-CN"/>
              </w:rPr>
            </w:pPr>
          </w:p>
        </w:tc>
        <w:tc>
          <w:tcPr>
            <w:tcW w:w="1139" w:type="dxa"/>
            <w:shd w:val="clear" w:color="auto" w:fill="auto"/>
            <w:vAlign w:val="center"/>
          </w:tcPr>
          <w:p w14:paraId="4AAAB34A">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噪声治理</w:t>
            </w:r>
          </w:p>
        </w:tc>
        <w:tc>
          <w:tcPr>
            <w:tcW w:w="5704" w:type="dxa"/>
            <w:shd w:val="clear" w:color="auto" w:fill="auto"/>
            <w:vAlign w:val="center"/>
          </w:tcPr>
          <w:p w14:paraId="39C58860">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隔声、减振</w:t>
            </w:r>
          </w:p>
        </w:tc>
        <w:tc>
          <w:tcPr>
            <w:tcW w:w="1429" w:type="dxa"/>
            <w:shd w:val="clear" w:color="auto" w:fill="auto"/>
            <w:vAlign w:val="center"/>
          </w:tcPr>
          <w:p w14:paraId="268A9B45">
            <w:pPr>
              <w:pStyle w:val="8"/>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50</w:t>
            </w:r>
          </w:p>
        </w:tc>
      </w:tr>
      <w:tr w14:paraId="2943A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dxa"/>
            <w:vMerge w:val="continue"/>
            <w:shd w:val="clear" w:color="auto" w:fill="auto"/>
            <w:vAlign w:val="center"/>
          </w:tcPr>
          <w:p w14:paraId="006AFDC5">
            <w:pPr>
              <w:pStyle w:val="8"/>
              <w:suppressLineNumbers w:val="0"/>
              <w:bidi w:val="0"/>
              <w:spacing w:before="0" w:beforeAutospacing="0" w:after="0" w:afterAutospacing="0"/>
              <w:ind w:left="0" w:right="0"/>
              <w:rPr>
                <w:rFonts w:hint="default"/>
                <w:highlight w:val="none"/>
                <w:lang w:val="zh-CN"/>
              </w:rPr>
            </w:pPr>
          </w:p>
        </w:tc>
        <w:tc>
          <w:tcPr>
            <w:tcW w:w="1139" w:type="dxa"/>
            <w:shd w:val="clear" w:color="auto" w:fill="auto"/>
            <w:vAlign w:val="center"/>
          </w:tcPr>
          <w:p w14:paraId="7A53F5FF">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环保设施运行维护维修费用</w:t>
            </w:r>
          </w:p>
        </w:tc>
        <w:tc>
          <w:tcPr>
            <w:tcW w:w="5704" w:type="dxa"/>
            <w:shd w:val="clear" w:color="auto" w:fill="auto"/>
            <w:vAlign w:val="center"/>
          </w:tcPr>
          <w:p w14:paraId="4DB64DBA">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运行期各环保设施的运行维护维修费用</w:t>
            </w:r>
          </w:p>
        </w:tc>
        <w:tc>
          <w:tcPr>
            <w:tcW w:w="1429" w:type="dxa"/>
            <w:shd w:val="clear" w:color="auto" w:fill="auto"/>
            <w:vAlign w:val="center"/>
          </w:tcPr>
          <w:p w14:paraId="72CE8704">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50</w:t>
            </w:r>
          </w:p>
        </w:tc>
      </w:tr>
      <w:tr w14:paraId="2B045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dxa"/>
            <w:vMerge w:val="continue"/>
            <w:shd w:val="clear" w:color="auto" w:fill="auto"/>
            <w:vAlign w:val="center"/>
          </w:tcPr>
          <w:p w14:paraId="6522F902">
            <w:pPr>
              <w:pStyle w:val="8"/>
              <w:suppressLineNumbers w:val="0"/>
              <w:bidi w:val="0"/>
              <w:spacing w:before="0" w:beforeAutospacing="0" w:after="0" w:afterAutospacing="0"/>
              <w:ind w:left="0" w:right="0"/>
              <w:rPr>
                <w:rFonts w:hint="default"/>
                <w:highlight w:val="none"/>
                <w:lang w:val="zh-CN"/>
              </w:rPr>
            </w:pPr>
          </w:p>
        </w:tc>
        <w:tc>
          <w:tcPr>
            <w:tcW w:w="1139" w:type="dxa"/>
            <w:shd w:val="clear" w:color="auto" w:fill="auto"/>
            <w:vAlign w:val="center"/>
          </w:tcPr>
          <w:p w14:paraId="10444C8B">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定期监测</w:t>
            </w:r>
          </w:p>
        </w:tc>
        <w:tc>
          <w:tcPr>
            <w:tcW w:w="5704" w:type="dxa"/>
            <w:shd w:val="clear" w:color="auto" w:fill="auto"/>
            <w:vAlign w:val="center"/>
          </w:tcPr>
          <w:p w14:paraId="0FA7B963">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地下水、大气、废水、噪声等跟踪监测</w:t>
            </w:r>
          </w:p>
        </w:tc>
        <w:tc>
          <w:tcPr>
            <w:tcW w:w="1429" w:type="dxa"/>
            <w:shd w:val="clear" w:color="auto" w:fill="auto"/>
            <w:vAlign w:val="center"/>
          </w:tcPr>
          <w:p w14:paraId="633CC113">
            <w:pPr>
              <w:pStyle w:val="8"/>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50</w:t>
            </w:r>
          </w:p>
        </w:tc>
      </w:tr>
      <w:tr w14:paraId="1E2E5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gridSpan w:val="2"/>
            <w:shd w:val="clear" w:color="auto" w:fill="auto"/>
            <w:vAlign w:val="center"/>
          </w:tcPr>
          <w:p w14:paraId="0C949E57">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合计</w:t>
            </w:r>
          </w:p>
        </w:tc>
        <w:tc>
          <w:tcPr>
            <w:tcW w:w="5704" w:type="dxa"/>
            <w:shd w:val="clear" w:color="auto" w:fill="auto"/>
            <w:vAlign w:val="center"/>
          </w:tcPr>
          <w:p w14:paraId="0D271F9F">
            <w:pPr>
              <w:pStyle w:val="8"/>
              <w:suppressLineNumbers w:val="0"/>
              <w:bidi w:val="0"/>
              <w:spacing w:before="0" w:beforeAutospacing="0" w:after="0" w:afterAutospacing="0"/>
              <w:ind w:left="0" w:right="0"/>
              <w:rPr>
                <w:rFonts w:hint="default"/>
                <w:highlight w:val="none"/>
                <w:lang w:val="zh-CN"/>
              </w:rPr>
            </w:pPr>
            <w:r>
              <w:rPr>
                <w:rFonts w:hint="default"/>
                <w:highlight w:val="none"/>
                <w:lang w:val="zh-CN"/>
              </w:rPr>
              <w:t>/</w:t>
            </w:r>
          </w:p>
        </w:tc>
        <w:tc>
          <w:tcPr>
            <w:tcW w:w="1429" w:type="dxa"/>
            <w:shd w:val="clear" w:color="auto" w:fill="auto"/>
            <w:vAlign w:val="center"/>
          </w:tcPr>
          <w:p w14:paraId="436D06A6">
            <w:pPr>
              <w:pStyle w:val="8"/>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345</w:t>
            </w:r>
          </w:p>
        </w:tc>
      </w:tr>
      <w:bookmarkEnd w:id="424"/>
    </w:tbl>
    <w:p w14:paraId="296BC214">
      <w:pPr>
        <w:spacing w:line="360" w:lineRule="auto"/>
        <w:rPr>
          <w:rFonts w:eastAsiaTheme="minorEastAsia"/>
          <w:sz w:val="24"/>
          <w:highlight w:val="none"/>
        </w:rPr>
        <w:sectPr>
          <w:headerReference r:id="rId17" w:type="default"/>
          <w:footerReference r:id="rId18"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p>
    <w:p w14:paraId="19B99B6E">
      <w:pPr>
        <w:pStyle w:val="3"/>
        <w:bidi w:val="0"/>
        <w:rPr>
          <w:highlight w:val="none"/>
        </w:rPr>
      </w:pPr>
      <w:bookmarkStart w:id="425" w:name="_Toc21241"/>
      <w:bookmarkStart w:id="426" w:name="_Toc477954582"/>
      <w:bookmarkStart w:id="427" w:name="_Toc18208"/>
      <w:bookmarkStart w:id="428" w:name="_Toc7603"/>
      <w:r>
        <w:rPr>
          <w:highlight w:val="none"/>
        </w:rPr>
        <w:t>7环境影响经济损益分析</w:t>
      </w:r>
      <w:bookmarkEnd w:id="425"/>
      <w:bookmarkEnd w:id="426"/>
      <w:bookmarkEnd w:id="427"/>
      <w:bookmarkEnd w:id="428"/>
    </w:p>
    <w:p w14:paraId="5E0A22AF">
      <w:pPr>
        <w:bidi w:val="0"/>
        <w:rPr>
          <w:highlight w:val="none"/>
        </w:rPr>
      </w:pPr>
      <w:r>
        <w:rPr>
          <w:highlight w:val="none"/>
        </w:rPr>
        <w:t>环境经济损益分析主要是评价建设项目实施后，对环境造成的损失费用和采取各种环保治理措施所能收到的环保效果及其带来的经济和社会效益，衡量建设项目的环保投资在经济上的合理水平。</w:t>
      </w:r>
    </w:p>
    <w:p w14:paraId="10D65B3E">
      <w:pPr>
        <w:spacing w:line="360" w:lineRule="auto"/>
        <w:ind w:firstLine="480" w:firstLineChars="200"/>
        <w:contextualSpacing/>
        <w:rPr>
          <w:rFonts w:eastAsiaTheme="minorEastAsia"/>
          <w:kern w:val="0"/>
          <w:sz w:val="24"/>
          <w:highlight w:val="none"/>
        </w:rPr>
      </w:pPr>
      <w:r>
        <w:rPr>
          <w:rFonts w:hAnsiTheme="minorEastAsia" w:eastAsiaTheme="minorEastAsia"/>
          <w:kern w:val="0"/>
          <w:sz w:val="24"/>
          <w:highlight w:val="none"/>
        </w:rPr>
        <w:t>一个项目的开发建设，除对国民经济的发展起着促进作用外，同时也在一定程度上影响着项目拟建地区环境的变化。社会影响、经济影响、环境影响是一个系统的三要素，最终以提高人类的生活质量为目的。它们之间既是互相促进，又互相制约，必须通过全面规划、综合平衡、正确地把全局利益和局部利益、长远利益和近期利益结合起来，对环境保护和经济发展进行协调，实现社会效益、经济效益、环境效益的三统一。通过对拟建项目的经济、社会和环境效益分析，为项目决策者更好地考虑环境、经济和社会效益的统一提供依据。</w:t>
      </w:r>
    </w:p>
    <w:p w14:paraId="60F1FF99">
      <w:pPr>
        <w:pStyle w:val="4"/>
        <w:bidi w:val="0"/>
        <w:rPr>
          <w:highlight w:val="none"/>
        </w:rPr>
      </w:pPr>
      <w:bookmarkStart w:id="429" w:name="_Toc369009159"/>
      <w:bookmarkStart w:id="430" w:name="_Toc477954583"/>
      <w:bookmarkStart w:id="431" w:name="_Toc18108"/>
      <w:bookmarkStart w:id="432" w:name="_Toc17498"/>
      <w:r>
        <w:rPr>
          <w:highlight w:val="none"/>
        </w:rPr>
        <w:t>7.1</w:t>
      </w:r>
      <w:bookmarkEnd w:id="429"/>
      <w:bookmarkEnd w:id="430"/>
      <w:r>
        <w:rPr>
          <w:highlight w:val="none"/>
        </w:rPr>
        <w:t>社会经济效益分析</w:t>
      </w:r>
      <w:bookmarkEnd w:id="431"/>
      <w:bookmarkEnd w:id="432"/>
    </w:p>
    <w:p w14:paraId="317035D4">
      <w:pPr>
        <w:bidi w:val="0"/>
        <w:rPr>
          <w:rFonts w:hint="default"/>
          <w:highlight w:val="none"/>
        </w:rPr>
      </w:pPr>
      <w:bookmarkStart w:id="433" w:name="_Toc8066"/>
      <w:r>
        <w:rPr>
          <w:rFonts w:hAnsiTheme="minorEastAsia" w:eastAsiaTheme="minorEastAsia"/>
          <w:snapToGrid w:val="0"/>
          <w:kern w:val="0"/>
          <w:sz w:val="24"/>
          <w:szCs w:val="21"/>
          <w:highlight w:val="none"/>
        </w:rPr>
        <w:t>项目社会效益主要体现在对当地社会经济的正面影响，以及</w:t>
      </w:r>
      <w:r>
        <w:rPr>
          <w:rFonts w:hint="default"/>
          <w:highlight w:val="none"/>
        </w:rPr>
        <w:t>其危险废物</w:t>
      </w:r>
      <w:r>
        <w:rPr>
          <w:rFonts w:hint="eastAsia"/>
          <w:highlight w:val="none"/>
          <w:lang w:val="en-US" w:eastAsia="zh-CN"/>
        </w:rPr>
        <w:t>利用</w:t>
      </w:r>
      <w:r>
        <w:rPr>
          <w:rFonts w:hint="default"/>
          <w:highlight w:val="none"/>
        </w:rPr>
        <w:t>过程中，实施严格的环境保护措施可有效控制危险废物对大气环境、水环境、土壤环境带来的负面影响，必将带来一定程度的环境效益。</w:t>
      </w:r>
    </w:p>
    <w:p w14:paraId="3218F0EB">
      <w:pPr>
        <w:bidi w:val="0"/>
        <w:rPr>
          <w:rFonts w:hint="default"/>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default"/>
          <w:highlight w:val="none"/>
        </w:rPr>
        <w:t>减轻危险废物的危害</w:t>
      </w:r>
    </w:p>
    <w:p w14:paraId="323B53CC">
      <w:pPr>
        <w:bidi w:val="0"/>
        <w:rPr>
          <w:rFonts w:hint="default"/>
          <w:highlight w:val="none"/>
        </w:rPr>
      </w:pPr>
      <w:r>
        <w:rPr>
          <w:rFonts w:hint="default"/>
          <w:highlight w:val="none"/>
        </w:rPr>
        <w:t>建设项目的运行可以大大减轻</w:t>
      </w:r>
      <w:r>
        <w:rPr>
          <w:rFonts w:hint="eastAsia"/>
          <w:highlight w:val="none"/>
          <w:lang w:val="en-US" w:eastAsia="zh-CN"/>
        </w:rPr>
        <w:t>企业</w:t>
      </w:r>
      <w:r>
        <w:rPr>
          <w:rFonts w:hint="default"/>
          <w:highlight w:val="none"/>
        </w:rPr>
        <w:t>危险废物对周围生态环境的污染和对人体健康的危害。</w:t>
      </w:r>
    </w:p>
    <w:p w14:paraId="1ED8570F">
      <w:pPr>
        <w:bidi w:val="0"/>
        <w:rPr>
          <w:rFonts w:hint="default"/>
          <w:highlight w:val="none"/>
        </w:rPr>
      </w:pPr>
      <w:r>
        <w:rPr>
          <w:rFonts w:hint="default"/>
          <w:highlight w:val="none"/>
        </w:rPr>
        <w:t>建设项目对危险废物进行集中处理处置，从总体上来说，污染物排放总量的削减明显改善了危险废物对环境的污染影响。</w:t>
      </w:r>
    </w:p>
    <w:p w14:paraId="3C6E6718">
      <w:pPr>
        <w:bidi w:val="0"/>
        <w:rPr>
          <w:rFonts w:hint="default"/>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default"/>
          <w:highlight w:val="none"/>
        </w:rPr>
        <w:t>减少事故排放</w:t>
      </w:r>
    </w:p>
    <w:p w14:paraId="38401A4B">
      <w:pPr>
        <w:bidi w:val="0"/>
        <w:rPr>
          <w:rFonts w:hint="default"/>
          <w:highlight w:val="none"/>
        </w:rPr>
      </w:pPr>
      <w:r>
        <w:rPr>
          <w:rFonts w:hint="default"/>
          <w:highlight w:val="none"/>
        </w:rPr>
        <w:t>危险废物的管理越来越受到</w:t>
      </w:r>
      <w:r>
        <w:rPr>
          <w:rFonts w:hint="eastAsia"/>
          <w:highlight w:val="none"/>
          <w:lang w:eastAsia="zh-CN"/>
        </w:rPr>
        <w:t>社会各界的</w:t>
      </w:r>
      <w:r>
        <w:rPr>
          <w:rFonts w:hint="default"/>
          <w:highlight w:val="none"/>
        </w:rPr>
        <w:t>重视。近年来，危险废物违法处理处置造成环境污染的案例屡屡曝光。如危险废物填埋，造成地下水的二次污染，直接或间接的威胁人民的生命财产安全；含重金属的废渣填埋引起土壤和地下水的污染，还有一些</w:t>
      </w:r>
      <w:r>
        <w:rPr>
          <w:rFonts w:hint="eastAsia"/>
          <w:highlight w:val="none"/>
          <w:lang w:eastAsia="zh-CN"/>
        </w:rPr>
        <w:t>高浓度</w:t>
      </w:r>
      <w:r>
        <w:rPr>
          <w:rFonts w:hint="eastAsia"/>
          <w:highlight w:val="none"/>
          <w:lang w:val="en-US" w:eastAsia="zh-CN"/>
        </w:rPr>
        <w:t>废液</w:t>
      </w:r>
      <w:r>
        <w:rPr>
          <w:rFonts w:hint="default"/>
          <w:highlight w:val="none"/>
        </w:rPr>
        <w:t>和废液混入污水处理站，导致超标排放。</w:t>
      </w:r>
    </w:p>
    <w:p w14:paraId="09E2CA0D">
      <w:pPr>
        <w:bidi w:val="0"/>
        <w:rPr>
          <w:rFonts w:hint="default"/>
          <w:highlight w:val="none"/>
        </w:rPr>
      </w:pPr>
      <w:r>
        <w:rPr>
          <w:rFonts w:hint="default"/>
          <w:highlight w:val="none"/>
        </w:rPr>
        <w:t>建设项目对危险废物的处置将采用更科学，更符合生态学原理的方法，对危险废物中可回收利用的进行资源化处置，合理的实施工业固体废物减量化和无害化处置，从而大大降低由于管理不善而导致地表水、地下水和生态环境等的二次污染问题。</w:t>
      </w:r>
    </w:p>
    <w:p w14:paraId="2A1B404A">
      <w:pPr>
        <w:adjustRightInd w:val="0"/>
        <w:spacing w:line="360" w:lineRule="auto"/>
        <w:ind w:firstLine="480" w:firstLineChars="200"/>
        <w:contextualSpacing/>
        <w:rPr>
          <w:rFonts w:hint="default"/>
          <w:highlight w:val="none"/>
        </w:rPr>
      </w:pPr>
      <w:r>
        <w:rPr>
          <w:rFonts w:hAnsiTheme="minorEastAsia" w:eastAsiaTheme="minorEastAsia"/>
          <w:snapToGrid w:val="0"/>
          <w:kern w:val="0"/>
          <w:sz w:val="24"/>
          <w:szCs w:val="21"/>
          <w:highlight w:val="none"/>
        </w:rPr>
        <w:t>（</w:t>
      </w:r>
      <w:r>
        <w:rPr>
          <w:rFonts w:hint="eastAsia" w:eastAsiaTheme="minorEastAsia"/>
          <w:snapToGrid w:val="0"/>
          <w:kern w:val="0"/>
          <w:sz w:val="24"/>
          <w:szCs w:val="21"/>
          <w:highlight w:val="none"/>
          <w:lang w:val="en-US" w:eastAsia="zh-CN"/>
        </w:rPr>
        <w:t>3</w:t>
      </w:r>
      <w:r>
        <w:rPr>
          <w:rFonts w:hAnsiTheme="minorEastAsia" w:eastAsiaTheme="minorEastAsia"/>
          <w:snapToGrid w:val="0"/>
          <w:kern w:val="0"/>
          <w:sz w:val="24"/>
          <w:szCs w:val="21"/>
          <w:highlight w:val="none"/>
        </w:rPr>
        <w:t>）项目采用先进工艺与设备，该工艺技术成熟，设备运行稳定，产品质量好，生产成本低，有利于市场竞争。</w:t>
      </w:r>
      <w:r>
        <w:rPr>
          <w:rFonts w:hint="eastAsia" w:hAnsiTheme="minorEastAsia" w:eastAsiaTheme="minorEastAsia"/>
          <w:snapToGrid w:val="0"/>
          <w:kern w:val="0"/>
          <w:sz w:val="24"/>
          <w:szCs w:val="21"/>
          <w:highlight w:val="none"/>
          <w:lang w:val="en-US" w:eastAsia="zh-CN"/>
        </w:rPr>
        <w:t>且</w:t>
      </w:r>
      <w:r>
        <w:rPr>
          <w:rFonts w:hAnsiTheme="minorEastAsia" w:eastAsiaTheme="minorEastAsia"/>
          <w:snapToGrid w:val="0"/>
          <w:kern w:val="0"/>
          <w:sz w:val="24"/>
          <w:szCs w:val="21"/>
          <w:highlight w:val="none"/>
        </w:rPr>
        <w:t>工程营运过程中将投入大量的资金用于工程生产，将刺激当地的经济需求，带动当地和周边地区的经济发展，促进电力、运输、服务等相关行业和基础设施的发展建设，加速当地的经济发展</w:t>
      </w:r>
      <w:r>
        <w:rPr>
          <w:rFonts w:hint="default"/>
          <w:highlight w:val="none"/>
        </w:rPr>
        <w:t>。</w:t>
      </w:r>
    </w:p>
    <w:p w14:paraId="7A2AF536">
      <w:pPr>
        <w:pStyle w:val="4"/>
        <w:bidi w:val="0"/>
        <w:rPr>
          <w:highlight w:val="none"/>
        </w:rPr>
      </w:pPr>
      <w:bookmarkStart w:id="434" w:name="_Toc14073"/>
      <w:r>
        <w:rPr>
          <w:highlight w:val="none"/>
        </w:rPr>
        <w:t>7.2经济损益分析</w:t>
      </w:r>
      <w:bookmarkEnd w:id="433"/>
      <w:bookmarkEnd w:id="434"/>
    </w:p>
    <w:p w14:paraId="0A299E9D">
      <w:pPr>
        <w:spacing w:line="360" w:lineRule="auto"/>
        <w:ind w:firstLine="480" w:firstLineChars="200"/>
        <w:contextualSpacing/>
        <w:rPr>
          <w:rFonts w:eastAsiaTheme="minorEastAsia"/>
          <w:kern w:val="10"/>
          <w:sz w:val="24"/>
          <w:highlight w:val="none"/>
        </w:rPr>
      </w:pPr>
      <w:r>
        <w:rPr>
          <w:rFonts w:hAnsiTheme="minorEastAsia" w:eastAsiaTheme="minorEastAsia"/>
          <w:sz w:val="24"/>
          <w:highlight w:val="none"/>
        </w:rPr>
        <w:t>本工程总投资为</w:t>
      </w:r>
      <w:r>
        <w:rPr>
          <w:rFonts w:hint="eastAsia" w:hAnsiTheme="minorEastAsia" w:eastAsiaTheme="minorEastAsia"/>
          <w:snapToGrid w:val="0"/>
          <w:kern w:val="0"/>
          <w:sz w:val="24"/>
          <w:highlight w:val="none"/>
          <w:lang w:val="en-US" w:eastAsia="zh-CN"/>
        </w:rPr>
        <w:t>1000</w:t>
      </w:r>
      <w:r>
        <w:rPr>
          <w:rFonts w:hAnsiTheme="minorEastAsia" w:eastAsiaTheme="minorEastAsia"/>
          <w:snapToGrid w:val="0"/>
          <w:kern w:val="0"/>
          <w:sz w:val="24"/>
          <w:highlight w:val="none"/>
        </w:rPr>
        <w:t>万元，环保投资估算为</w:t>
      </w:r>
      <w:r>
        <w:rPr>
          <w:rFonts w:hint="eastAsia" w:eastAsiaTheme="minorEastAsia"/>
          <w:snapToGrid w:val="0"/>
          <w:kern w:val="0"/>
          <w:sz w:val="24"/>
          <w:highlight w:val="none"/>
          <w:lang w:val="en-US" w:eastAsia="zh-CN"/>
        </w:rPr>
        <w:t>500</w:t>
      </w:r>
      <w:r>
        <w:rPr>
          <w:rFonts w:hAnsiTheme="minorEastAsia" w:eastAsiaTheme="minorEastAsia"/>
          <w:snapToGrid w:val="0"/>
          <w:kern w:val="0"/>
          <w:sz w:val="24"/>
          <w:highlight w:val="none"/>
        </w:rPr>
        <w:t>万元</w:t>
      </w:r>
      <w:r>
        <w:rPr>
          <w:rFonts w:hAnsiTheme="minorEastAsia" w:eastAsiaTheme="minorEastAsia"/>
          <w:sz w:val="24"/>
          <w:highlight w:val="none"/>
        </w:rPr>
        <w:t>，占总投资的</w:t>
      </w:r>
      <w:r>
        <w:rPr>
          <w:rFonts w:hint="eastAsia" w:eastAsiaTheme="minorEastAsia"/>
          <w:sz w:val="24"/>
          <w:highlight w:val="none"/>
          <w:lang w:val="en-US" w:eastAsia="zh-CN"/>
        </w:rPr>
        <w:t>50</w:t>
      </w:r>
      <w:r>
        <w:rPr>
          <w:rFonts w:eastAsiaTheme="minorEastAsia"/>
          <w:sz w:val="24"/>
          <w:highlight w:val="none"/>
        </w:rPr>
        <w:t>%</w:t>
      </w:r>
      <w:r>
        <w:rPr>
          <w:rFonts w:hAnsiTheme="minorEastAsia" w:eastAsiaTheme="minorEastAsia"/>
          <w:sz w:val="24"/>
          <w:highlight w:val="none"/>
        </w:rPr>
        <w:t>。项目投产后营业收入为</w:t>
      </w:r>
      <w:r>
        <w:rPr>
          <w:rFonts w:hint="eastAsia" w:eastAsiaTheme="minorEastAsia"/>
          <w:sz w:val="24"/>
          <w:highlight w:val="none"/>
          <w:lang w:val="en-US" w:eastAsia="zh-CN"/>
        </w:rPr>
        <w:t>1975620</w:t>
      </w:r>
      <w:r>
        <w:rPr>
          <w:rFonts w:hAnsiTheme="minorEastAsia" w:eastAsiaTheme="minorEastAsia"/>
          <w:sz w:val="24"/>
          <w:highlight w:val="none"/>
        </w:rPr>
        <w:t>万元。项目总投资收益率为</w:t>
      </w:r>
      <w:r>
        <w:rPr>
          <w:rFonts w:hint="eastAsia" w:eastAsiaTheme="minorEastAsia"/>
          <w:sz w:val="24"/>
          <w:highlight w:val="none"/>
          <w:lang w:val="en-US" w:eastAsia="zh-CN"/>
        </w:rPr>
        <w:t>3.49</w:t>
      </w:r>
      <w:r>
        <w:rPr>
          <w:rFonts w:eastAsiaTheme="minorEastAsia"/>
          <w:sz w:val="24"/>
          <w:highlight w:val="none"/>
        </w:rPr>
        <w:t>%</w:t>
      </w:r>
      <w:r>
        <w:rPr>
          <w:rFonts w:hAnsiTheme="minorEastAsia" w:eastAsiaTheme="minorEastAsia"/>
          <w:sz w:val="24"/>
          <w:highlight w:val="none"/>
        </w:rPr>
        <w:t>，</w:t>
      </w:r>
      <w:r>
        <w:rPr>
          <w:rFonts w:hAnsiTheme="minorEastAsia" w:eastAsiaTheme="minorEastAsia"/>
          <w:kern w:val="10"/>
          <w:sz w:val="24"/>
          <w:highlight w:val="none"/>
        </w:rPr>
        <w:t>经济费用效益分析的结果表明本项目在财务上是可行的，项目的建设可为企业带来可观的经济效益，同时也为国家及地方财政收入作出一定的贡献。本项目经济效益较好。</w:t>
      </w:r>
    </w:p>
    <w:p w14:paraId="79369374">
      <w:pPr>
        <w:pStyle w:val="4"/>
        <w:bidi w:val="0"/>
        <w:rPr>
          <w:highlight w:val="none"/>
        </w:rPr>
      </w:pPr>
      <w:bookmarkStart w:id="435" w:name="_Toc15991709"/>
      <w:bookmarkStart w:id="436" w:name="_Toc16839"/>
      <w:bookmarkStart w:id="437" w:name="_Toc528847181"/>
      <w:bookmarkStart w:id="438" w:name="_Toc21646"/>
      <w:r>
        <w:rPr>
          <w:highlight w:val="none"/>
        </w:rPr>
        <w:t>7.3环境效益分析</w:t>
      </w:r>
      <w:bookmarkEnd w:id="435"/>
      <w:bookmarkEnd w:id="436"/>
      <w:bookmarkEnd w:id="437"/>
      <w:bookmarkEnd w:id="438"/>
    </w:p>
    <w:p w14:paraId="197873DE">
      <w:pPr>
        <w:bidi w:val="0"/>
        <w:rPr>
          <w:highlight w:val="none"/>
        </w:rPr>
      </w:pPr>
      <w:bookmarkStart w:id="439" w:name="_Toc480447676"/>
      <w:bookmarkStart w:id="440" w:name="_Toc15991705"/>
      <w:bookmarkStart w:id="441" w:name="_Toc527121414"/>
      <w:bookmarkStart w:id="442" w:name="_Toc15991714"/>
      <w:bookmarkStart w:id="443" w:name="_Toc528847186"/>
      <w:bookmarkStart w:id="444" w:name="_Toc25796"/>
      <w:r>
        <w:rPr>
          <w:highlight w:val="none"/>
        </w:rPr>
        <w:t>项目环保措施主要是体现国家环保政策，贯彻“总量控制”和“污染物达标排放”的原则，达到保护环境的目的。本项目采用的废气、废水、噪声等污染治理及清洁生产措施，达到了有效控制污染和保护环境的目的。环境保护投资的环境效益表现在以下方面：</w:t>
      </w:r>
    </w:p>
    <w:bookmarkEnd w:id="439"/>
    <w:bookmarkEnd w:id="440"/>
    <w:bookmarkEnd w:id="441"/>
    <w:p w14:paraId="69F15130">
      <w:pPr>
        <w:bidi w:val="0"/>
        <w:rPr>
          <w:highlight w:val="none"/>
        </w:rPr>
      </w:pPr>
      <w:r>
        <w:rPr>
          <w:highlight w:val="none"/>
        </w:rPr>
        <w:t>（1）由工程分析和环保措施经济技术论证可知，本项目投产后会产生废水、废气、噪声、固体废物及危险废物等污染物，通过采取各种治理措施后，废气、废水均可达标排放，厂界噪声满足标准要求，固体废物及危险废物得到安全处置，对区域环境质量影响不大。</w:t>
      </w:r>
    </w:p>
    <w:p w14:paraId="0ECA0649">
      <w:pPr>
        <w:bidi w:val="0"/>
        <w:rPr>
          <w:highlight w:val="none"/>
        </w:rPr>
      </w:pPr>
      <w:r>
        <w:rPr>
          <w:highlight w:val="none"/>
        </w:rPr>
        <w:t>（2）对各项污染的防治和环境管理的经济投入，将使建设项目满足环境保护的要求，具有明显的环境效益。</w:t>
      </w:r>
    </w:p>
    <w:p w14:paraId="6D154D0D">
      <w:pPr>
        <w:bidi w:val="0"/>
        <w:rPr>
          <w:highlight w:val="none"/>
        </w:rPr>
      </w:pPr>
      <w:r>
        <w:rPr>
          <w:highlight w:val="none"/>
        </w:rPr>
        <w:t>（3）项目采取有效可行的污染治理措施，大气污染物可达标排放，废水外排量降低，可明显改善当地环境质量及区域生态环境。</w:t>
      </w:r>
    </w:p>
    <w:p w14:paraId="291DF134">
      <w:pPr>
        <w:bidi w:val="0"/>
        <w:rPr>
          <w:highlight w:val="none"/>
        </w:rPr>
      </w:pPr>
      <w:r>
        <w:rPr>
          <w:highlight w:val="none"/>
        </w:rPr>
        <w:t>（4）项目能耗更低，单位产品污染物排放量更小，环境经济效益更高</w:t>
      </w:r>
      <w:r>
        <w:rPr>
          <w:rFonts w:hint="eastAsia"/>
          <w:highlight w:val="none"/>
          <w:lang w:eastAsia="zh-CN"/>
        </w:rPr>
        <w:t>；</w:t>
      </w:r>
      <w:r>
        <w:rPr>
          <w:rFonts w:hint="eastAsia"/>
          <w:highlight w:val="none"/>
          <w:lang w:val="en-US" w:eastAsia="zh-CN"/>
        </w:rPr>
        <w:t>可减少危险废物排放量</w:t>
      </w:r>
      <w:r>
        <w:rPr>
          <w:highlight w:val="none"/>
        </w:rPr>
        <w:t>。因此，只要认真做好环境保护工作，投入一定的资金用于污染防治和环境管理，将使本项目的建设实现经济效益、社会效益和环境效益三者的统一。</w:t>
      </w:r>
    </w:p>
    <w:p w14:paraId="066DB487">
      <w:pPr>
        <w:pStyle w:val="4"/>
        <w:bidi w:val="0"/>
        <w:rPr>
          <w:highlight w:val="none"/>
        </w:rPr>
      </w:pPr>
      <w:bookmarkStart w:id="445" w:name="_Toc5255"/>
      <w:r>
        <w:rPr>
          <w:highlight w:val="none"/>
        </w:rPr>
        <w:t>7.</w:t>
      </w:r>
      <w:bookmarkEnd w:id="442"/>
      <w:bookmarkEnd w:id="443"/>
      <w:r>
        <w:rPr>
          <w:highlight w:val="none"/>
        </w:rPr>
        <w:t>4小结</w:t>
      </w:r>
      <w:bookmarkEnd w:id="444"/>
      <w:bookmarkEnd w:id="445"/>
    </w:p>
    <w:p w14:paraId="0E4B3138">
      <w:pPr>
        <w:bidi w:val="0"/>
        <w:rPr>
          <w:highlight w:val="none"/>
        </w:rPr>
      </w:pPr>
      <w:bookmarkStart w:id="446" w:name="_Toc477954588"/>
      <w:r>
        <w:rPr>
          <w:rFonts w:ascii="Times New Roman" w:cs="Times New Roman" w:hAnsiTheme="minorEastAsia"/>
          <w:highlight w:val="none"/>
        </w:rPr>
        <w:t>通过以上对本项目建设的社会、经济和环境效益分析可知，在落实本评价所提出各项污染防治措施的前提下，本项目的建设能够达到经济效益、社会效益和环境效益相统一的要求，既为地方经济发展做出贡献，又通过环保投资减少了污染物排放量，使污染物排放量在环境容量容许的范围内。本项目的建设满足可持续发展的要求，从环境经济角度而言，本项目建设是可行的</w:t>
      </w:r>
      <w:r>
        <w:rPr>
          <w:highlight w:val="none"/>
        </w:rPr>
        <w:t>。</w:t>
      </w:r>
    </w:p>
    <w:p w14:paraId="2DF343DA">
      <w:pPr>
        <w:rPr>
          <w:rFonts w:eastAsiaTheme="minorEastAsia"/>
          <w:kern w:val="0"/>
          <w:sz w:val="32"/>
          <w:szCs w:val="32"/>
          <w:highlight w:val="none"/>
        </w:rPr>
      </w:pPr>
    </w:p>
    <w:p w14:paraId="0FB2D79A">
      <w:pPr>
        <w:rPr>
          <w:rFonts w:eastAsiaTheme="minorEastAsia"/>
          <w:kern w:val="0"/>
          <w:sz w:val="32"/>
          <w:szCs w:val="32"/>
          <w:highlight w:val="none"/>
        </w:rPr>
      </w:pPr>
    </w:p>
    <w:p w14:paraId="12F3759D">
      <w:pPr>
        <w:rPr>
          <w:rFonts w:eastAsiaTheme="minorEastAsia"/>
          <w:kern w:val="0"/>
          <w:sz w:val="32"/>
          <w:szCs w:val="32"/>
          <w:highlight w:val="none"/>
        </w:rPr>
      </w:pPr>
    </w:p>
    <w:p w14:paraId="7D43704B">
      <w:pPr>
        <w:rPr>
          <w:rFonts w:eastAsiaTheme="minorEastAsia"/>
          <w:kern w:val="0"/>
          <w:sz w:val="32"/>
          <w:szCs w:val="32"/>
          <w:highlight w:val="none"/>
        </w:rPr>
        <w:sectPr>
          <w:pgSz w:w="11906" w:h="16838"/>
          <w:pgMar w:top="1440" w:right="1797" w:bottom="1440" w:left="1797" w:header="851" w:footer="992" w:gutter="0"/>
          <w:pgBorders w:offsetFrom="page">
            <w:top w:val="none" w:sz="0" w:space="0"/>
            <w:left w:val="none" w:sz="0" w:space="0"/>
            <w:bottom w:val="none" w:sz="0" w:space="0"/>
            <w:right w:val="none" w:sz="0" w:space="0"/>
          </w:pgBorders>
          <w:cols w:space="425" w:num="1"/>
          <w:docGrid w:type="linesAndChars" w:linePitch="326" w:charSpace="0"/>
        </w:sectPr>
      </w:pPr>
    </w:p>
    <w:bookmarkEnd w:id="446"/>
    <w:p w14:paraId="6559BF4E">
      <w:pPr>
        <w:pStyle w:val="3"/>
        <w:bidi w:val="0"/>
        <w:rPr>
          <w:highlight w:val="none"/>
        </w:rPr>
      </w:pPr>
      <w:bookmarkStart w:id="447" w:name="_Toc24786"/>
      <w:bookmarkStart w:id="448" w:name="_Toc477954594"/>
      <w:bookmarkStart w:id="449" w:name="_Toc2272"/>
      <w:bookmarkStart w:id="450" w:name="_Toc24907"/>
      <w:bookmarkStart w:id="451" w:name="_Toc484077219"/>
      <w:r>
        <w:rPr>
          <w:highlight w:val="none"/>
        </w:rPr>
        <w:t>9环境影响评价结论</w:t>
      </w:r>
      <w:bookmarkEnd w:id="447"/>
      <w:bookmarkEnd w:id="448"/>
      <w:bookmarkEnd w:id="449"/>
      <w:bookmarkEnd w:id="450"/>
      <w:bookmarkEnd w:id="451"/>
    </w:p>
    <w:p w14:paraId="41701068">
      <w:pPr>
        <w:pStyle w:val="4"/>
        <w:bidi w:val="0"/>
        <w:rPr>
          <w:highlight w:val="none"/>
        </w:rPr>
      </w:pPr>
      <w:bookmarkStart w:id="452" w:name="_Toc18538"/>
      <w:bookmarkStart w:id="453" w:name="_Toc457030108"/>
      <w:bookmarkStart w:id="454" w:name="_Toc15991734"/>
      <w:bookmarkStart w:id="455" w:name="_Toc2059"/>
      <w:bookmarkStart w:id="456" w:name="_Toc477368706"/>
      <w:r>
        <w:rPr>
          <w:highlight w:val="none"/>
        </w:rPr>
        <w:t>9.1评价结论</w:t>
      </w:r>
      <w:bookmarkEnd w:id="452"/>
      <w:bookmarkEnd w:id="453"/>
      <w:bookmarkEnd w:id="454"/>
      <w:bookmarkEnd w:id="455"/>
      <w:bookmarkEnd w:id="456"/>
    </w:p>
    <w:p w14:paraId="330B8365">
      <w:pPr>
        <w:pStyle w:val="5"/>
        <w:bidi w:val="0"/>
        <w:rPr>
          <w:highlight w:val="none"/>
        </w:rPr>
      </w:pPr>
      <w:bookmarkStart w:id="457" w:name="_Toc31481"/>
      <w:bookmarkStart w:id="458" w:name="_Toc10803"/>
      <w:bookmarkStart w:id="459" w:name="_Toc15991735"/>
      <w:r>
        <w:rPr>
          <w:highlight w:val="none"/>
        </w:rPr>
        <w:t>9.1.1建设概况</w:t>
      </w:r>
      <w:bookmarkEnd w:id="457"/>
      <w:bookmarkEnd w:id="458"/>
      <w:bookmarkEnd w:id="459"/>
    </w:p>
    <w:p w14:paraId="16C22591">
      <w:pPr>
        <w:bidi w:val="0"/>
        <w:rPr>
          <w:rFonts w:hint="eastAsia" w:eastAsia="宋体"/>
          <w:highlight w:val="none"/>
          <w:lang w:eastAsia="zh-CN"/>
        </w:rPr>
      </w:pPr>
      <w:bookmarkStart w:id="460" w:name="_Toc15991737"/>
      <w:r>
        <w:rPr>
          <w:highlight w:val="none"/>
        </w:rPr>
        <w:t>本项目位于</w:t>
      </w:r>
      <w:r>
        <w:rPr>
          <w:rFonts w:hint="eastAsia"/>
          <w:highlight w:val="none"/>
          <w:lang w:eastAsia="zh-CN"/>
        </w:rPr>
        <w:t>黑龙江省哈尔滨市香坊区黎明乡幸福村哈阿公路零公里处哈尔滨透平设备总厂院内</w:t>
      </w:r>
      <w:r>
        <w:rPr>
          <w:rFonts w:hint="default"/>
          <w:highlight w:val="none"/>
        </w:rPr>
        <w:t>，</w:t>
      </w:r>
      <w:r>
        <w:rPr>
          <w:rFonts w:hint="default"/>
          <w:highlight w:val="none"/>
          <w:lang w:val="en-US" w:eastAsia="zh-CN"/>
        </w:rPr>
        <w:t>不新增占地，用地性质为工业用地</w:t>
      </w:r>
      <w:r>
        <w:rPr>
          <w:rFonts w:hint="eastAsia"/>
          <w:highlight w:val="none"/>
          <w:lang w:eastAsia="zh-CN"/>
        </w:rPr>
        <w:t>，</w:t>
      </w:r>
      <w:r>
        <w:rPr>
          <w:rFonts w:hint="eastAsia"/>
          <w:highlight w:val="none"/>
          <w:lang w:val="en-US" w:eastAsia="zh-CN"/>
        </w:rPr>
        <w:t>改造原有4G9装试线，年产WE20TG系列发动机15万台；年处理含油金属屑2125t。</w:t>
      </w:r>
      <w:r>
        <w:rPr>
          <w:highlight w:val="none"/>
        </w:rPr>
        <w:t>总投资为</w:t>
      </w:r>
      <w:r>
        <w:rPr>
          <w:rFonts w:hint="eastAsia"/>
          <w:highlight w:val="none"/>
          <w:lang w:val="en-US" w:eastAsia="zh-CN"/>
        </w:rPr>
        <w:t>37296</w:t>
      </w:r>
      <w:r>
        <w:rPr>
          <w:highlight w:val="none"/>
        </w:rPr>
        <w:t>万元</w:t>
      </w:r>
      <w:r>
        <w:rPr>
          <w:rFonts w:hint="eastAsia"/>
          <w:highlight w:val="none"/>
          <w:lang w:eastAsia="zh-CN"/>
        </w:rPr>
        <w:t>。</w:t>
      </w:r>
    </w:p>
    <w:p w14:paraId="44412A9C">
      <w:pPr>
        <w:pStyle w:val="5"/>
        <w:bidi w:val="0"/>
        <w:rPr>
          <w:highlight w:val="none"/>
        </w:rPr>
      </w:pPr>
      <w:bookmarkStart w:id="461" w:name="_Toc32598"/>
      <w:bookmarkStart w:id="462" w:name="_Toc22800"/>
      <w:r>
        <w:rPr>
          <w:highlight w:val="none"/>
        </w:rPr>
        <w:t>9.1.2环境质量现状评价结论</w:t>
      </w:r>
      <w:bookmarkEnd w:id="460"/>
      <w:bookmarkEnd w:id="461"/>
      <w:bookmarkEnd w:id="462"/>
    </w:p>
    <w:p w14:paraId="384A80AB">
      <w:pPr>
        <w:pStyle w:val="6"/>
        <w:bidi w:val="0"/>
        <w:rPr>
          <w:highlight w:val="none"/>
        </w:rPr>
      </w:pPr>
      <w:r>
        <w:rPr>
          <w:highlight w:val="none"/>
        </w:rPr>
        <w:t>9.1.2.1地表水环境质量现状评价结论</w:t>
      </w:r>
    </w:p>
    <w:p w14:paraId="67568A73">
      <w:pPr>
        <w:bidi w:val="0"/>
        <w:rPr>
          <w:rFonts w:hint="default" w:ascii="Times New Roman" w:hAnsi="Times New Roman" w:cs="Times New Roman" w:eastAsiaTheme="minorEastAsia"/>
          <w:b w:val="0"/>
          <w:bCs/>
          <w:sz w:val="24"/>
          <w:szCs w:val="24"/>
          <w:highlight w:val="none"/>
          <w:lang w:val="en-US"/>
        </w:rPr>
      </w:pPr>
      <w:r>
        <w:rPr>
          <w:rFonts w:hint="default" w:ascii="Times New Roman" w:hAnsi="Times New Roman" w:eastAsia="宋体" w:cs="Times New Roman"/>
          <w:highlight w:val="none"/>
          <w:lang w:eastAsia="zh-CN"/>
        </w:rPr>
        <w:t>本项目</w:t>
      </w:r>
      <w:r>
        <w:rPr>
          <w:rFonts w:hint="eastAsia" w:ascii="Times New Roman" w:hAnsi="Times New Roman" w:eastAsia="宋体" w:cs="Times New Roman"/>
          <w:highlight w:val="none"/>
          <w:lang w:eastAsia="zh-CN"/>
        </w:rPr>
        <w:t>附近</w:t>
      </w:r>
      <w:r>
        <w:rPr>
          <w:rFonts w:hint="default" w:ascii="Times New Roman" w:hAnsi="Times New Roman" w:eastAsia="宋体" w:cs="Times New Roman"/>
          <w:highlight w:val="none"/>
          <w:lang w:eastAsia="zh-CN"/>
        </w:rPr>
        <w:t>地表水水体为</w:t>
      </w:r>
      <w:r>
        <w:rPr>
          <w:rFonts w:hint="eastAsia" w:cs="Times New Roman"/>
          <w:highlight w:val="none"/>
          <w:lang w:eastAsia="zh-CN"/>
        </w:rPr>
        <w:t>马家沟河</w:t>
      </w:r>
      <w:r>
        <w:rPr>
          <w:rFonts w:hint="default" w:ascii="Times New Roman" w:hAnsi="Times New Roman" w:eastAsia="宋体" w:cs="Times New Roman"/>
          <w:highlight w:val="none"/>
          <w:lang w:eastAsia="zh-CN"/>
        </w:rPr>
        <w:t>，</w:t>
      </w:r>
      <w:r>
        <w:rPr>
          <w:rFonts w:hint="eastAsia" w:ascii="Times New Roman" w:hAnsi="Times New Roman" w:eastAsia="宋体" w:cs="Times New Roman"/>
          <w:highlight w:val="none"/>
          <w:lang w:eastAsia="zh-CN"/>
        </w:rPr>
        <w:t>暂无相关监测数据，故采用其汇入水体</w:t>
      </w:r>
      <w:r>
        <w:rPr>
          <w:rFonts w:hint="eastAsia" w:cs="Times New Roman"/>
          <w:highlight w:val="none"/>
          <w:lang w:eastAsia="zh-CN"/>
        </w:rPr>
        <w:t>松花江干流</w:t>
      </w:r>
      <w:r>
        <w:rPr>
          <w:rFonts w:hint="eastAsia" w:ascii="Times New Roman" w:hAnsi="Times New Roman" w:eastAsia="宋体" w:cs="Times New Roman"/>
          <w:highlight w:val="none"/>
          <w:lang w:eastAsia="zh-CN"/>
        </w:rPr>
        <w:t>数据，</w:t>
      </w:r>
      <w:r>
        <w:rPr>
          <w:rFonts w:hint="default" w:ascii="Times New Roman" w:hAnsi="Times New Roman" w:eastAsia="宋体" w:cs="Times New Roman"/>
          <w:highlight w:val="none"/>
          <w:lang w:val="en-US" w:eastAsia="zh-CN"/>
        </w:rPr>
        <w:t>根据《2024年哈尔滨生态环境质量状况年报》，2024年，松花江干流哈尔滨段总体水质为优。监测的10个断面中，I类断面10个，占100%，无I类、II类、IV类、V类、劣V类断面</w:t>
      </w:r>
      <w:r>
        <w:rPr>
          <w:rFonts w:hint="default" w:ascii="Times New Roman" w:hAnsi="Times New Roman" w:cs="Times New Roman"/>
          <w:highlight w:val="none"/>
        </w:rPr>
        <w:t>。</w:t>
      </w:r>
    </w:p>
    <w:p w14:paraId="05A7751D">
      <w:pPr>
        <w:pStyle w:val="6"/>
        <w:bidi w:val="0"/>
        <w:rPr>
          <w:highlight w:val="none"/>
        </w:rPr>
      </w:pPr>
      <w:r>
        <w:rPr>
          <w:highlight w:val="none"/>
        </w:rPr>
        <w:t>9.1.2.2地下水环境质量现状评价结论</w:t>
      </w:r>
    </w:p>
    <w:p w14:paraId="5F93CDB2">
      <w:pPr>
        <w:bidi w:val="0"/>
        <w:rPr>
          <w:rFonts w:ascii="Times New Roman" w:hAnsi="Times New Roman" w:cs="Times New Roman"/>
          <w:highlight w:val="none"/>
        </w:rPr>
      </w:pPr>
      <w:r>
        <w:rPr>
          <w:rFonts w:hint="eastAsia" w:ascii="Times New Roman" w:cs="Times New Roman" w:hAnsiTheme="minorEastAsia"/>
          <w:highlight w:val="none"/>
          <w:lang w:val="en-US" w:eastAsia="zh-CN"/>
        </w:rPr>
        <w:t>根据</w:t>
      </w:r>
      <w:r>
        <w:rPr>
          <w:rFonts w:hint="eastAsia" w:cs="Times New Roman" w:hAnsiTheme="minorEastAsia"/>
          <w:highlight w:val="none"/>
          <w:lang w:val="en-US" w:eastAsia="zh-CN"/>
        </w:rPr>
        <w:t>黑龙江省奇福圆环保科技</w:t>
      </w:r>
      <w:r>
        <w:rPr>
          <w:rFonts w:hint="eastAsia" w:cs="Times New Roman" w:hAnsiTheme="minorEastAsia"/>
          <w:highlight w:val="none"/>
          <w:lang w:eastAsia="zh-CN"/>
        </w:rPr>
        <w:t>有限公司</w:t>
      </w:r>
      <w:r>
        <w:rPr>
          <w:rFonts w:ascii="Times New Roman" w:cs="Times New Roman" w:hAnsiTheme="minorEastAsia"/>
          <w:highlight w:val="none"/>
        </w:rPr>
        <w:t>委托</w:t>
      </w:r>
      <w:r>
        <w:rPr>
          <w:rFonts w:hint="eastAsia" w:ascii="Times New Roman" w:cs="Times New Roman" w:hAnsiTheme="minorEastAsia"/>
          <w:highlight w:val="none"/>
        </w:rPr>
        <w:t>哈尔滨新巨环保科技有限公司于202</w:t>
      </w:r>
      <w:r>
        <w:rPr>
          <w:rFonts w:hint="eastAsia" w:cs="Times New Roman" w:hAnsiTheme="minorEastAsia"/>
          <w:highlight w:val="none"/>
          <w:lang w:val="en-US" w:eastAsia="zh-CN"/>
        </w:rPr>
        <w:t>5</w:t>
      </w:r>
      <w:r>
        <w:rPr>
          <w:rFonts w:hint="eastAsia" w:ascii="Times New Roman" w:cs="Times New Roman" w:hAnsiTheme="minorEastAsia"/>
          <w:highlight w:val="none"/>
        </w:rPr>
        <w:t>年</w:t>
      </w:r>
      <w:r>
        <w:rPr>
          <w:rFonts w:hint="eastAsia" w:cs="Times New Roman" w:hAnsiTheme="minorEastAsia"/>
          <w:highlight w:val="none"/>
          <w:lang w:val="en-US" w:eastAsia="zh-CN"/>
        </w:rPr>
        <w:t>2</w:t>
      </w:r>
      <w:r>
        <w:rPr>
          <w:rFonts w:hint="eastAsia" w:ascii="Times New Roman" w:cs="Times New Roman" w:hAnsiTheme="minorEastAsia"/>
          <w:highlight w:val="none"/>
        </w:rPr>
        <w:t>月</w:t>
      </w:r>
      <w:r>
        <w:rPr>
          <w:rFonts w:hint="eastAsia" w:cs="Times New Roman" w:hAnsiTheme="minorEastAsia"/>
          <w:highlight w:val="none"/>
          <w:lang w:val="en-US" w:eastAsia="zh-CN"/>
        </w:rPr>
        <w:t>24</w:t>
      </w:r>
      <w:r>
        <w:rPr>
          <w:rFonts w:hint="eastAsia" w:ascii="Times New Roman" w:cs="Times New Roman" w:hAnsiTheme="minorEastAsia"/>
          <w:highlight w:val="none"/>
        </w:rPr>
        <w:t>日对水质、水位监测点</w:t>
      </w:r>
      <w:r>
        <w:rPr>
          <w:rFonts w:ascii="Times New Roman" w:cs="Times New Roman" w:hAnsiTheme="minorEastAsia"/>
          <w:highlight w:val="none"/>
        </w:rPr>
        <w:t>进行了取样检测，并对各监测点水位进行了测量，</w:t>
      </w:r>
      <w:r>
        <w:rPr>
          <w:rFonts w:hint="eastAsia" w:cs="Times New Roman" w:hAnsiTheme="minorEastAsia"/>
          <w:highlight w:val="none"/>
          <w:lang w:eastAsia="zh-CN"/>
        </w:rPr>
        <w:t>除铁外，</w:t>
      </w:r>
      <w:r>
        <w:rPr>
          <w:highlight w:val="none"/>
        </w:rPr>
        <w:t>监测因子均满足《地下水质量标准》</w:t>
      </w:r>
      <w:r>
        <w:rPr>
          <w:rFonts w:hint="eastAsia"/>
          <w:highlight w:val="none"/>
          <w:lang w:eastAsia="zh-CN"/>
        </w:rPr>
        <w:t>（</w:t>
      </w:r>
      <w:r>
        <w:rPr>
          <w:highlight w:val="none"/>
        </w:rPr>
        <w:t>GB/T14848-2017</w:t>
      </w:r>
      <w:r>
        <w:rPr>
          <w:rFonts w:hint="eastAsia"/>
          <w:highlight w:val="none"/>
          <w:lang w:eastAsia="zh-CN"/>
        </w:rPr>
        <w:t>）</w:t>
      </w:r>
      <w:r>
        <w:rPr>
          <w:highlight w:val="none"/>
        </w:rPr>
        <w:t>Ⅲ类标准要求，石油类满足《地表水环境质量标准》（GB3838-2002）</w:t>
      </w:r>
      <w:r>
        <w:rPr>
          <w:highlight w:val="none"/>
        </w:rPr>
        <w:fldChar w:fldCharType="begin"/>
      </w:r>
      <w:r>
        <w:rPr>
          <w:highlight w:val="none"/>
        </w:rPr>
        <w:instrText xml:space="preserve"> </w:instrText>
      </w:r>
      <w:r>
        <w:rPr>
          <w:rFonts w:hint="eastAsia"/>
          <w:highlight w:val="none"/>
        </w:rPr>
        <w:instrText xml:space="preserve">= 2 \* ROMAN</w:instrText>
      </w:r>
      <w:r>
        <w:rPr>
          <w:highlight w:val="none"/>
        </w:rPr>
        <w:instrText xml:space="preserve"> </w:instrText>
      </w:r>
      <w:r>
        <w:rPr>
          <w:highlight w:val="none"/>
        </w:rPr>
        <w:fldChar w:fldCharType="separate"/>
      </w:r>
      <w:r>
        <w:rPr>
          <w:highlight w:val="none"/>
        </w:rPr>
        <w:t>Ⅲ</w:t>
      </w:r>
      <w:r>
        <w:rPr>
          <w:highlight w:val="none"/>
        </w:rPr>
        <w:fldChar w:fldCharType="end"/>
      </w:r>
      <w:r>
        <w:rPr>
          <w:highlight w:val="none"/>
        </w:rPr>
        <w:t>类标准要求。监测点水质整体较好</w:t>
      </w:r>
      <w:r>
        <w:rPr>
          <w:rFonts w:ascii="Times New Roman" w:cs="Times New Roman" w:hAnsiTheme="minorEastAsia"/>
          <w:highlight w:val="none"/>
        </w:rPr>
        <w:t>。</w:t>
      </w:r>
    </w:p>
    <w:p w14:paraId="524DDF22">
      <w:pPr>
        <w:pStyle w:val="6"/>
        <w:bidi w:val="0"/>
        <w:rPr>
          <w:highlight w:val="none"/>
        </w:rPr>
      </w:pPr>
      <w:r>
        <w:rPr>
          <w:highlight w:val="none"/>
        </w:rPr>
        <w:t>9.1.2.3大气环境质量现状评价结论</w:t>
      </w:r>
    </w:p>
    <w:p w14:paraId="3D58AFC0">
      <w:pPr>
        <w:bidi w:val="0"/>
        <w:rPr>
          <w:rFonts w:hAnsiTheme="minorEastAsia" w:eastAsiaTheme="minorEastAsia"/>
          <w:sz w:val="24"/>
          <w:highlight w:val="none"/>
        </w:rPr>
      </w:pPr>
      <w:r>
        <w:rPr>
          <w:rFonts w:hAnsiTheme="minorEastAsia" w:eastAsiaTheme="minorEastAsia"/>
          <w:sz w:val="24"/>
          <w:highlight w:val="none"/>
        </w:rPr>
        <w:t>根据《</w:t>
      </w:r>
      <w:r>
        <w:rPr>
          <w:rFonts w:hint="default" w:ascii="Times New Roman" w:hAnsi="Times New Roman" w:cs="Times New Roman" w:eastAsiaTheme="minorEastAsia"/>
          <w:sz w:val="24"/>
          <w:highlight w:val="none"/>
        </w:rPr>
        <w:t>202</w:t>
      </w:r>
      <w:r>
        <w:rPr>
          <w:rFonts w:hint="eastAsia" w:cs="Times New Roman" w:eastAsiaTheme="minorEastAsia"/>
          <w:sz w:val="24"/>
          <w:highlight w:val="none"/>
          <w:lang w:val="en-US" w:eastAsia="zh-CN"/>
        </w:rPr>
        <w:t>4</w:t>
      </w:r>
      <w:r>
        <w:rPr>
          <w:rFonts w:hint="default" w:ascii="Times New Roman" w:hAnsi="Times New Roman" w:cs="Times New Roman" w:eastAsiaTheme="minorEastAsia"/>
          <w:sz w:val="24"/>
          <w:highlight w:val="none"/>
        </w:rPr>
        <w:t>年哈尔滨生态环境质量状况年报</w:t>
      </w:r>
      <w:r>
        <w:rPr>
          <w:rFonts w:hAnsiTheme="minorEastAsia" w:eastAsiaTheme="minorEastAsia"/>
          <w:sz w:val="24"/>
          <w:highlight w:val="none"/>
        </w:rPr>
        <w:t>》，</w:t>
      </w:r>
      <w:r>
        <w:rPr>
          <w:rFonts w:hAnsiTheme="minorEastAsia" w:eastAsiaTheme="minorEastAsia"/>
          <w:sz w:val="24"/>
          <w:highlight w:val="none"/>
          <w:lang w:eastAsia="zh-CN"/>
        </w:rPr>
        <w:t>哈尔滨市</w:t>
      </w:r>
      <w:r>
        <w:rPr>
          <w:rFonts w:hint="default" w:hAnsiTheme="minorEastAsia" w:eastAsiaTheme="minorEastAsia"/>
          <w:sz w:val="24"/>
          <w:highlight w:val="none"/>
          <w:lang w:val="en-US"/>
        </w:rPr>
        <w:t>SO</w:t>
      </w:r>
      <w:r>
        <w:rPr>
          <w:rFonts w:hint="default" w:hAnsiTheme="minorEastAsia" w:eastAsiaTheme="minorEastAsia"/>
          <w:sz w:val="24"/>
          <w:highlight w:val="none"/>
          <w:vertAlign w:val="subscript"/>
          <w:lang w:val="en-US"/>
        </w:rPr>
        <w:t>2</w:t>
      </w:r>
      <w:r>
        <w:rPr>
          <w:rFonts w:hAnsiTheme="minorEastAsia" w:eastAsiaTheme="minorEastAsia"/>
          <w:sz w:val="24"/>
          <w:highlight w:val="none"/>
          <w:lang w:eastAsia="zh-CN"/>
        </w:rPr>
        <w:t>、</w:t>
      </w:r>
      <w:r>
        <w:rPr>
          <w:rFonts w:hint="default" w:hAnsiTheme="minorEastAsia" w:eastAsiaTheme="minorEastAsia"/>
          <w:sz w:val="24"/>
          <w:highlight w:val="none"/>
          <w:lang w:val="en-US"/>
        </w:rPr>
        <w:t>NO</w:t>
      </w:r>
      <w:r>
        <w:rPr>
          <w:rFonts w:hint="default" w:hAnsiTheme="minorEastAsia" w:eastAsiaTheme="minorEastAsia"/>
          <w:sz w:val="24"/>
          <w:highlight w:val="none"/>
          <w:vertAlign w:val="subscript"/>
          <w:lang w:val="en-US"/>
        </w:rPr>
        <w:t>2</w:t>
      </w:r>
      <w:r>
        <w:rPr>
          <w:rFonts w:hAnsiTheme="minorEastAsia" w:eastAsiaTheme="minorEastAsia"/>
          <w:sz w:val="24"/>
          <w:highlight w:val="none"/>
          <w:lang w:eastAsia="zh-CN"/>
        </w:rPr>
        <w:t>、</w:t>
      </w:r>
      <w:r>
        <w:rPr>
          <w:rFonts w:hint="default" w:hAnsiTheme="minorEastAsia" w:eastAsiaTheme="minorEastAsia"/>
          <w:sz w:val="24"/>
          <w:highlight w:val="none"/>
          <w:lang w:val="en-US"/>
        </w:rPr>
        <w:t>CO</w:t>
      </w:r>
      <w:r>
        <w:rPr>
          <w:rFonts w:hAnsiTheme="minorEastAsia" w:eastAsiaTheme="minorEastAsia"/>
          <w:sz w:val="24"/>
          <w:highlight w:val="none"/>
          <w:lang w:eastAsia="zh-CN"/>
        </w:rPr>
        <w:t>、</w:t>
      </w:r>
      <w:r>
        <w:rPr>
          <w:rFonts w:hint="default" w:hAnsiTheme="minorEastAsia" w:eastAsiaTheme="minorEastAsia"/>
          <w:sz w:val="24"/>
          <w:highlight w:val="none"/>
          <w:lang w:val="en-US"/>
        </w:rPr>
        <w:t>O</w:t>
      </w:r>
      <w:r>
        <w:rPr>
          <w:rFonts w:hint="default" w:hAnsiTheme="minorEastAsia" w:eastAsiaTheme="minorEastAsia"/>
          <w:sz w:val="24"/>
          <w:highlight w:val="none"/>
          <w:vertAlign w:val="subscript"/>
          <w:lang w:val="en-US"/>
        </w:rPr>
        <w:t>3</w:t>
      </w:r>
      <w:r>
        <w:rPr>
          <w:rFonts w:hAnsiTheme="minorEastAsia" w:eastAsiaTheme="minorEastAsia"/>
          <w:sz w:val="24"/>
          <w:highlight w:val="none"/>
          <w:lang w:eastAsia="zh-CN"/>
        </w:rPr>
        <w:t>均满足《环境空气质量标准》（</w:t>
      </w:r>
      <w:r>
        <w:rPr>
          <w:rFonts w:hint="default" w:hAnsiTheme="minorEastAsia" w:eastAsiaTheme="minorEastAsia"/>
          <w:sz w:val="24"/>
          <w:highlight w:val="none"/>
          <w:lang w:val="en-US"/>
        </w:rPr>
        <w:t>GB3095-2012</w:t>
      </w:r>
      <w:r>
        <w:rPr>
          <w:rFonts w:hAnsiTheme="minorEastAsia" w:eastAsiaTheme="minorEastAsia"/>
          <w:sz w:val="24"/>
          <w:highlight w:val="none"/>
          <w:lang w:eastAsia="zh-CN"/>
        </w:rPr>
        <w:t>）及修改单中二级标准，</w:t>
      </w:r>
      <w:r>
        <w:rPr>
          <w:rFonts w:hint="default" w:hAnsiTheme="minorEastAsia" w:eastAsiaTheme="minorEastAsia"/>
          <w:sz w:val="24"/>
          <w:highlight w:val="none"/>
          <w:lang w:val="en-US"/>
        </w:rPr>
        <w:t>PM</w:t>
      </w:r>
      <w:r>
        <w:rPr>
          <w:rFonts w:hint="default" w:hAnsiTheme="minorEastAsia" w:eastAsiaTheme="minorEastAsia"/>
          <w:sz w:val="24"/>
          <w:highlight w:val="none"/>
          <w:vertAlign w:val="subscript"/>
          <w:lang w:val="en-US"/>
        </w:rPr>
        <w:t>10</w:t>
      </w:r>
      <w:r>
        <w:rPr>
          <w:rFonts w:hAnsiTheme="minorEastAsia" w:eastAsiaTheme="minorEastAsia"/>
          <w:sz w:val="24"/>
          <w:highlight w:val="none"/>
          <w:lang w:eastAsia="zh-CN"/>
        </w:rPr>
        <w:t>、</w:t>
      </w:r>
      <w:r>
        <w:rPr>
          <w:rFonts w:hint="default" w:hAnsiTheme="minorEastAsia" w:eastAsiaTheme="minorEastAsia"/>
          <w:sz w:val="24"/>
          <w:highlight w:val="none"/>
          <w:lang w:val="en-US"/>
        </w:rPr>
        <w:t>PM</w:t>
      </w:r>
      <w:r>
        <w:rPr>
          <w:rFonts w:hint="default" w:hAnsiTheme="minorEastAsia" w:eastAsiaTheme="minorEastAsia"/>
          <w:sz w:val="24"/>
          <w:highlight w:val="none"/>
          <w:vertAlign w:val="subscript"/>
          <w:lang w:val="en-US"/>
        </w:rPr>
        <w:t>2.5</w:t>
      </w:r>
      <w:r>
        <w:rPr>
          <w:rFonts w:hAnsiTheme="minorEastAsia" w:eastAsiaTheme="minorEastAsia"/>
          <w:sz w:val="24"/>
          <w:highlight w:val="none"/>
          <w:lang w:eastAsia="zh-CN"/>
        </w:rPr>
        <w:t>未达到二级标准，本项目所在区域处于环境质量不达标区</w:t>
      </w:r>
      <w:r>
        <w:rPr>
          <w:rFonts w:hAnsiTheme="minorEastAsia" w:eastAsiaTheme="minorEastAsia"/>
          <w:sz w:val="24"/>
          <w:highlight w:val="none"/>
        </w:rPr>
        <w:t>。</w:t>
      </w:r>
    </w:p>
    <w:p w14:paraId="44C3B293">
      <w:pPr>
        <w:bidi w:val="0"/>
        <w:rPr>
          <w:rFonts w:hint="eastAsia" w:eastAsia="宋体" w:hAnsiTheme="minorEastAsia"/>
          <w:sz w:val="24"/>
          <w:highlight w:val="none"/>
          <w:lang w:eastAsia="zh-CN"/>
        </w:rPr>
      </w:pPr>
      <w:r>
        <w:rPr>
          <w:rFonts w:hint="default" w:ascii="Times New Roman" w:hAnsi="Times New Roman" w:eastAsia="宋体" w:cs="Times New Roman"/>
          <w:spacing w:val="0"/>
          <w:position w:val="0"/>
          <w:highlight w:val="none"/>
        </w:rPr>
        <w:t>通过监测结果表明，</w:t>
      </w:r>
      <w:r>
        <w:rPr>
          <w:rFonts w:hint="eastAsia" w:ascii="Times New Roman" w:hAnsi="Times New Roman" w:eastAsia="宋体" w:cs="Times New Roman"/>
          <w:spacing w:val="0"/>
          <w:position w:val="0"/>
          <w:highlight w:val="none"/>
          <w:lang w:val="en-US" w:eastAsia="zh-CN"/>
        </w:rPr>
        <w:t>TSP</w:t>
      </w:r>
      <w:r>
        <w:rPr>
          <w:rFonts w:hint="default" w:ascii="Times New Roman" w:hAnsi="Times New Roman" w:eastAsia="宋体" w:cs="Times New Roman"/>
          <w:spacing w:val="0"/>
          <w:position w:val="0"/>
          <w:highlight w:val="none"/>
        </w:rPr>
        <w:t>满足</w:t>
      </w:r>
      <w:r>
        <w:rPr>
          <w:rFonts w:hint="eastAsia" w:ascii="Times New Roman" w:hAnsi="宋体" w:eastAsia="宋体" w:cs="Times New Roman"/>
          <w:sz w:val="24"/>
          <w:szCs w:val="24"/>
          <w:highlight w:val="none"/>
        </w:rPr>
        <w:t>《环境空气质量标准》（</w:t>
      </w:r>
      <w:r>
        <w:rPr>
          <w:rFonts w:ascii="Times New Roman" w:hAnsi="宋体" w:eastAsia="宋体" w:cs="Times New Roman"/>
          <w:sz w:val="24"/>
          <w:szCs w:val="24"/>
          <w:highlight w:val="none"/>
        </w:rPr>
        <w:t>GB3095</w:t>
      </w:r>
      <w:r>
        <w:rPr>
          <w:rFonts w:hint="eastAsia" w:ascii="Times New Roman" w:hAnsi="宋体" w:eastAsia="宋体" w:cs="Times New Roman"/>
          <w:sz w:val="24"/>
          <w:szCs w:val="24"/>
          <w:highlight w:val="none"/>
        </w:rPr>
        <w:t>-</w:t>
      </w:r>
      <w:r>
        <w:rPr>
          <w:rFonts w:ascii="Times New Roman" w:hAnsi="宋体" w:eastAsia="宋体" w:cs="Times New Roman"/>
          <w:sz w:val="24"/>
          <w:szCs w:val="24"/>
          <w:highlight w:val="none"/>
        </w:rPr>
        <w:t>20</w:t>
      </w:r>
      <w:r>
        <w:rPr>
          <w:rFonts w:hint="eastAsia" w:hAnsi="宋体" w:cs="Times New Roman"/>
          <w:sz w:val="24"/>
          <w:szCs w:val="24"/>
          <w:highlight w:val="none"/>
          <w:lang w:val="en-US" w:eastAsia="zh-CN"/>
        </w:rPr>
        <w:t>26</w:t>
      </w:r>
      <w:r>
        <w:rPr>
          <w:rFonts w:hint="eastAsia" w:ascii="Times New Roman" w:hAnsi="宋体" w:eastAsia="宋体" w:cs="Times New Roman"/>
          <w:sz w:val="24"/>
          <w:szCs w:val="24"/>
          <w:highlight w:val="none"/>
        </w:rPr>
        <w:t>）</w:t>
      </w:r>
      <w:r>
        <w:rPr>
          <w:rFonts w:hint="eastAsia" w:hAnsi="宋体" w:cs="Times New Roman"/>
          <w:sz w:val="24"/>
          <w:szCs w:val="24"/>
          <w:highlight w:val="none"/>
          <w:lang w:eastAsia="zh-CN"/>
        </w:rPr>
        <w:t>过渡阶段</w:t>
      </w:r>
      <w:r>
        <w:rPr>
          <w:rFonts w:hint="eastAsia" w:ascii="Times New Roman" w:hAnsi="宋体" w:eastAsia="宋体" w:cs="Times New Roman"/>
          <w:sz w:val="24"/>
          <w:szCs w:val="24"/>
          <w:highlight w:val="none"/>
        </w:rPr>
        <w:t>二级</w:t>
      </w:r>
      <w:r>
        <w:rPr>
          <w:rFonts w:hint="eastAsia" w:hAnsi="宋体" w:cs="Times New Roman"/>
          <w:sz w:val="24"/>
          <w:szCs w:val="24"/>
          <w:highlight w:val="none"/>
          <w:lang w:eastAsia="zh-CN"/>
        </w:rPr>
        <w:t>限值</w:t>
      </w:r>
      <w:r>
        <w:rPr>
          <w:rFonts w:hint="eastAsia" w:ascii="Times New Roman" w:hAnsi="宋体" w:eastAsia="宋体" w:cs="Times New Roman"/>
          <w:sz w:val="24"/>
          <w:szCs w:val="24"/>
          <w:highlight w:val="none"/>
        </w:rPr>
        <w:t>标准</w:t>
      </w:r>
      <w:r>
        <w:rPr>
          <w:rFonts w:hint="default" w:ascii="Times New Roman" w:hAnsi="Times New Roman" w:eastAsia="宋体" w:cs="Times New Roman"/>
          <w:spacing w:val="0"/>
          <w:position w:val="0"/>
          <w:highlight w:val="none"/>
        </w:rPr>
        <w:t>，非甲烷总烃满足</w:t>
      </w:r>
      <w:r>
        <w:rPr>
          <w:rFonts w:hint="default" w:ascii="Times New Roman" w:hAnsi="Times New Roman" w:cs="Times New Roman"/>
          <w:spacing w:val="0"/>
          <w:position w:val="0"/>
          <w:highlight w:val="none"/>
        </w:rPr>
        <w:t>《大气污染物综合排放</w:t>
      </w:r>
      <w:r>
        <w:rPr>
          <w:rFonts w:hint="default" w:ascii="Times New Roman" w:hAnsi="Times New Roman" w:eastAsia="宋体" w:cs="Times New Roman"/>
          <w:spacing w:val="0"/>
          <w:position w:val="0"/>
          <w:highlight w:val="none"/>
        </w:rPr>
        <w:t>标准详解》要求</w:t>
      </w:r>
      <w:r>
        <w:rPr>
          <w:rFonts w:hint="eastAsia" w:cs="Times New Roman"/>
          <w:spacing w:val="0"/>
          <w:position w:val="0"/>
          <w:highlight w:val="none"/>
          <w:lang w:eastAsia="zh-CN"/>
        </w:rPr>
        <w:t>。</w:t>
      </w:r>
    </w:p>
    <w:p w14:paraId="7A78E878">
      <w:pPr>
        <w:pStyle w:val="6"/>
        <w:bidi w:val="0"/>
        <w:rPr>
          <w:highlight w:val="none"/>
        </w:rPr>
      </w:pPr>
      <w:r>
        <w:rPr>
          <w:highlight w:val="none"/>
        </w:rPr>
        <w:t>9.1.2.4声环境质量现状评价结论</w:t>
      </w:r>
    </w:p>
    <w:p w14:paraId="00F85665">
      <w:pPr>
        <w:bidi w:val="0"/>
        <w:rPr>
          <w:rFonts w:hAnsiTheme="minorEastAsia" w:eastAsiaTheme="minorEastAsia"/>
          <w:bCs/>
          <w:sz w:val="24"/>
          <w:highlight w:val="none"/>
        </w:rPr>
      </w:pPr>
      <w:r>
        <w:rPr>
          <w:rFonts w:hAnsiTheme="minorEastAsia" w:eastAsiaTheme="minorEastAsia"/>
          <w:sz w:val="24"/>
          <w:highlight w:val="none"/>
        </w:rPr>
        <w:t>根据哈尔滨新巨环保科技有限公司出具的检测报告</w:t>
      </w:r>
      <w:r>
        <w:rPr>
          <w:rFonts w:hint="eastAsia" w:hAnsiTheme="minorEastAsia" w:eastAsiaTheme="minorEastAsia"/>
          <w:sz w:val="24"/>
          <w:highlight w:val="none"/>
          <w:lang w:val="en-US" w:eastAsia="zh-CN"/>
        </w:rPr>
        <w:t>可</w:t>
      </w:r>
      <w:r>
        <w:rPr>
          <w:rFonts w:hAnsiTheme="minorEastAsia" w:eastAsiaTheme="minorEastAsia"/>
          <w:sz w:val="24"/>
          <w:highlight w:val="none"/>
        </w:rPr>
        <w:t>知</w:t>
      </w:r>
      <w:r>
        <w:rPr>
          <w:rFonts w:hAnsiTheme="minorEastAsia" w:eastAsiaTheme="minorEastAsia"/>
          <w:bCs/>
          <w:sz w:val="24"/>
          <w:highlight w:val="none"/>
        </w:rPr>
        <w:t>，</w:t>
      </w:r>
      <w:r>
        <w:rPr>
          <w:rFonts w:hint="eastAsia" w:hAnsiTheme="minorEastAsia" w:eastAsiaTheme="minorEastAsia"/>
          <w:bCs/>
          <w:sz w:val="24"/>
          <w:highlight w:val="none"/>
          <w:lang w:val="en-US" w:eastAsia="zh-CN"/>
        </w:rPr>
        <w:t>厂界</w:t>
      </w:r>
      <w:r>
        <w:rPr>
          <w:rFonts w:hAnsiTheme="minorEastAsia" w:eastAsiaTheme="minorEastAsia"/>
          <w:bCs/>
          <w:sz w:val="24"/>
          <w:highlight w:val="none"/>
        </w:rPr>
        <w:t>监测点环境噪声昼夜值均满足《声环境质量标准》（</w:t>
      </w:r>
      <w:r>
        <w:rPr>
          <w:rFonts w:eastAsiaTheme="minorEastAsia"/>
          <w:bCs/>
          <w:sz w:val="24"/>
          <w:highlight w:val="none"/>
        </w:rPr>
        <w:t>GB3096-2008</w:t>
      </w:r>
      <w:r>
        <w:rPr>
          <w:rFonts w:hAnsiTheme="minorEastAsia" w:eastAsiaTheme="minorEastAsia"/>
          <w:bCs/>
          <w:sz w:val="24"/>
          <w:highlight w:val="none"/>
        </w:rPr>
        <w:t>）中的</w:t>
      </w:r>
      <w:r>
        <w:rPr>
          <w:rFonts w:hint="eastAsia" w:eastAsiaTheme="minorEastAsia"/>
          <w:bCs/>
          <w:sz w:val="24"/>
          <w:highlight w:val="none"/>
          <w:lang w:val="en-US" w:eastAsia="zh-CN"/>
        </w:rPr>
        <w:t>2</w:t>
      </w:r>
      <w:r>
        <w:rPr>
          <w:rFonts w:hAnsiTheme="minorEastAsia" w:eastAsiaTheme="minorEastAsia"/>
          <w:bCs/>
          <w:sz w:val="24"/>
          <w:highlight w:val="none"/>
        </w:rPr>
        <w:t>类标准。</w:t>
      </w:r>
    </w:p>
    <w:p w14:paraId="43DA9FE8">
      <w:pPr>
        <w:pStyle w:val="6"/>
        <w:bidi w:val="0"/>
        <w:rPr>
          <w:highlight w:val="none"/>
        </w:rPr>
      </w:pPr>
      <w:r>
        <w:rPr>
          <w:rFonts w:hint="eastAsia"/>
          <w:highlight w:val="none"/>
          <w:lang w:val="en-US" w:eastAsia="zh-CN"/>
        </w:rPr>
        <w:t>9.1.2.5土壤</w:t>
      </w:r>
      <w:r>
        <w:rPr>
          <w:highlight w:val="none"/>
        </w:rPr>
        <w:t>环境质量现状评价结论</w:t>
      </w:r>
    </w:p>
    <w:p w14:paraId="69E5717C">
      <w:pPr>
        <w:bidi w:val="0"/>
        <w:rPr>
          <w:rFonts w:hint="eastAsia"/>
          <w:highlight w:val="none"/>
          <w:lang w:val="en-US" w:eastAsia="zh-CN"/>
        </w:rPr>
      </w:pPr>
      <w:r>
        <w:rPr>
          <w:highlight w:val="none"/>
        </w:rPr>
        <w:t>根据哈尔滨新巨环保科技有限公司出具的检测报告</w:t>
      </w:r>
      <w:r>
        <w:rPr>
          <w:rFonts w:hint="eastAsia"/>
          <w:highlight w:val="none"/>
          <w:lang w:val="en-US" w:eastAsia="zh-CN"/>
        </w:rPr>
        <w:t>可</w:t>
      </w:r>
      <w:r>
        <w:rPr>
          <w:highlight w:val="none"/>
        </w:rPr>
        <w:t>知，监测点</w:t>
      </w:r>
      <w:r>
        <w:rPr>
          <w:rFonts w:hint="eastAsia"/>
          <w:highlight w:val="none"/>
          <w:lang w:val="en-US" w:eastAsia="zh-CN"/>
        </w:rPr>
        <w:t>各类土壤污染物监测结果低于《土壤环境质量建设用地土壤污染风险管控标准（试行）》（</w:t>
      </w:r>
      <w:r>
        <w:rPr>
          <w:rFonts w:hint="default"/>
          <w:highlight w:val="none"/>
          <w:lang w:val="en-US" w:eastAsia="zh-CN"/>
        </w:rPr>
        <w:t>GB36600-2018</w:t>
      </w:r>
      <w:r>
        <w:rPr>
          <w:rFonts w:hint="eastAsia"/>
          <w:highlight w:val="none"/>
          <w:lang w:val="en-US" w:eastAsia="zh-CN"/>
        </w:rPr>
        <w:t>）第二类用地中的筛选值。</w:t>
      </w:r>
    </w:p>
    <w:p w14:paraId="410D9DFC">
      <w:pPr>
        <w:pStyle w:val="6"/>
        <w:bidi w:val="0"/>
        <w:rPr>
          <w:highlight w:val="none"/>
        </w:rPr>
      </w:pPr>
      <w:r>
        <w:rPr>
          <w:rFonts w:hint="eastAsia"/>
          <w:highlight w:val="none"/>
          <w:lang w:val="en-US" w:eastAsia="zh-CN"/>
        </w:rPr>
        <w:t>9.1.2.5生态</w:t>
      </w:r>
      <w:r>
        <w:rPr>
          <w:highlight w:val="none"/>
        </w:rPr>
        <w:t>环境质量现状评价结论</w:t>
      </w:r>
    </w:p>
    <w:p w14:paraId="0102500F">
      <w:pPr>
        <w:bidi w:val="0"/>
        <w:rPr>
          <w:rFonts w:hint="eastAsia"/>
          <w:highlight w:val="none"/>
          <w:lang w:val="en-US" w:eastAsia="zh-CN"/>
        </w:rPr>
      </w:pPr>
      <w:r>
        <w:rPr>
          <w:rFonts w:hint="eastAsia"/>
          <w:highlight w:val="none"/>
        </w:rPr>
        <w:t>经调查，项目所在位置用地性质为</w:t>
      </w:r>
      <w:r>
        <w:rPr>
          <w:rFonts w:hint="eastAsia"/>
          <w:highlight w:val="none"/>
          <w:lang w:val="en-US" w:eastAsia="zh-CN"/>
        </w:rPr>
        <w:t>工业</w:t>
      </w:r>
      <w:r>
        <w:rPr>
          <w:rFonts w:hint="eastAsia"/>
          <w:highlight w:val="none"/>
        </w:rPr>
        <w:t>用地，</w:t>
      </w:r>
      <w:r>
        <w:rPr>
          <w:rFonts w:hint="eastAsia"/>
          <w:highlight w:val="none"/>
          <w:lang w:val="en-US" w:eastAsia="zh-CN"/>
        </w:rPr>
        <w:t>周围为工业企业，</w:t>
      </w:r>
      <w:r>
        <w:rPr>
          <w:rFonts w:hint="eastAsia"/>
          <w:highlight w:val="none"/>
        </w:rPr>
        <w:t>由于多年的开发活动，本区自然生态环境已为人工生态环境所取代。本项目所在地</w:t>
      </w:r>
      <w:r>
        <w:rPr>
          <w:rFonts w:hint="eastAsia"/>
          <w:highlight w:val="none"/>
          <w:lang w:val="en-US" w:eastAsia="zh-CN"/>
        </w:rPr>
        <w:t>及厂界外扩200m范围内</w:t>
      </w:r>
      <w:r>
        <w:rPr>
          <w:rFonts w:hint="eastAsia"/>
          <w:highlight w:val="none"/>
        </w:rPr>
        <w:t>没有野生动物保护品种，也未发现濒危、</w:t>
      </w:r>
      <w:r>
        <w:rPr>
          <w:rFonts w:hint="eastAsia"/>
          <w:highlight w:val="none"/>
          <w:lang w:eastAsia="zh-CN"/>
        </w:rPr>
        <w:t>珍稀动物</w:t>
      </w:r>
      <w:r>
        <w:rPr>
          <w:rFonts w:hint="eastAsia"/>
          <w:highlight w:val="none"/>
        </w:rPr>
        <w:t>栖息场所，区域内无国家、省、市级自然保护区、风景名胜区等保护目标，区域整体生态环境质量较好</w:t>
      </w:r>
      <w:r>
        <w:rPr>
          <w:rFonts w:hint="eastAsia"/>
          <w:highlight w:val="none"/>
          <w:lang w:eastAsia="zh-CN"/>
        </w:rPr>
        <w:t>。</w:t>
      </w:r>
    </w:p>
    <w:p w14:paraId="1E6FC464">
      <w:pPr>
        <w:pStyle w:val="5"/>
        <w:bidi w:val="0"/>
        <w:rPr>
          <w:highlight w:val="none"/>
        </w:rPr>
      </w:pPr>
      <w:bookmarkStart w:id="463" w:name="_Toc15991738"/>
      <w:bookmarkStart w:id="464" w:name="_Toc17595"/>
      <w:bookmarkStart w:id="465" w:name="_Toc12907"/>
      <w:r>
        <w:rPr>
          <w:highlight w:val="none"/>
        </w:rPr>
        <w:t>9.1.3</w:t>
      </w:r>
      <w:bookmarkEnd w:id="463"/>
      <w:r>
        <w:rPr>
          <w:highlight w:val="none"/>
        </w:rPr>
        <w:t>污染物排放情况</w:t>
      </w:r>
      <w:bookmarkEnd w:id="464"/>
      <w:bookmarkEnd w:id="465"/>
    </w:p>
    <w:p w14:paraId="0B37A3AF">
      <w:pPr>
        <w:pStyle w:val="6"/>
        <w:bidi w:val="0"/>
        <w:rPr>
          <w:highlight w:val="none"/>
        </w:rPr>
      </w:pPr>
      <w:r>
        <w:rPr>
          <w:highlight w:val="none"/>
        </w:rPr>
        <w:t>9.1.3.1废气</w:t>
      </w:r>
    </w:p>
    <w:p w14:paraId="10B55CCA">
      <w:pPr>
        <w:bidi w:val="0"/>
        <w:rPr>
          <w:rFonts w:hAnsiTheme="minorEastAsia" w:eastAsiaTheme="minorEastAsia"/>
          <w:kern w:val="0"/>
          <w:sz w:val="24"/>
          <w:highlight w:val="none"/>
        </w:rPr>
      </w:pPr>
      <w:r>
        <w:rPr>
          <w:rFonts w:hint="eastAsia" w:hAnsiTheme="minorEastAsia" w:eastAsiaTheme="minorEastAsia"/>
          <w:kern w:val="0"/>
          <w:sz w:val="24"/>
          <w:highlight w:val="none"/>
          <w:lang w:val="en-US" w:eastAsia="zh-CN"/>
        </w:rPr>
        <w:t>生产产生的油雾、挥发性有机物（以非甲烷总烃计）、颗粒物及臭气浓度通过油雾净化装置+活性炭吸附装置处理后由1根新建15m排气筒排放；贮存产生的挥发性有机物（以非甲烷总烃计）通活性炭吸附装置处理后由1根新建15m排气筒排放</w:t>
      </w:r>
      <w:r>
        <w:rPr>
          <w:rFonts w:hAnsiTheme="minorEastAsia" w:eastAsiaTheme="minorEastAsia"/>
          <w:kern w:val="0"/>
          <w:sz w:val="24"/>
          <w:highlight w:val="none"/>
        </w:rPr>
        <w:t>，</w:t>
      </w:r>
      <w:r>
        <w:rPr>
          <w:rFonts w:hint="eastAsia" w:hAnsiTheme="minorEastAsia" w:eastAsiaTheme="minorEastAsia"/>
          <w:kern w:val="0"/>
          <w:sz w:val="24"/>
          <w:highlight w:val="none"/>
          <w:lang w:val="en-US" w:eastAsia="zh-CN"/>
        </w:rPr>
        <w:t>非甲烷总烃、颗粒物</w:t>
      </w:r>
      <w:r>
        <w:rPr>
          <w:rFonts w:hAnsiTheme="minorEastAsia" w:eastAsiaTheme="minorEastAsia"/>
          <w:kern w:val="0"/>
          <w:sz w:val="24"/>
          <w:highlight w:val="none"/>
        </w:rPr>
        <w:t>排</w:t>
      </w:r>
      <w:r>
        <w:rPr>
          <w:rFonts w:hint="eastAsia" w:hAnsiTheme="minorEastAsia" w:eastAsiaTheme="minorEastAsia"/>
          <w:kern w:val="0"/>
          <w:sz w:val="24"/>
          <w:highlight w:val="none"/>
          <w:lang w:val="en-US" w:eastAsia="zh-CN"/>
        </w:rPr>
        <w:t>放浓度及速率均满足《大气污染物综合排放标准》（GB16297-1996）表2中二级标准；臭气浓度满足《恶臭污染物排放标准》（GB14554-93）表2中标准。</w:t>
      </w:r>
    </w:p>
    <w:p w14:paraId="4B7E564C">
      <w:pPr>
        <w:spacing w:line="360" w:lineRule="auto"/>
        <w:ind w:firstLine="480" w:firstLineChars="200"/>
        <w:rPr>
          <w:rFonts w:hint="default" w:hAnsiTheme="minorEastAsia" w:eastAsiaTheme="minorEastAsia"/>
          <w:kern w:val="0"/>
          <w:sz w:val="24"/>
          <w:highlight w:val="none"/>
          <w:lang w:val="en-US" w:eastAsia="zh-CN"/>
        </w:rPr>
      </w:pPr>
      <w:r>
        <w:rPr>
          <w:rFonts w:hAnsiTheme="minorEastAsia" w:eastAsiaTheme="minorEastAsia"/>
          <w:kern w:val="0"/>
          <w:sz w:val="24"/>
          <w:highlight w:val="none"/>
        </w:rPr>
        <w:t>经</w:t>
      </w:r>
      <w:r>
        <w:rPr>
          <w:rFonts w:hint="eastAsia" w:hAnsiTheme="minorEastAsia" w:eastAsiaTheme="minorEastAsia"/>
          <w:kern w:val="0"/>
          <w:sz w:val="24"/>
          <w:highlight w:val="none"/>
        </w:rPr>
        <w:t>估算</w:t>
      </w:r>
      <w:r>
        <w:rPr>
          <w:rFonts w:hAnsiTheme="minorEastAsia" w:eastAsiaTheme="minorEastAsia"/>
          <w:kern w:val="0"/>
          <w:sz w:val="24"/>
          <w:highlight w:val="none"/>
        </w:rPr>
        <w:t>，无组织非甲烷总烃</w:t>
      </w:r>
      <w:r>
        <w:rPr>
          <w:rFonts w:hint="eastAsia" w:hAnsiTheme="minorEastAsia" w:eastAsiaTheme="minorEastAsia"/>
          <w:kern w:val="0"/>
          <w:sz w:val="24"/>
          <w:highlight w:val="none"/>
          <w:lang w:val="en-US" w:eastAsia="zh-CN"/>
        </w:rPr>
        <w:t>最大</w:t>
      </w:r>
      <w:r>
        <w:rPr>
          <w:rFonts w:hAnsiTheme="minorEastAsia" w:eastAsiaTheme="minorEastAsia"/>
          <w:kern w:val="0"/>
          <w:sz w:val="24"/>
          <w:highlight w:val="none"/>
        </w:rPr>
        <w:t>排放浓度为</w:t>
      </w:r>
      <w:r>
        <w:rPr>
          <w:rFonts w:eastAsiaTheme="minorEastAsia"/>
          <w:kern w:val="0"/>
          <w:sz w:val="24"/>
          <w:highlight w:val="none"/>
        </w:rPr>
        <w:t>0.</w:t>
      </w:r>
      <w:r>
        <w:rPr>
          <w:rFonts w:hint="eastAsia" w:eastAsiaTheme="minorEastAsia"/>
          <w:kern w:val="0"/>
          <w:sz w:val="24"/>
          <w:highlight w:val="none"/>
        </w:rPr>
        <w:t>0</w:t>
      </w:r>
      <w:r>
        <w:rPr>
          <w:rFonts w:hint="eastAsia" w:eastAsiaTheme="minorEastAsia"/>
          <w:kern w:val="0"/>
          <w:sz w:val="24"/>
          <w:highlight w:val="none"/>
          <w:lang w:val="en-US" w:eastAsia="zh-CN"/>
        </w:rPr>
        <w:t>82</w:t>
      </w:r>
      <w:r>
        <w:rPr>
          <w:rFonts w:eastAsiaTheme="minorEastAsia"/>
          <w:kern w:val="0"/>
          <w:sz w:val="24"/>
          <w:highlight w:val="none"/>
        </w:rPr>
        <w:t>mg/m</w:t>
      </w:r>
      <w:r>
        <w:rPr>
          <w:rFonts w:eastAsiaTheme="minorEastAsia"/>
          <w:kern w:val="0"/>
          <w:sz w:val="24"/>
          <w:highlight w:val="none"/>
          <w:vertAlign w:val="superscript"/>
        </w:rPr>
        <w:t>3</w:t>
      </w:r>
      <w:r>
        <w:rPr>
          <w:rFonts w:hAnsiTheme="minorEastAsia" w:eastAsiaTheme="minorEastAsia"/>
          <w:kern w:val="0"/>
          <w:sz w:val="24"/>
          <w:highlight w:val="none"/>
        </w:rPr>
        <w:t>，</w:t>
      </w:r>
      <w:r>
        <w:rPr>
          <w:rFonts w:hint="eastAsia" w:hAnsiTheme="minorEastAsia" w:eastAsiaTheme="minorEastAsia"/>
          <w:kern w:val="0"/>
          <w:sz w:val="24"/>
          <w:highlight w:val="none"/>
          <w:lang w:val="en-US" w:eastAsia="zh-CN"/>
        </w:rPr>
        <w:t>无组织颗粒物最大</w:t>
      </w:r>
      <w:r>
        <w:rPr>
          <w:rFonts w:hAnsiTheme="minorEastAsia" w:eastAsiaTheme="minorEastAsia"/>
          <w:kern w:val="0"/>
          <w:sz w:val="24"/>
          <w:highlight w:val="none"/>
        </w:rPr>
        <w:t>排放浓度为</w:t>
      </w:r>
      <w:r>
        <w:rPr>
          <w:rFonts w:hint="eastAsia" w:hAnsiTheme="minorEastAsia" w:eastAsiaTheme="minorEastAsia"/>
          <w:kern w:val="0"/>
          <w:sz w:val="24"/>
          <w:highlight w:val="none"/>
          <w:lang w:val="en-US" w:eastAsia="zh-CN"/>
        </w:rPr>
        <w:t>0.00001</w:t>
      </w:r>
      <w:r>
        <w:rPr>
          <w:rFonts w:eastAsiaTheme="minorEastAsia"/>
          <w:kern w:val="0"/>
          <w:sz w:val="24"/>
          <w:highlight w:val="none"/>
        </w:rPr>
        <w:t>mg/m</w:t>
      </w:r>
      <w:r>
        <w:rPr>
          <w:rFonts w:eastAsiaTheme="minorEastAsia"/>
          <w:kern w:val="0"/>
          <w:sz w:val="24"/>
          <w:highlight w:val="none"/>
          <w:vertAlign w:val="superscript"/>
        </w:rPr>
        <w:t>3</w:t>
      </w:r>
      <w:r>
        <w:rPr>
          <w:rFonts w:hAnsiTheme="minorEastAsia" w:eastAsiaTheme="minorEastAsia"/>
          <w:kern w:val="0"/>
          <w:sz w:val="24"/>
          <w:highlight w:val="none"/>
        </w:rPr>
        <w:t>，厂界非甲烷总烃</w:t>
      </w:r>
      <w:r>
        <w:rPr>
          <w:rFonts w:hint="eastAsia" w:hAnsiTheme="minorEastAsia" w:eastAsiaTheme="minorEastAsia"/>
          <w:kern w:val="0"/>
          <w:sz w:val="24"/>
          <w:highlight w:val="none"/>
          <w:lang w:eastAsia="zh-CN"/>
        </w:rPr>
        <w:t>、</w:t>
      </w:r>
      <w:r>
        <w:rPr>
          <w:rFonts w:hint="eastAsia" w:hAnsiTheme="minorEastAsia" w:eastAsiaTheme="minorEastAsia"/>
          <w:kern w:val="0"/>
          <w:sz w:val="24"/>
          <w:highlight w:val="none"/>
          <w:lang w:val="en-US" w:eastAsia="zh-CN"/>
        </w:rPr>
        <w:t>颗粒物</w:t>
      </w:r>
      <w:r>
        <w:rPr>
          <w:rFonts w:hAnsiTheme="minorEastAsia" w:eastAsiaTheme="minorEastAsia"/>
          <w:kern w:val="0"/>
          <w:sz w:val="24"/>
          <w:highlight w:val="none"/>
        </w:rPr>
        <w:t>满足《大气污染物综合排放标准》（</w:t>
      </w:r>
      <w:r>
        <w:rPr>
          <w:rFonts w:eastAsiaTheme="minorEastAsia"/>
          <w:kern w:val="0"/>
          <w:sz w:val="24"/>
          <w:highlight w:val="none"/>
        </w:rPr>
        <w:t>GB16297-1996</w:t>
      </w:r>
      <w:r>
        <w:rPr>
          <w:rFonts w:hAnsiTheme="minorEastAsia" w:eastAsiaTheme="minorEastAsia"/>
          <w:kern w:val="0"/>
          <w:sz w:val="24"/>
          <w:highlight w:val="none"/>
        </w:rPr>
        <w:t>）表</w:t>
      </w:r>
      <w:r>
        <w:rPr>
          <w:rFonts w:eastAsiaTheme="minorEastAsia"/>
          <w:kern w:val="0"/>
          <w:sz w:val="24"/>
          <w:highlight w:val="none"/>
        </w:rPr>
        <w:t>2</w:t>
      </w:r>
      <w:r>
        <w:rPr>
          <w:rFonts w:hAnsiTheme="minorEastAsia" w:eastAsiaTheme="minorEastAsia"/>
          <w:kern w:val="0"/>
          <w:sz w:val="24"/>
          <w:highlight w:val="none"/>
        </w:rPr>
        <w:t>中无组织排放监控浓度限值要求</w:t>
      </w:r>
      <w:r>
        <w:rPr>
          <w:rFonts w:hint="eastAsia" w:hAnsiTheme="minorEastAsia" w:eastAsiaTheme="minorEastAsia"/>
          <w:kern w:val="0"/>
          <w:sz w:val="24"/>
          <w:highlight w:val="none"/>
          <w:lang w:val="en-US" w:eastAsia="zh-CN"/>
        </w:rPr>
        <w:t>；厂区内非甲烷总烃满足《挥发性有机物无组织排放控制标准》（GB37822-2019）中表A.1中排放限值标准要求。厂界臭气浓度满足《恶臭污染物排放标准》（GB14554-93）中表1恶臭污染物厂界二级标准。</w:t>
      </w:r>
    </w:p>
    <w:p w14:paraId="12D3D610">
      <w:pPr>
        <w:spacing w:line="360" w:lineRule="auto"/>
        <w:ind w:firstLine="480" w:firstLineChars="200"/>
        <w:rPr>
          <w:rFonts w:eastAsiaTheme="minorEastAsia"/>
          <w:kern w:val="0"/>
          <w:sz w:val="24"/>
          <w:highlight w:val="none"/>
        </w:rPr>
      </w:pPr>
      <w:r>
        <w:rPr>
          <w:rFonts w:hAnsiTheme="minorEastAsia" w:eastAsiaTheme="minorEastAsia"/>
          <w:kern w:val="0"/>
          <w:sz w:val="24"/>
          <w:highlight w:val="none"/>
        </w:rPr>
        <w:t>综上所述，项目采取的污染控制措施可以保证污染物达标排放，项目废气对外界环境影响很小，大气环境影响可接受。</w:t>
      </w:r>
    </w:p>
    <w:p w14:paraId="6F55685F">
      <w:pPr>
        <w:pStyle w:val="6"/>
        <w:bidi w:val="0"/>
        <w:rPr>
          <w:highlight w:val="none"/>
        </w:rPr>
      </w:pPr>
      <w:r>
        <w:rPr>
          <w:highlight w:val="none"/>
        </w:rPr>
        <w:t>9.1.3.2废水</w:t>
      </w:r>
    </w:p>
    <w:p w14:paraId="40696DA4">
      <w:pPr>
        <w:bidi w:val="0"/>
        <w:rPr>
          <w:rFonts w:hint="eastAsia" w:eastAsia="宋体" w:hAnsiTheme="minorEastAsia"/>
          <w:bCs/>
          <w:sz w:val="24"/>
          <w:highlight w:val="none"/>
          <w:lang w:eastAsia="zh-CN"/>
        </w:rPr>
      </w:pPr>
      <w:r>
        <w:rPr>
          <w:rFonts w:hint="eastAsia"/>
          <w:highlight w:val="none"/>
          <w:lang w:val="en-US" w:eastAsia="zh-CN"/>
        </w:rPr>
        <w:t>本项目不产生生产废水，生活废水依托周边企业防渗旱厕收集，定期清掏外运堆肥</w:t>
      </w:r>
      <w:r>
        <w:rPr>
          <w:rFonts w:hint="eastAsia" w:ascii="Times New Roman" w:hAnsi="Times New Roman" w:cs="Times New Roman"/>
          <w:bCs/>
          <w:highlight w:val="none"/>
          <w:lang w:eastAsia="zh-CN"/>
        </w:rPr>
        <w:t>。</w:t>
      </w:r>
    </w:p>
    <w:p w14:paraId="3AFED41F">
      <w:pPr>
        <w:pStyle w:val="6"/>
        <w:bidi w:val="0"/>
        <w:rPr>
          <w:highlight w:val="none"/>
        </w:rPr>
      </w:pPr>
      <w:r>
        <w:rPr>
          <w:highlight w:val="none"/>
        </w:rPr>
        <w:t>9.1.3.3噪声</w:t>
      </w:r>
    </w:p>
    <w:p w14:paraId="0D2CEBDC">
      <w:pPr>
        <w:spacing w:line="360" w:lineRule="auto"/>
        <w:ind w:firstLine="480" w:firstLineChars="200"/>
        <w:rPr>
          <w:rFonts w:eastAsiaTheme="minorEastAsia"/>
          <w:kern w:val="0"/>
          <w:sz w:val="24"/>
          <w:highlight w:val="none"/>
        </w:rPr>
      </w:pPr>
      <w:r>
        <w:rPr>
          <w:rFonts w:hAnsiTheme="minorEastAsia" w:eastAsiaTheme="minorEastAsia"/>
          <w:kern w:val="0"/>
          <w:sz w:val="24"/>
          <w:highlight w:val="none"/>
        </w:rPr>
        <w:t>本项目主要噪声源为生产设备</w:t>
      </w:r>
      <w:r>
        <w:rPr>
          <w:rFonts w:hint="eastAsia" w:hAnsiTheme="minorEastAsia" w:eastAsiaTheme="minorEastAsia"/>
          <w:kern w:val="0"/>
          <w:sz w:val="24"/>
          <w:highlight w:val="none"/>
          <w:lang w:val="en-US" w:eastAsia="zh-CN"/>
        </w:rPr>
        <w:t>及风机产生</w:t>
      </w:r>
      <w:r>
        <w:rPr>
          <w:rFonts w:hAnsiTheme="minorEastAsia" w:eastAsiaTheme="minorEastAsia"/>
          <w:kern w:val="0"/>
          <w:sz w:val="24"/>
          <w:highlight w:val="none"/>
        </w:rPr>
        <w:t>的机械噪声，采取选用低噪声设备、隔声、减振等措施后，根据对噪声设备影响预测的结果可看出，正常生产情况下，厂界噪声可以满足</w:t>
      </w:r>
      <w:r>
        <w:rPr>
          <w:rFonts w:hAnsiTheme="minorEastAsia" w:eastAsiaTheme="minorEastAsia"/>
          <w:kern w:val="0"/>
          <w:sz w:val="24"/>
          <w:szCs w:val="20"/>
          <w:highlight w:val="none"/>
        </w:rPr>
        <w:t>《工业企业厂界环境噪声排放标准》（</w:t>
      </w:r>
      <w:r>
        <w:rPr>
          <w:rFonts w:eastAsiaTheme="minorEastAsia"/>
          <w:kern w:val="0"/>
          <w:sz w:val="24"/>
          <w:szCs w:val="20"/>
          <w:highlight w:val="none"/>
        </w:rPr>
        <w:t>GB12348-2008</w:t>
      </w:r>
      <w:r>
        <w:rPr>
          <w:rFonts w:hAnsiTheme="minorEastAsia" w:eastAsiaTheme="minorEastAsia"/>
          <w:kern w:val="0"/>
          <w:sz w:val="24"/>
          <w:szCs w:val="20"/>
          <w:highlight w:val="none"/>
        </w:rPr>
        <w:t>）中的</w:t>
      </w:r>
      <w:r>
        <w:rPr>
          <w:rFonts w:hint="eastAsia" w:eastAsiaTheme="minorEastAsia"/>
          <w:kern w:val="0"/>
          <w:sz w:val="24"/>
          <w:szCs w:val="20"/>
          <w:highlight w:val="none"/>
          <w:lang w:val="en-US" w:eastAsia="zh-CN"/>
        </w:rPr>
        <w:t>2</w:t>
      </w:r>
      <w:r>
        <w:rPr>
          <w:rFonts w:hAnsiTheme="minorEastAsia" w:eastAsiaTheme="minorEastAsia"/>
          <w:kern w:val="0"/>
          <w:sz w:val="24"/>
          <w:szCs w:val="20"/>
          <w:highlight w:val="none"/>
        </w:rPr>
        <w:t>类</w:t>
      </w:r>
      <w:r>
        <w:rPr>
          <w:rFonts w:hAnsiTheme="minorEastAsia" w:eastAsiaTheme="minorEastAsia"/>
          <w:kern w:val="0"/>
          <w:sz w:val="24"/>
          <w:highlight w:val="none"/>
        </w:rPr>
        <w:t>要求</w:t>
      </w:r>
      <w:r>
        <w:rPr>
          <w:rFonts w:hint="eastAsia" w:hAnsiTheme="minorEastAsia" w:eastAsiaTheme="minorEastAsia"/>
          <w:kern w:val="0"/>
          <w:sz w:val="24"/>
          <w:highlight w:val="none"/>
          <w:lang w:val="en-US" w:eastAsia="zh-CN"/>
        </w:rPr>
        <w:t>，</w:t>
      </w:r>
      <w:r>
        <w:rPr>
          <w:rFonts w:hAnsiTheme="minorEastAsia" w:eastAsiaTheme="minorEastAsia"/>
          <w:kern w:val="0"/>
          <w:sz w:val="24"/>
          <w:highlight w:val="none"/>
        </w:rPr>
        <w:t>对周围环境影响较小。</w:t>
      </w:r>
    </w:p>
    <w:p w14:paraId="3778EA1A">
      <w:pPr>
        <w:pStyle w:val="6"/>
        <w:bidi w:val="0"/>
        <w:rPr>
          <w:highlight w:val="none"/>
        </w:rPr>
      </w:pPr>
      <w:r>
        <w:rPr>
          <w:highlight w:val="none"/>
        </w:rPr>
        <w:t>9.1.3.4固废</w:t>
      </w:r>
      <w:bookmarkStart w:id="466" w:name="_Toc15991739"/>
    </w:p>
    <w:p w14:paraId="21F0F07E">
      <w:pPr>
        <w:bidi w:val="0"/>
        <w:rPr>
          <w:rFonts w:hAnsiTheme="minorEastAsia" w:eastAsiaTheme="minorEastAsia"/>
          <w:bCs/>
          <w:sz w:val="24"/>
          <w:highlight w:val="none"/>
        </w:rPr>
      </w:pPr>
      <w:r>
        <w:rPr>
          <w:rFonts w:hint="default"/>
          <w:highlight w:val="none"/>
          <w:lang w:val="en-US" w:eastAsia="zh-CN"/>
        </w:rPr>
        <w:t>生产过程产生的</w:t>
      </w:r>
      <w:r>
        <w:rPr>
          <w:rFonts w:hint="default"/>
          <w:highlight w:val="none"/>
        </w:rPr>
        <w:t>废过滤材料</w:t>
      </w:r>
      <w:r>
        <w:rPr>
          <w:rFonts w:hint="eastAsia"/>
          <w:highlight w:val="none"/>
          <w:lang w:val="en-US" w:eastAsia="zh-CN"/>
        </w:rPr>
        <w:t>密封袋装收集，暂存于危险废物贮存库中，定期委托有资质单位处置处理</w:t>
      </w:r>
      <w:r>
        <w:rPr>
          <w:rFonts w:hint="default"/>
          <w:highlight w:val="none"/>
        </w:rPr>
        <w:t>。废活性炭</w:t>
      </w:r>
      <w:r>
        <w:rPr>
          <w:rFonts w:hint="eastAsia"/>
          <w:highlight w:val="none"/>
          <w:lang w:val="en-US" w:eastAsia="zh-CN"/>
        </w:rPr>
        <w:t>密封袋装收集，暂存于危险废物贮存库中，定期委托有资质单位处置处理</w:t>
      </w:r>
      <w:r>
        <w:rPr>
          <w:rFonts w:hint="default"/>
          <w:highlight w:val="none"/>
        </w:rPr>
        <w:t>。废</w:t>
      </w:r>
      <w:r>
        <w:rPr>
          <w:rFonts w:hint="eastAsia"/>
          <w:highlight w:val="none"/>
          <w:lang w:eastAsia="zh-CN"/>
        </w:rPr>
        <w:t>液</w:t>
      </w:r>
      <w:r>
        <w:rPr>
          <w:rFonts w:hint="eastAsia"/>
          <w:highlight w:val="none"/>
          <w:lang w:val="en-US" w:eastAsia="zh-CN"/>
        </w:rPr>
        <w:t>密封桶装收集，暂存于危险废物贮存库中，</w:t>
      </w:r>
      <w:r>
        <w:rPr>
          <w:rFonts w:hint="default"/>
          <w:highlight w:val="none"/>
        </w:rPr>
        <w:t>定期委托</w:t>
      </w:r>
      <w:r>
        <w:rPr>
          <w:rFonts w:hint="eastAsia"/>
          <w:highlight w:val="none"/>
          <w:lang w:val="en-US" w:eastAsia="zh-CN"/>
        </w:rPr>
        <w:t>有资质单位</w:t>
      </w:r>
      <w:r>
        <w:rPr>
          <w:rFonts w:hint="default"/>
          <w:highlight w:val="none"/>
        </w:rPr>
        <w:t>处理</w:t>
      </w:r>
      <w:r>
        <w:rPr>
          <w:rFonts w:hint="eastAsia"/>
          <w:highlight w:val="none"/>
          <w:lang w:eastAsia="zh-CN"/>
        </w:rPr>
        <w:t>；</w:t>
      </w:r>
      <w:r>
        <w:rPr>
          <w:rFonts w:hint="eastAsia"/>
          <w:highlight w:val="none"/>
          <w:lang w:val="en-US" w:eastAsia="zh-CN"/>
        </w:rPr>
        <w:t>脱油铁屑、铝屑密封袋装收集，暂存于危险废物贮存库中，定期委托有资质单位处置处理；废电解液和电池密封桶装收集，暂存于危险废物贮存库中，</w:t>
      </w:r>
      <w:r>
        <w:rPr>
          <w:rFonts w:hint="default"/>
          <w:highlight w:val="none"/>
        </w:rPr>
        <w:t>定期委托</w:t>
      </w:r>
      <w:r>
        <w:rPr>
          <w:rFonts w:hint="eastAsia"/>
          <w:highlight w:val="none"/>
          <w:lang w:val="en-US" w:eastAsia="zh-CN"/>
        </w:rPr>
        <w:t>有资质单位</w:t>
      </w:r>
      <w:r>
        <w:rPr>
          <w:rFonts w:hint="default"/>
          <w:highlight w:val="none"/>
        </w:rPr>
        <w:t>处理</w:t>
      </w:r>
      <w:r>
        <w:rPr>
          <w:rFonts w:hAnsiTheme="minorEastAsia" w:eastAsiaTheme="minorEastAsia"/>
          <w:bCs/>
          <w:sz w:val="24"/>
          <w:highlight w:val="none"/>
        </w:rPr>
        <w:t>。</w:t>
      </w:r>
    </w:p>
    <w:p w14:paraId="6E9E3BDE">
      <w:pPr>
        <w:pStyle w:val="5"/>
        <w:bidi w:val="0"/>
        <w:rPr>
          <w:highlight w:val="none"/>
        </w:rPr>
      </w:pPr>
      <w:bookmarkStart w:id="467" w:name="_Toc6734"/>
      <w:bookmarkStart w:id="468" w:name="_Toc17320"/>
      <w:r>
        <w:rPr>
          <w:highlight w:val="none"/>
        </w:rPr>
        <w:t>9.1.4主要环境影响</w:t>
      </w:r>
      <w:bookmarkEnd w:id="467"/>
      <w:bookmarkEnd w:id="468"/>
    </w:p>
    <w:p w14:paraId="24935A74">
      <w:pPr>
        <w:bidi w:val="0"/>
        <w:rPr>
          <w:highlight w:val="none"/>
        </w:rPr>
      </w:pPr>
      <w:r>
        <w:rPr>
          <w:rFonts w:hAnsiTheme="minorEastAsia" w:eastAsiaTheme="minorEastAsia"/>
          <w:sz w:val="24"/>
          <w:highlight w:val="none"/>
        </w:rPr>
        <w:t>本项目对环境主要影响源自</w:t>
      </w:r>
      <w:r>
        <w:rPr>
          <w:rFonts w:hint="eastAsia" w:hAnsiTheme="minorEastAsia" w:eastAsiaTheme="minorEastAsia"/>
          <w:sz w:val="24"/>
          <w:highlight w:val="none"/>
          <w:lang w:eastAsia="zh-CN"/>
        </w:rPr>
        <w:t>生产过程</w:t>
      </w:r>
      <w:r>
        <w:rPr>
          <w:rFonts w:hAnsiTheme="minorEastAsia" w:eastAsiaTheme="minorEastAsia"/>
          <w:sz w:val="24"/>
          <w:highlight w:val="none"/>
        </w:rPr>
        <w:t>产生的废气对大气环境的影响；设备运行过程中设备噪声对声环境的影响；</w:t>
      </w:r>
      <w:r>
        <w:rPr>
          <w:rFonts w:hint="eastAsia" w:hAnsiTheme="minorEastAsia" w:eastAsiaTheme="minorEastAsia"/>
          <w:bCs/>
          <w:sz w:val="24"/>
          <w:highlight w:val="none"/>
          <w:lang w:eastAsia="zh-CN"/>
        </w:rPr>
        <w:t>生活污水</w:t>
      </w:r>
      <w:r>
        <w:rPr>
          <w:rFonts w:hAnsiTheme="minorEastAsia" w:eastAsiaTheme="minorEastAsia"/>
          <w:bCs/>
          <w:sz w:val="24"/>
          <w:highlight w:val="none"/>
        </w:rPr>
        <w:t>对水环境得影响；危险废物</w:t>
      </w:r>
      <w:r>
        <w:rPr>
          <w:rFonts w:hAnsiTheme="minorEastAsia" w:eastAsiaTheme="minorEastAsia"/>
          <w:sz w:val="24"/>
          <w:highlight w:val="none"/>
        </w:rPr>
        <w:t>等固体废物影响</w:t>
      </w:r>
      <w:r>
        <w:rPr>
          <w:highlight w:val="none"/>
        </w:rPr>
        <w:t>。</w:t>
      </w:r>
    </w:p>
    <w:p w14:paraId="79C9E3C7">
      <w:pPr>
        <w:bidi w:val="0"/>
        <w:rPr>
          <w:rFonts w:eastAsiaTheme="minorEastAsia"/>
          <w:b/>
          <w:bCs/>
          <w:highlight w:val="none"/>
        </w:rPr>
      </w:pPr>
      <w:r>
        <w:rPr>
          <w:highlight w:val="none"/>
        </w:rPr>
        <w:t>本项目针对以上环境影响均采取了相应地防治措施，在建设单位保证环保设施及防范措施有效运</w:t>
      </w:r>
      <w:r>
        <w:rPr>
          <w:rFonts w:hAnsiTheme="minorEastAsia" w:eastAsiaTheme="minorEastAsia"/>
          <w:highlight w:val="none"/>
        </w:rPr>
        <w:t>行、实施的前提下，本项目对外环境产生的不利影响可以被接受。</w:t>
      </w:r>
    </w:p>
    <w:p w14:paraId="51AB0ACF">
      <w:pPr>
        <w:pStyle w:val="5"/>
        <w:bidi w:val="0"/>
        <w:rPr>
          <w:highlight w:val="none"/>
        </w:rPr>
      </w:pPr>
      <w:bookmarkStart w:id="469" w:name="_Toc486255150"/>
      <w:bookmarkStart w:id="470" w:name="_Toc15991741"/>
      <w:bookmarkStart w:id="471" w:name="_Toc3956"/>
      <w:bookmarkStart w:id="472" w:name="_Toc3006"/>
      <w:r>
        <w:rPr>
          <w:highlight w:val="none"/>
        </w:rPr>
        <w:t>9.1.5公众意见采纳情况</w:t>
      </w:r>
      <w:bookmarkEnd w:id="469"/>
      <w:bookmarkEnd w:id="470"/>
      <w:bookmarkEnd w:id="471"/>
      <w:bookmarkEnd w:id="472"/>
    </w:p>
    <w:p w14:paraId="4B4D0DA6">
      <w:pPr>
        <w:bidi w:val="0"/>
        <w:rPr>
          <w:highlight w:val="none"/>
        </w:rPr>
      </w:pPr>
      <w:r>
        <w:rPr>
          <w:highlight w:val="none"/>
        </w:rPr>
        <w:t>建设单位于202</w:t>
      </w:r>
      <w:r>
        <w:rPr>
          <w:rFonts w:hint="eastAsia"/>
          <w:highlight w:val="none"/>
          <w:lang w:val="en-US" w:eastAsia="zh-CN"/>
        </w:rPr>
        <w:t>6</w:t>
      </w:r>
      <w:r>
        <w:rPr>
          <w:highlight w:val="none"/>
        </w:rPr>
        <w:t>年</w:t>
      </w:r>
      <w:r>
        <w:rPr>
          <w:rFonts w:hint="eastAsia"/>
          <w:highlight w:val="none"/>
          <w:lang w:val="en-US" w:eastAsia="zh-CN"/>
        </w:rPr>
        <w:t>2</w:t>
      </w:r>
      <w:r>
        <w:rPr>
          <w:highlight w:val="none"/>
        </w:rPr>
        <w:t>月</w:t>
      </w:r>
      <w:r>
        <w:rPr>
          <w:rFonts w:hint="eastAsia"/>
          <w:highlight w:val="none"/>
          <w:lang w:val="en-US" w:eastAsia="zh-CN"/>
        </w:rPr>
        <w:t>3</w:t>
      </w:r>
      <w:r>
        <w:rPr>
          <w:highlight w:val="none"/>
        </w:rPr>
        <w:t>日在黑龙江新闻网上对</w:t>
      </w:r>
      <w:r>
        <w:rPr>
          <w:rFonts w:hint="eastAsia"/>
          <w:highlight w:val="none"/>
          <w:lang w:eastAsia="zh-CN"/>
        </w:rPr>
        <w:t>黑龙江省奇福圆环保科技有限公司项目</w:t>
      </w:r>
      <w:r>
        <w:rPr>
          <w:highlight w:val="none"/>
        </w:rPr>
        <w:t>进行了第一次公示；202</w:t>
      </w:r>
      <w:r>
        <w:rPr>
          <w:rFonts w:hint="eastAsia"/>
          <w:highlight w:val="none"/>
          <w:lang w:val="en-US" w:eastAsia="zh-CN"/>
        </w:rPr>
        <w:t>6</w:t>
      </w:r>
      <w:r>
        <w:rPr>
          <w:highlight w:val="none"/>
        </w:rPr>
        <w:t>年</w:t>
      </w:r>
      <w:r>
        <w:rPr>
          <w:rFonts w:hint="eastAsia"/>
          <w:highlight w:val="none"/>
          <w:lang w:val="en-US" w:eastAsia="zh-CN"/>
        </w:rPr>
        <w:t>3</w:t>
      </w:r>
      <w:r>
        <w:rPr>
          <w:highlight w:val="none"/>
        </w:rPr>
        <w:t>月</w:t>
      </w:r>
      <w:r>
        <w:rPr>
          <w:rFonts w:hint="eastAsia"/>
          <w:highlight w:val="none"/>
          <w:lang w:val="en-US" w:eastAsia="zh-CN"/>
        </w:rPr>
        <w:t>26</w:t>
      </w:r>
      <w:r>
        <w:rPr>
          <w:highlight w:val="none"/>
        </w:rPr>
        <w:t>日编制完成了《</w:t>
      </w:r>
      <w:r>
        <w:rPr>
          <w:rFonts w:hint="eastAsia"/>
          <w:highlight w:val="none"/>
          <w:lang w:eastAsia="zh-CN"/>
        </w:rPr>
        <w:t>黑龙江省奇福圆环保科技有限公司项目环境影响报告书</w:t>
      </w:r>
      <w:r>
        <w:rPr>
          <w:highlight w:val="none"/>
        </w:rPr>
        <w:t>》征求意见稿后，于202</w:t>
      </w:r>
      <w:r>
        <w:rPr>
          <w:rFonts w:hint="eastAsia"/>
          <w:highlight w:val="none"/>
          <w:lang w:val="en-US" w:eastAsia="zh-CN"/>
        </w:rPr>
        <w:t>6</w:t>
      </w:r>
      <w:r>
        <w:rPr>
          <w:highlight w:val="none"/>
        </w:rPr>
        <w:t>年</w:t>
      </w:r>
      <w:r>
        <w:rPr>
          <w:rFonts w:hint="eastAsia"/>
          <w:highlight w:val="none"/>
          <w:lang w:val="en-US" w:eastAsia="zh-CN"/>
        </w:rPr>
        <w:t>3</w:t>
      </w:r>
      <w:r>
        <w:rPr>
          <w:highlight w:val="none"/>
        </w:rPr>
        <w:t>月</w:t>
      </w:r>
      <w:r>
        <w:rPr>
          <w:rFonts w:hint="eastAsia"/>
          <w:highlight w:val="none"/>
          <w:lang w:val="en-US" w:eastAsia="zh-CN"/>
        </w:rPr>
        <w:t>27</w:t>
      </w:r>
      <w:r>
        <w:rPr>
          <w:highlight w:val="none"/>
        </w:rPr>
        <w:t>日至</w:t>
      </w:r>
      <w:r>
        <w:rPr>
          <w:highlight w:val="yellow"/>
        </w:rPr>
        <w:t>202</w:t>
      </w:r>
      <w:r>
        <w:rPr>
          <w:rFonts w:hint="eastAsia"/>
          <w:highlight w:val="yellow"/>
          <w:lang w:val="en-US" w:eastAsia="zh-CN"/>
        </w:rPr>
        <w:t>5</w:t>
      </w:r>
      <w:r>
        <w:rPr>
          <w:highlight w:val="yellow"/>
        </w:rPr>
        <w:t>年</w:t>
      </w:r>
      <w:r>
        <w:rPr>
          <w:rFonts w:hint="eastAsia"/>
          <w:highlight w:val="yellow"/>
          <w:lang w:val="en-US" w:eastAsia="zh-CN"/>
        </w:rPr>
        <w:t>10</w:t>
      </w:r>
      <w:r>
        <w:rPr>
          <w:highlight w:val="yellow"/>
        </w:rPr>
        <w:t>月</w:t>
      </w:r>
      <w:r>
        <w:rPr>
          <w:rFonts w:hint="eastAsia"/>
          <w:highlight w:val="yellow"/>
          <w:lang w:val="en-US" w:eastAsia="zh-CN"/>
        </w:rPr>
        <w:t>29日</w:t>
      </w:r>
      <w:r>
        <w:rPr>
          <w:highlight w:val="yellow"/>
        </w:rPr>
        <w:t>在黑龙江新闻网对环境影响报告书的征求意见稿进行了公示，在此期间，分别于202</w:t>
      </w:r>
      <w:r>
        <w:rPr>
          <w:rFonts w:hint="eastAsia"/>
          <w:highlight w:val="yellow"/>
          <w:lang w:val="en-US" w:eastAsia="zh-CN"/>
        </w:rPr>
        <w:t>5</w:t>
      </w:r>
      <w:r>
        <w:rPr>
          <w:highlight w:val="yellow"/>
        </w:rPr>
        <w:t>年</w:t>
      </w:r>
      <w:r>
        <w:rPr>
          <w:rFonts w:hint="eastAsia"/>
          <w:highlight w:val="yellow"/>
          <w:lang w:val="en-US" w:eastAsia="zh-CN"/>
        </w:rPr>
        <w:t>10</w:t>
      </w:r>
      <w:r>
        <w:rPr>
          <w:highlight w:val="yellow"/>
        </w:rPr>
        <w:t>月</w:t>
      </w:r>
      <w:r>
        <w:rPr>
          <w:rFonts w:hint="eastAsia"/>
          <w:highlight w:val="yellow"/>
          <w:lang w:val="en-US" w:eastAsia="zh-CN"/>
        </w:rPr>
        <w:t>23</w:t>
      </w:r>
      <w:r>
        <w:rPr>
          <w:highlight w:val="yellow"/>
        </w:rPr>
        <w:t>日和</w:t>
      </w:r>
      <w:r>
        <w:rPr>
          <w:rFonts w:hint="eastAsia"/>
          <w:highlight w:val="yellow"/>
          <w:lang w:val="en-US" w:eastAsia="zh-CN"/>
        </w:rPr>
        <w:t>10</w:t>
      </w:r>
      <w:r>
        <w:rPr>
          <w:highlight w:val="yellow"/>
        </w:rPr>
        <w:t>月</w:t>
      </w:r>
      <w:r>
        <w:rPr>
          <w:rFonts w:hint="eastAsia"/>
          <w:highlight w:val="yellow"/>
          <w:lang w:val="en-US" w:eastAsia="zh-CN"/>
        </w:rPr>
        <w:t>27</w:t>
      </w:r>
      <w:r>
        <w:rPr>
          <w:highlight w:val="yellow"/>
        </w:rPr>
        <w:t>日在黑龙江日报上报纸公示了2次，且在附近</w:t>
      </w:r>
      <w:r>
        <w:rPr>
          <w:rFonts w:hint="eastAsia"/>
          <w:highlight w:val="yellow"/>
          <w:lang w:val="en-US" w:eastAsia="zh-CN"/>
        </w:rPr>
        <w:t>刘家村和哈飞家园分别</w:t>
      </w:r>
      <w:r>
        <w:rPr>
          <w:highlight w:val="yellow"/>
        </w:rPr>
        <w:t>张贴了布告栏公示。于202</w:t>
      </w:r>
      <w:r>
        <w:rPr>
          <w:rFonts w:hint="eastAsia"/>
          <w:highlight w:val="yellow"/>
          <w:lang w:val="en-US" w:eastAsia="zh-CN"/>
        </w:rPr>
        <w:t>5</w:t>
      </w:r>
      <w:r>
        <w:rPr>
          <w:highlight w:val="yellow"/>
        </w:rPr>
        <w:t>年</w:t>
      </w:r>
      <w:r>
        <w:rPr>
          <w:rFonts w:hint="eastAsia"/>
          <w:highlight w:val="yellow"/>
          <w:lang w:val="en-US" w:eastAsia="zh-CN"/>
        </w:rPr>
        <w:t>11</w:t>
      </w:r>
      <w:r>
        <w:rPr>
          <w:highlight w:val="yellow"/>
        </w:rPr>
        <w:t>月</w:t>
      </w:r>
      <w:r>
        <w:rPr>
          <w:rFonts w:hint="eastAsia"/>
          <w:highlight w:val="yellow"/>
          <w:lang w:val="en-US" w:eastAsia="zh-CN"/>
        </w:rPr>
        <w:t>7</w:t>
      </w:r>
      <w:r>
        <w:rPr>
          <w:highlight w:val="yellow"/>
        </w:rPr>
        <w:t>日在黑龙江新闻网进行了报批前公示。项目信息公告公示期间，均未收到公众以电话、信件或电子邮件等任何形式发回的反馈意见。</w:t>
      </w:r>
    </w:p>
    <w:p w14:paraId="34D9C7C5">
      <w:pPr>
        <w:pStyle w:val="5"/>
        <w:bidi w:val="0"/>
        <w:rPr>
          <w:highlight w:val="none"/>
        </w:rPr>
      </w:pPr>
      <w:bookmarkStart w:id="473" w:name="_Toc30370"/>
      <w:bookmarkStart w:id="474" w:name="_Toc26423"/>
      <w:r>
        <w:rPr>
          <w:highlight w:val="none"/>
        </w:rPr>
        <w:t>9.1.6环境保护措施</w:t>
      </w:r>
      <w:bookmarkEnd w:id="473"/>
      <w:bookmarkEnd w:id="474"/>
    </w:p>
    <w:p w14:paraId="7FEFD395">
      <w:pPr>
        <w:pStyle w:val="6"/>
        <w:bidi w:val="0"/>
        <w:rPr>
          <w:highlight w:val="none"/>
          <w:lang w:val="zh-CN"/>
        </w:rPr>
      </w:pPr>
      <w:r>
        <w:rPr>
          <w:highlight w:val="none"/>
          <w:lang w:val="zh-CN"/>
        </w:rPr>
        <w:t>9.1.6.1废气</w:t>
      </w:r>
    </w:p>
    <w:p w14:paraId="439F8439">
      <w:pPr>
        <w:bidi w:val="0"/>
        <w:rPr>
          <w:rFonts w:hint="eastAsia"/>
          <w:highlight w:val="none"/>
        </w:rPr>
      </w:pPr>
      <w:r>
        <w:rPr>
          <w:rFonts w:hint="eastAsia"/>
          <w:highlight w:val="none"/>
        </w:rPr>
        <w:t>生产产生的油雾、挥发性有机物（以非甲烷总烃计）、颗粒物及臭气浓度通过油雾净化装置+活性炭吸附装置处理后由1根新建15m排气筒排放；</w:t>
      </w:r>
      <w:r>
        <w:rPr>
          <w:highlight w:val="none"/>
        </w:rPr>
        <w:t>集气效率为</w:t>
      </w:r>
      <w:r>
        <w:rPr>
          <w:rFonts w:hint="eastAsia"/>
          <w:highlight w:val="none"/>
        </w:rPr>
        <w:t>9</w:t>
      </w:r>
      <w:r>
        <w:rPr>
          <w:rFonts w:hint="eastAsia"/>
          <w:highlight w:val="none"/>
          <w:lang w:val="en-US" w:eastAsia="zh-CN"/>
        </w:rPr>
        <w:t>0</w:t>
      </w:r>
      <w:r>
        <w:rPr>
          <w:highlight w:val="none"/>
        </w:rPr>
        <w:t>%，处理效率为</w:t>
      </w:r>
      <w:r>
        <w:rPr>
          <w:rFonts w:hint="eastAsia"/>
          <w:highlight w:val="none"/>
          <w:lang w:val="en-US" w:eastAsia="zh-CN"/>
        </w:rPr>
        <w:t>99</w:t>
      </w:r>
      <w:r>
        <w:rPr>
          <w:highlight w:val="none"/>
        </w:rPr>
        <w:t>%。</w:t>
      </w:r>
    </w:p>
    <w:p w14:paraId="5BF1DA46">
      <w:pPr>
        <w:bidi w:val="0"/>
        <w:rPr>
          <w:rFonts w:hint="default"/>
          <w:highlight w:val="none"/>
          <w:lang w:val="en-US" w:eastAsia="zh-CN"/>
        </w:rPr>
      </w:pPr>
      <w:r>
        <w:rPr>
          <w:rFonts w:hint="eastAsia"/>
          <w:highlight w:val="none"/>
        </w:rPr>
        <w:t>贮存产生的挥发性有机物（以非甲烷总烃计）通活性炭吸附装置处理后由1根新建15m排气筒排放</w:t>
      </w:r>
      <w:r>
        <w:rPr>
          <w:rFonts w:hAnsiTheme="minorEastAsia" w:eastAsiaTheme="minorEastAsia"/>
          <w:bCs/>
          <w:kern w:val="0"/>
          <w:sz w:val="24"/>
          <w:highlight w:val="none"/>
        </w:rPr>
        <w:t>，集气效率为</w:t>
      </w:r>
      <w:r>
        <w:rPr>
          <w:rFonts w:hint="eastAsia" w:hAnsiTheme="minorEastAsia" w:eastAsiaTheme="minorEastAsia"/>
          <w:bCs/>
          <w:kern w:val="0"/>
          <w:sz w:val="24"/>
          <w:highlight w:val="none"/>
        </w:rPr>
        <w:t>9</w:t>
      </w:r>
      <w:r>
        <w:rPr>
          <w:rFonts w:hint="eastAsia" w:hAnsiTheme="minorEastAsia" w:eastAsiaTheme="minorEastAsia"/>
          <w:bCs/>
          <w:kern w:val="0"/>
          <w:sz w:val="24"/>
          <w:highlight w:val="none"/>
          <w:lang w:val="en-US" w:eastAsia="zh-CN"/>
        </w:rPr>
        <w:t>0</w:t>
      </w:r>
      <w:r>
        <w:rPr>
          <w:rFonts w:hAnsiTheme="minorEastAsia" w:eastAsiaTheme="minorEastAsia"/>
          <w:bCs/>
          <w:kern w:val="0"/>
          <w:sz w:val="24"/>
          <w:highlight w:val="none"/>
        </w:rPr>
        <w:t>%，处理效率</w:t>
      </w:r>
      <w:r>
        <w:rPr>
          <w:rFonts w:hint="eastAsia" w:hAnsiTheme="minorEastAsia" w:eastAsiaTheme="minorEastAsia"/>
          <w:bCs/>
          <w:kern w:val="0"/>
          <w:sz w:val="24"/>
          <w:highlight w:val="none"/>
          <w:lang w:val="en-US" w:eastAsia="zh-CN"/>
        </w:rPr>
        <w:t>90</w:t>
      </w:r>
      <w:r>
        <w:rPr>
          <w:rFonts w:hAnsiTheme="minorEastAsia" w:eastAsiaTheme="minorEastAsia"/>
          <w:bCs/>
          <w:kern w:val="0"/>
          <w:sz w:val="24"/>
          <w:highlight w:val="none"/>
        </w:rPr>
        <w:t>%</w:t>
      </w:r>
      <w:r>
        <w:rPr>
          <w:rFonts w:hAnsiTheme="minorEastAsia" w:eastAsiaTheme="minorEastAsia"/>
          <w:kern w:val="0"/>
          <w:sz w:val="24"/>
          <w:highlight w:val="none"/>
        </w:rPr>
        <w:t>。</w:t>
      </w:r>
    </w:p>
    <w:p w14:paraId="2692417C">
      <w:pPr>
        <w:pStyle w:val="6"/>
        <w:bidi w:val="0"/>
        <w:rPr>
          <w:highlight w:val="none"/>
          <w:lang w:val="zh-CN"/>
        </w:rPr>
      </w:pPr>
      <w:r>
        <w:rPr>
          <w:highlight w:val="none"/>
          <w:lang w:val="zh-CN"/>
        </w:rPr>
        <w:t>9.1.6.2废水</w:t>
      </w:r>
    </w:p>
    <w:p w14:paraId="775BCA61">
      <w:pPr>
        <w:bidi w:val="0"/>
        <w:rPr>
          <w:highlight w:val="none"/>
        </w:rPr>
      </w:pPr>
      <w:r>
        <w:rPr>
          <w:rFonts w:hint="eastAsia"/>
          <w:highlight w:val="none"/>
          <w:lang w:val="en-US" w:eastAsia="zh-CN"/>
        </w:rPr>
        <w:t>本项目不产生生产废水，生活废水依托周边企业防渗旱厕收集，定期清掏外运堆肥</w:t>
      </w:r>
      <w:r>
        <w:rPr>
          <w:rFonts w:hAnsiTheme="minorEastAsia" w:eastAsiaTheme="minorEastAsia"/>
          <w:bCs/>
          <w:sz w:val="24"/>
          <w:highlight w:val="none"/>
        </w:rPr>
        <w:t>。</w:t>
      </w:r>
    </w:p>
    <w:p w14:paraId="03200103">
      <w:pPr>
        <w:bidi w:val="0"/>
        <w:rPr>
          <w:highlight w:val="none"/>
        </w:rPr>
      </w:pPr>
      <w:r>
        <w:rPr>
          <w:rFonts w:hint="eastAsia" w:ascii="Times New Roman" w:cs="Times New Roman" w:hAnsiTheme="minorEastAsia"/>
          <w:kern w:val="0"/>
          <w:highlight w:val="none"/>
          <w:lang w:val="en-US" w:eastAsia="zh-CN"/>
        </w:rPr>
        <w:t>对</w:t>
      </w:r>
      <w:r>
        <w:rPr>
          <w:rFonts w:hint="eastAsia" w:cs="Times New Roman" w:hAnsiTheme="minorEastAsia"/>
          <w:kern w:val="0"/>
          <w:highlight w:val="none"/>
          <w:lang w:val="en-US" w:eastAsia="zh-CN"/>
        </w:rPr>
        <w:t>生产车间、危险废物贮存库车间</w:t>
      </w:r>
      <w:r>
        <w:rPr>
          <w:rFonts w:hint="eastAsia" w:ascii="Times New Roman" w:cs="Times New Roman" w:hAnsiTheme="minorEastAsia"/>
          <w:kern w:val="0"/>
          <w:highlight w:val="none"/>
          <w:lang w:val="en-US" w:eastAsia="zh-CN"/>
        </w:rPr>
        <w:t>全部进行重点防渗，</w:t>
      </w:r>
      <w:r>
        <w:rPr>
          <w:rFonts w:ascii="Times New Roman" w:cs="Times New Roman" w:hAnsiTheme="minorEastAsia"/>
          <w:kern w:val="0"/>
          <w:highlight w:val="none"/>
        </w:rPr>
        <w:t>防渗技术要求：等效黏土防渗层厚度</w:t>
      </w:r>
      <w:r>
        <w:rPr>
          <w:rFonts w:ascii="Times New Roman" w:hAnsi="Times New Roman" w:cs="Times New Roman"/>
          <w:kern w:val="0"/>
          <w:highlight w:val="none"/>
        </w:rPr>
        <w:t>Mb≥6.0m</w:t>
      </w:r>
      <w:r>
        <w:rPr>
          <w:rFonts w:ascii="Times New Roman" w:cs="Times New Roman" w:hAnsiTheme="minorEastAsia"/>
          <w:kern w:val="0"/>
          <w:highlight w:val="none"/>
        </w:rPr>
        <w:t>，渗透系数</w:t>
      </w:r>
      <w:r>
        <w:rPr>
          <w:rFonts w:ascii="Times New Roman" w:hAnsi="Times New Roman" w:cs="Times New Roman"/>
          <w:kern w:val="0"/>
          <w:highlight w:val="none"/>
        </w:rPr>
        <w:t>K≤1.0×10</w:t>
      </w:r>
      <w:r>
        <w:rPr>
          <w:rFonts w:ascii="Times New Roman" w:hAnsi="Times New Roman" w:cs="Times New Roman"/>
          <w:kern w:val="0"/>
          <w:highlight w:val="none"/>
          <w:vertAlign w:val="superscript"/>
        </w:rPr>
        <w:t>-7</w:t>
      </w:r>
      <w:r>
        <w:rPr>
          <w:rFonts w:ascii="Times New Roman" w:hAnsi="Times New Roman" w:cs="Times New Roman"/>
          <w:kern w:val="0"/>
          <w:highlight w:val="none"/>
        </w:rPr>
        <w:t>cm/s</w:t>
      </w:r>
      <w:r>
        <w:rPr>
          <w:rFonts w:ascii="Times New Roman" w:cs="Times New Roman" w:hAnsiTheme="minorEastAsia"/>
          <w:kern w:val="0"/>
          <w:highlight w:val="none"/>
        </w:rPr>
        <w:t>；</w:t>
      </w:r>
    </w:p>
    <w:p w14:paraId="064865EE">
      <w:pPr>
        <w:pStyle w:val="6"/>
        <w:bidi w:val="0"/>
        <w:rPr>
          <w:highlight w:val="none"/>
          <w:lang w:val="zh-CN"/>
        </w:rPr>
      </w:pPr>
      <w:r>
        <w:rPr>
          <w:highlight w:val="none"/>
          <w:lang w:val="zh-CN"/>
        </w:rPr>
        <w:t>9.1.6.3噪声</w:t>
      </w:r>
    </w:p>
    <w:p w14:paraId="06F1764B">
      <w:pPr>
        <w:spacing w:line="360" w:lineRule="auto"/>
        <w:ind w:firstLine="480" w:firstLineChars="200"/>
        <w:rPr>
          <w:rFonts w:eastAsiaTheme="minorEastAsia"/>
          <w:sz w:val="24"/>
          <w:highlight w:val="none"/>
        </w:rPr>
      </w:pPr>
      <w:r>
        <w:rPr>
          <w:rFonts w:hAnsiTheme="minorEastAsia" w:eastAsiaTheme="minorEastAsia"/>
          <w:sz w:val="24"/>
          <w:highlight w:val="none"/>
        </w:rPr>
        <w:t>（</w:t>
      </w:r>
      <w:r>
        <w:rPr>
          <w:rFonts w:eastAsiaTheme="minorEastAsia"/>
          <w:sz w:val="24"/>
          <w:highlight w:val="none"/>
        </w:rPr>
        <w:t>1</w:t>
      </w:r>
      <w:r>
        <w:rPr>
          <w:rFonts w:hAnsiTheme="minorEastAsia" w:eastAsiaTheme="minorEastAsia"/>
          <w:sz w:val="24"/>
          <w:highlight w:val="none"/>
        </w:rPr>
        <w:t>）建议在设计和设备采购阶段，充分选用先进的低噪设备，从声源上降低设备本身噪声。</w:t>
      </w:r>
    </w:p>
    <w:p w14:paraId="4DC4FA45">
      <w:pPr>
        <w:spacing w:line="360" w:lineRule="auto"/>
        <w:ind w:firstLine="480" w:firstLineChars="200"/>
        <w:rPr>
          <w:rFonts w:eastAsiaTheme="minorEastAsia"/>
          <w:sz w:val="24"/>
          <w:highlight w:val="none"/>
        </w:rPr>
      </w:pPr>
      <w:r>
        <w:rPr>
          <w:rFonts w:hAnsiTheme="minorEastAsia" w:eastAsiaTheme="minorEastAsia"/>
          <w:sz w:val="24"/>
          <w:highlight w:val="none"/>
        </w:rPr>
        <w:t>（</w:t>
      </w:r>
      <w:r>
        <w:rPr>
          <w:rFonts w:eastAsiaTheme="minorEastAsia"/>
          <w:sz w:val="24"/>
          <w:highlight w:val="none"/>
        </w:rPr>
        <w:t>2</w:t>
      </w:r>
      <w:r>
        <w:rPr>
          <w:rFonts w:hAnsiTheme="minorEastAsia" w:eastAsiaTheme="minorEastAsia"/>
          <w:sz w:val="24"/>
          <w:highlight w:val="none"/>
        </w:rPr>
        <w:t>）针对生产工序中设备噪声，本项目采取基础减振、厂房隔声等措施，设备底座设置防振橡胶垫后，可有效降低噪声。</w:t>
      </w:r>
    </w:p>
    <w:p w14:paraId="0E8BAA7A">
      <w:pPr>
        <w:spacing w:line="360" w:lineRule="auto"/>
        <w:ind w:firstLine="480" w:firstLineChars="200"/>
        <w:rPr>
          <w:rFonts w:eastAsiaTheme="minorEastAsia"/>
          <w:sz w:val="24"/>
          <w:highlight w:val="none"/>
        </w:rPr>
      </w:pPr>
      <w:r>
        <w:rPr>
          <w:rFonts w:hAnsiTheme="minorEastAsia" w:eastAsiaTheme="minorEastAsia"/>
          <w:sz w:val="24"/>
          <w:highlight w:val="none"/>
        </w:rPr>
        <w:t>（</w:t>
      </w:r>
      <w:r>
        <w:rPr>
          <w:rFonts w:eastAsiaTheme="minorEastAsia"/>
          <w:sz w:val="24"/>
          <w:highlight w:val="none"/>
        </w:rPr>
        <w:t>3</w:t>
      </w:r>
      <w:r>
        <w:rPr>
          <w:rFonts w:hAnsiTheme="minorEastAsia" w:eastAsiaTheme="minorEastAsia"/>
          <w:sz w:val="24"/>
          <w:highlight w:val="none"/>
        </w:rPr>
        <w:t>）加强设备的维护，确保设备处于良好的运转状态，杜绝因设备不正常运转时产生的高噪声现象。</w:t>
      </w:r>
    </w:p>
    <w:p w14:paraId="4336A011">
      <w:pPr>
        <w:spacing w:line="360" w:lineRule="auto"/>
        <w:ind w:firstLine="480" w:firstLineChars="200"/>
        <w:rPr>
          <w:rFonts w:eastAsiaTheme="minorEastAsia"/>
          <w:sz w:val="24"/>
          <w:highlight w:val="none"/>
        </w:rPr>
      </w:pPr>
      <w:r>
        <w:rPr>
          <w:rFonts w:hAnsiTheme="minorEastAsia" w:eastAsiaTheme="minorEastAsia"/>
          <w:sz w:val="24"/>
          <w:highlight w:val="none"/>
        </w:rPr>
        <w:t>在采取上述措施后，本项目厂界噪声能够满足《工业企业厂界环境噪声排放标准》（</w:t>
      </w:r>
      <w:r>
        <w:rPr>
          <w:rFonts w:eastAsiaTheme="minorEastAsia"/>
          <w:sz w:val="24"/>
          <w:highlight w:val="none"/>
        </w:rPr>
        <w:t>GB12348-2008</w:t>
      </w:r>
      <w:r>
        <w:rPr>
          <w:rFonts w:hAnsiTheme="minorEastAsia" w:eastAsiaTheme="minorEastAsia"/>
          <w:sz w:val="24"/>
          <w:highlight w:val="none"/>
        </w:rPr>
        <w:t>）表</w:t>
      </w:r>
      <w:r>
        <w:rPr>
          <w:rFonts w:eastAsiaTheme="minorEastAsia"/>
          <w:sz w:val="24"/>
          <w:highlight w:val="none"/>
        </w:rPr>
        <w:t>1</w:t>
      </w:r>
      <w:r>
        <w:rPr>
          <w:rFonts w:hAnsiTheme="minorEastAsia" w:eastAsiaTheme="minorEastAsia"/>
          <w:sz w:val="24"/>
          <w:highlight w:val="none"/>
        </w:rPr>
        <w:t>中的</w:t>
      </w:r>
      <w:r>
        <w:rPr>
          <w:rFonts w:hint="eastAsia" w:hAnsiTheme="minorEastAsia" w:eastAsiaTheme="minorEastAsia"/>
          <w:sz w:val="24"/>
          <w:highlight w:val="none"/>
          <w:lang w:val="en-US" w:eastAsia="zh-CN"/>
        </w:rPr>
        <w:t>2</w:t>
      </w:r>
      <w:r>
        <w:rPr>
          <w:rFonts w:hAnsiTheme="minorEastAsia" w:eastAsiaTheme="minorEastAsia"/>
          <w:sz w:val="24"/>
          <w:highlight w:val="none"/>
        </w:rPr>
        <w:t>类标准。</w:t>
      </w:r>
    </w:p>
    <w:p w14:paraId="4B73A9C3">
      <w:pPr>
        <w:pStyle w:val="6"/>
        <w:bidi w:val="0"/>
        <w:rPr>
          <w:highlight w:val="none"/>
          <w:lang w:val="zh-CN"/>
        </w:rPr>
      </w:pPr>
      <w:r>
        <w:rPr>
          <w:highlight w:val="none"/>
          <w:lang w:val="zh-CN"/>
        </w:rPr>
        <w:t>9.1.6.4固废</w:t>
      </w:r>
    </w:p>
    <w:p w14:paraId="63C0DF5E">
      <w:pPr>
        <w:bidi w:val="0"/>
        <w:rPr>
          <w:highlight w:val="none"/>
        </w:rPr>
      </w:pPr>
      <w:r>
        <w:rPr>
          <w:highlight w:val="none"/>
        </w:rPr>
        <w:t>项目建设后，危险废物</w:t>
      </w:r>
      <w:r>
        <w:rPr>
          <w:rFonts w:hint="eastAsia"/>
          <w:highlight w:val="none"/>
        </w:rPr>
        <w:t>暂存</w:t>
      </w:r>
      <w:r>
        <w:rPr>
          <w:highlight w:val="none"/>
        </w:rPr>
        <w:t>于危废贮存库内。建设单位应强化废物产生、收集、贮存各环节的管理，各种固废按照类别分类存放，杜绝固废在厂区内散失、渗漏，达到无害化的目的，避免二次污染。</w:t>
      </w:r>
    </w:p>
    <w:p w14:paraId="3E3CC2DC">
      <w:pPr>
        <w:pStyle w:val="5"/>
        <w:bidi w:val="0"/>
        <w:rPr>
          <w:highlight w:val="none"/>
        </w:rPr>
      </w:pPr>
      <w:bookmarkStart w:id="475" w:name="_Toc30542"/>
      <w:bookmarkStart w:id="476" w:name="_Toc16742"/>
      <w:r>
        <w:rPr>
          <w:highlight w:val="none"/>
        </w:rPr>
        <w:t>9.1.7经济损益分析结论</w:t>
      </w:r>
      <w:bookmarkEnd w:id="466"/>
      <w:bookmarkEnd w:id="475"/>
      <w:bookmarkEnd w:id="476"/>
    </w:p>
    <w:p w14:paraId="0808C83B">
      <w:pPr>
        <w:bidi w:val="0"/>
        <w:rPr>
          <w:highlight w:val="none"/>
        </w:rPr>
      </w:pPr>
      <w:r>
        <w:rPr>
          <w:highlight w:val="none"/>
        </w:rPr>
        <w:t>本项目的建设具有良好的社会效益和经济效益，不会对当地环境产生明显不利影响，因此该项目的实施做到了社会效益、经济效益和环境效益的同步发展。</w:t>
      </w:r>
    </w:p>
    <w:p w14:paraId="13E58E58">
      <w:pPr>
        <w:pStyle w:val="5"/>
        <w:bidi w:val="0"/>
        <w:rPr>
          <w:highlight w:val="none"/>
        </w:rPr>
      </w:pPr>
      <w:bookmarkStart w:id="477" w:name="_Toc486255152"/>
      <w:bookmarkStart w:id="478" w:name="_Toc29811"/>
      <w:bookmarkStart w:id="479" w:name="_Toc15991740"/>
      <w:bookmarkStart w:id="480" w:name="_Toc5537"/>
      <w:r>
        <w:rPr>
          <w:highlight w:val="none"/>
        </w:rPr>
        <w:t>9.1.8环境管理与监测结论</w:t>
      </w:r>
      <w:bookmarkEnd w:id="477"/>
      <w:bookmarkEnd w:id="478"/>
      <w:bookmarkEnd w:id="479"/>
      <w:bookmarkEnd w:id="480"/>
    </w:p>
    <w:p w14:paraId="13BD08C0">
      <w:pPr>
        <w:bidi w:val="0"/>
        <w:rPr>
          <w:highlight w:val="none"/>
        </w:rPr>
      </w:pPr>
      <w:r>
        <w:rPr>
          <w:highlight w:val="none"/>
        </w:rPr>
        <w:t>项目运行期通过加强建设和运行的环境管理与监控，建立健全安全生产管理制度，制订科学严谨的操作规程，通过职工操作技能培训，提高危险</w:t>
      </w:r>
      <w:r>
        <w:rPr>
          <w:rFonts w:hint="eastAsia"/>
          <w:highlight w:val="none"/>
          <w:lang w:eastAsia="zh-CN"/>
        </w:rPr>
        <w:t>辨识</w:t>
      </w:r>
      <w:r>
        <w:rPr>
          <w:highlight w:val="none"/>
        </w:rPr>
        <w:t>、防护和保护能力，落实责任到人。同时加强厂内各类设备包括污染治理设施的日常运行管理和维护，对生产设备进行定期检测，对关键设备进行不定期探伤测试。增强岗位职责和环保、安全意识，保证生产设施和环保治理设施运行的可靠性、稳定性。</w:t>
      </w:r>
    </w:p>
    <w:p w14:paraId="5EEABB30">
      <w:pPr>
        <w:pStyle w:val="5"/>
        <w:bidi w:val="0"/>
        <w:rPr>
          <w:highlight w:val="none"/>
        </w:rPr>
      </w:pPr>
      <w:bookmarkStart w:id="481" w:name="_Toc342462538"/>
      <w:bookmarkStart w:id="482" w:name="_Toc6921"/>
      <w:bookmarkStart w:id="483" w:name="_Toc15991742"/>
      <w:bookmarkStart w:id="484" w:name="_Toc285188950"/>
      <w:bookmarkStart w:id="485" w:name="_Toc30196"/>
      <w:r>
        <w:rPr>
          <w:highlight w:val="none"/>
        </w:rPr>
        <w:t>9.1.9总结论</w:t>
      </w:r>
      <w:bookmarkEnd w:id="481"/>
      <w:bookmarkEnd w:id="482"/>
      <w:bookmarkEnd w:id="483"/>
      <w:bookmarkEnd w:id="484"/>
      <w:bookmarkEnd w:id="485"/>
    </w:p>
    <w:p w14:paraId="491C5E60">
      <w:pPr>
        <w:bidi w:val="0"/>
        <w:rPr>
          <w:highlight w:val="none"/>
        </w:rPr>
      </w:pPr>
      <w:r>
        <w:rPr>
          <w:highlight w:val="none"/>
        </w:rPr>
        <w:t>本项目的建设符合国家产业政策及行业发展规划，具有良好的经济效益和社会效益。工程选址符合要求，总平面布置合理。本项目污染防治措施有效可行，废水、废气、噪声可实现达标排放，固体废物可得到安全、合理处置，工程建设在落实环评要求的污染防治措施后，不会改变当地环境功能区划，公众参与显示本项目能够被公众认可，环境风险在可接受范围内。从环保角度分析，本工程的建设是可行的。</w:t>
      </w:r>
    </w:p>
    <w:p w14:paraId="26FCB96C">
      <w:pPr>
        <w:pStyle w:val="4"/>
        <w:bidi w:val="0"/>
        <w:rPr>
          <w:highlight w:val="none"/>
        </w:rPr>
      </w:pPr>
      <w:bookmarkStart w:id="486" w:name="_Toc15371"/>
      <w:bookmarkStart w:id="487" w:name="_Toc23305"/>
      <w:bookmarkStart w:id="488" w:name="_Toc15991743"/>
      <w:bookmarkStart w:id="489" w:name="_Toc477368707"/>
      <w:r>
        <w:rPr>
          <w:highlight w:val="none"/>
        </w:rPr>
        <w:t>9.2建议</w:t>
      </w:r>
      <w:bookmarkEnd w:id="486"/>
      <w:bookmarkEnd w:id="487"/>
      <w:bookmarkEnd w:id="488"/>
      <w:bookmarkEnd w:id="489"/>
    </w:p>
    <w:p w14:paraId="3FF75B45">
      <w:pPr>
        <w:numPr>
          <w:ilvl w:val="0"/>
          <w:numId w:val="12"/>
        </w:numPr>
        <w:bidi w:val="0"/>
        <w:rPr>
          <w:highlight w:val="none"/>
        </w:rPr>
      </w:pPr>
      <w:r>
        <w:rPr>
          <w:highlight w:val="none"/>
        </w:rPr>
        <w:t>积极推行清洁生产，做好清污分流，减少废水和废气排放量。</w:t>
      </w:r>
    </w:p>
    <w:p w14:paraId="3D819976">
      <w:pPr>
        <w:numPr>
          <w:ilvl w:val="0"/>
          <w:numId w:val="12"/>
        </w:numPr>
        <w:bidi w:val="0"/>
        <w:rPr>
          <w:highlight w:val="none"/>
        </w:rPr>
      </w:pPr>
      <w:r>
        <w:rPr>
          <w:highlight w:val="none"/>
        </w:rPr>
        <w:t>项目投产后，企业设专职人员，实施环境管理职能和清洁生产管理职能，建立并完善环境管理规章制度，加强环保设施的管理和维护，保证安全、正常运行，做到达标排放。</w:t>
      </w:r>
    </w:p>
    <w:p w14:paraId="77C674DC">
      <w:pPr>
        <w:numPr>
          <w:ilvl w:val="0"/>
          <w:numId w:val="12"/>
        </w:numPr>
        <w:bidi w:val="0"/>
        <w:rPr>
          <w:highlight w:val="none"/>
        </w:rPr>
      </w:pPr>
      <w:r>
        <w:rPr>
          <w:highlight w:val="none"/>
        </w:rPr>
        <w:t>为控制污染物非正常排放，建设单位应依据国家标准和当地环保部门的计划和要求，按环评提出的方案实行污染源监测。</w:t>
      </w:r>
    </w:p>
    <w:p w14:paraId="07644881">
      <w:pPr>
        <w:numPr>
          <w:ilvl w:val="0"/>
          <w:numId w:val="12"/>
        </w:numPr>
        <w:bidi w:val="0"/>
        <w:rPr>
          <w:highlight w:val="none"/>
        </w:rPr>
      </w:pPr>
      <w:r>
        <w:rPr>
          <w:highlight w:val="none"/>
        </w:rPr>
        <w:t>加强污染治理设施的运行管理，建立技术档案，定期检查、维修，使其长期处于最佳运行状态。</w:t>
      </w:r>
    </w:p>
    <w:p w14:paraId="0C3849DD">
      <w:pPr>
        <w:numPr>
          <w:ilvl w:val="0"/>
          <w:numId w:val="12"/>
        </w:numPr>
        <w:bidi w:val="0"/>
        <w:rPr>
          <w:rFonts w:eastAsiaTheme="minorEastAsia"/>
          <w:highlight w:val="none"/>
        </w:rPr>
      </w:pPr>
      <w:r>
        <w:rPr>
          <w:highlight w:val="none"/>
        </w:rPr>
        <w:t>项目各项污染</w:t>
      </w:r>
      <w:r>
        <w:rPr>
          <w:rFonts w:hint="eastAsia"/>
          <w:highlight w:val="none"/>
          <w:lang w:val="en-US" w:eastAsia="zh-CN"/>
        </w:rPr>
        <w:t>物</w:t>
      </w:r>
      <w:r>
        <w:rPr>
          <w:highlight w:val="none"/>
        </w:rPr>
        <w:t>处理设施必须经当地环保部门验收合格后，建设单位方可正式投入生产。</w:t>
      </w:r>
    </w:p>
    <w:p w14:paraId="12FAAC63">
      <w:pPr>
        <w:spacing w:line="360" w:lineRule="auto"/>
        <w:ind w:left="0" w:leftChars="0" w:firstLine="0" w:firstLineChars="0"/>
        <w:rPr>
          <w:rFonts w:eastAsiaTheme="minorEastAsia"/>
          <w:kern w:val="18"/>
          <w:sz w:val="24"/>
          <w:szCs w:val="21"/>
          <w:highlight w:val="none"/>
        </w:rPr>
      </w:pPr>
    </w:p>
    <w:sectPr>
      <w:headerReference r:id="rId19" w:type="default"/>
      <w:footerReference r:id="rId20"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F47DCF7-F45C-44D0-BC7B-28523621704E}"/>
  </w:font>
  <w:font w:name="黑体">
    <w:panose1 w:val="02010609060101010101"/>
    <w:charset w:val="86"/>
    <w:family w:val="auto"/>
    <w:pitch w:val="default"/>
    <w:sig w:usb0="800002BF" w:usb1="38CF7CFA" w:usb2="00000016" w:usb3="00000000" w:csb0="00040001" w:csb1="00000000"/>
    <w:embedRegular r:id="rId2" w:fontKey="{82A91744-0795-4269-97F8-24D0D41E76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ACAD6C9-D342-4210-9085-158C1EEF5B43}"/>
  </w:font>
  <w:font w:name="仿宋_GB2312">
    <w:panose1 w:val="02010609030101010101"/>
    <w:charset w:val="86"/>
    <w:family w:val="modern"/>
    <w:pitch w:val="default"/>
    <w:sig w:usb0="00000001" w:usb1="080E0000" w:usb2="00000000" w:usb3="00000000" w:csb0="00040000" w:csb1="00000000"/>
    <w:embedRegular r:id="rId4" w:fontKey="{D74AE610-036D-4CF7-A92D-7A0E17CD7A55}"/>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昆仑仿宋">
    <w:altName w:val="宋体"/>
    <w:panose1 w:val="00000000000000000000"/>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Arial Black">
    <w:panose1 w:val="020B0A04020102020204"/>
    <w:charset w:val="00"/>
    <w:family w:val="swiss"/>
    <w:pitch w:val="default"/>
    <w:sig w:usb0="A00002AF" w:usb1="400078FB" w:usb2="00000000" w:usb3="00000000" w:csb0="6000009F" w:csb1="DFD70000"/>
  </w:font>
  <w:font w:name="Financial  (MF)">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TimesNewRoman">
    <w:altName w:val="宋体"/>
    <w:panose1 w:val="00000000000000000000"/>
    <w:charset w:val="00"/>
    <w:family w:val="auto"/>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体">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S Shell Dlg">
    <w:altName w:val="Microsoft Sans Serif"/>
    <w:panose1 w:val="020B0604020202020204"/>
    <w:charset w:val="00"/>
    <w:family w:val="swiss"/>
    <w:pitch w:val="default"/>
    <w:sig w:usb0="00000000" w:usb1="00000000" w:usb2="00000029" w:usb3="00000000" w:csb0="000101FF" w:csb1="00000000"/>
  </w:font>
  <w:font w:name="Microsoft Sans Serif">
    <w:panose1 w:val="020B0604020202020204"/>
    <w:charset w:val="00"/>
    <w:family w:val="auto"/>
    <w:pitch w:val="default"/>
    <w:sig w:usb0="E5002EFF" w:usb1="C000605B" w:usb2="00000029" w:usb3="00000000" w:csb0="200101FF" w:csb1="20280000"/>
  </w:font>
  <w:font w:name="汉鼎简书宋">
    <w:altName w:val="宋体"/>
    <w:panose1 w:val="00000000000000000000"/>
    <w:charset w:val="86"/>
    <w:family w:val="modern"/>
    <w:pitch w:val="default"/>
    <w:sig w:usb0="00000000" w:usb1="00000000" w:usb2="00000010" w:usb3="00000000" w:csb0="00040000" w:csb1="00000000"/>
  </w:font>
  <w:font w:name="TimesNewRomanPS-ItalicM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SymbolMT">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embedRegular r:id="rId5" w:fontKey="{79774FC4-CBE9-4B26-926F-C96200D789D9}"/>
  </w:font>
  <w:font w:name="Calibri Light">
    <w:panose1 w:val="020F0302020204030204"/>
    <w:charset w:val="00"/>
    <w:family w:val="auto"/>
    <w:pitch w:val="default"/>
    <w:sig w:usb0="E4002EFF" w:usb1="C0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6" w:fontKey="{91EE7FBF-A32E-44A0-B615-2A4AC7C90509}"/>
  </w:font>
  <w:font w:name="Cambria Math">
    <w:panose1 w:val="02040503050406030204"/>
    <w:charset w:val="00"/>
    <w:family w:val="roman"/>
    <w:pitch w:val="default"/>
    <w:sig w:usb0="E00006FF" w:usb1="420024FF" w:usb2="02000000" w:usb3="00000000" w:csb0="2000019F" w:csb1="00000000"/>
    <w:embedRegular r:id="rId7" w:fontKey="{FE33AB2B-A149-418F-A3FC-478146109696}"/>
  </w:font>
  <w:font w:name="Perpetua">
    <w:panose1 w:val="02020502060401020303"/>
    <w:charset w:val="00"/>
    <w:family w:val="roman"/>
    <w:pitch w:val="default"/>
    <w:sig w:usb0="00000003" w:usb1="00000000" w:usb2="00000000" w:usb3="00000000" w:csb0="20000001" w:csb1="00000000"/>
    <w:embedRegular r:id="rId8" w:fontKey="{E8343360-D470-48C2-8C10-FB228CB574CF}"/>
  </w:font>
  <w:font w:name="等线">
    <w:panose1 w:val="02010600030101010101"/>
    <w:charset w:val="86"/>
    <w:family w:val="auto"/>
    <w:pitch w:val="default"/>
    <w:sig w:usb0="A00002BF" w:usb1="38CF7CFA" w:usb2="00000016" w:usb3="00000000" w:csb0="0004000F" w:csb1="00000000"/>
    <w:embedRegular r:id="rId9" w:fontKey="{31F7D181-B5B1-4EAD-9ED3-FA92CF0893B2}"/>
  </w:font>
  <w:font w:name="MS Mincho">
    <w:panose1 w:val="02020609040205080304"/>
    <w:charset w:val="80"/>
    <w:family w:val="modern"/>
    <w:pitch w:val="default"/>
    <w:sig w:usb0="A00002BF" w:usb1="68C7FCFB" w:usb2="00000010" w:usb3="00000000" w:csb0="4002009F" w:csb1="DFD70000"/>
    <w:embedRegular r:id="rId10" w:fontKey="{BAFF4EE8-F238-43BB-AE06-574673B7A043}"/>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94702">
    <w:pPr>
      <w:pStyle w:val="29"/>
      <w:jc w:val="center"/>
    </w:pPr>
  </w:p>
  <w:p w14:paraId="31C19F4B">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37DAF">
    <w:pPr>
      <w:pStyle w:val="2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B1EE4">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F3CA4">
    <w:pPr>
      <w:pStyle w:val="29"/>
      <w:jc w:val="center"/>
    </w:pPr>
    <w:r>
      <w:fldChar w:fldCharType="begin"/>
    </w:r>
    <w:r>
      <w:instrText xml:space="preserve"> PAGE   \* MERGEFORMAT </w:instrText>
    </w:r>
    <w:r>
      <w:fldChar w:fldCharType="separate"/>
    </w:r>
    <w:r>
      <w:rPr>
        <w:lang w:val="zh-CN"/>
      </w:rPr>
      <w:t>5</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FDEF3">
    <w:pPr>
      <w:pStyle w:val="29"/>
      <w:jc w:val="center"/>
    </w:pPr>
    <w:r>
      <w:fldChar w:fldCharType="begin"/>
    </w:r>
    <w:r>
      <w:instrText xml:space="preserve"> PAGE   \* MERGEFORMAT </w:instrText>
    </w:r>
    <w:r>
      <w:fldChar w:fldCharType="separate"/>
    </w:r>
    <w:r>
      <w:rPr>
        <w:lang w:val="zh-CN"/>
      </w:rPr>
      <w:t>5</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6B4EA">
    <w:pPr>
      <w:pStyle w:val="29"/>
      <w:pBdr>
        <w:top w:val="none" w:color="auto" w:sz="0" w:space="1"/>
        <w:left w:val="none" w:color="auto" w:sz="0" w:space="0"/>
        <w:bottom w:val="none" w:color="auto" w:sz="0" w:space="0"/>
        <w:right w:val="none" w:color="auto" w:sz="0" w:space="0"/>
        <w:between w:val="none" w:color="auto" w:sz="0" w:space="0"/>
      </w:pBdr>
      <w:jc w:val="center"/>
      <w:rPr>
        <w:b/>
        <w:bCs/>
        <w:i/>
        <w:iCs/>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0"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A1668D">
                          <w:pPr>
                            <w:pStyle w:val="29"/>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64"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uemk7AgAAcwQAAA4AAABkcnMvZTJvRG9jLnhtbK1UzY7TMBC+I/EO&#10;lu80bVm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wS56aTsCAABzBAAADgAAAAAAAAABACAAAAAfAQAAZHJzL2Uyb0Rv&#10;Yy54bWxQSwUGAAAAAAYABgBZAQAAzAUAAAAA&#10;">
              <v:fill on="f" focussize="0,0"/>
              <v:stroke on="f" weight="0.5pt"/>
              <v:imagedata o:title=""/>
              <o:lock v:ext="edit" aspectratio="f"/>
              <v:textbox inset="0mm,0mm,0mm,0mm" style="mso-fit-shape-to-text:t;">
                <w:txbxContent>
                  <w:p w14:paraId="7EA1668D">
                    <w:pPr>
                      <w:pStyle w:val="29"/>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1559"/>
      <w:docPartObj>
        <w:docPartGallery w:val="autotext"/>
      </w:docPartObj>
    </w:sdtPr>
    <w:sdtContent>
      <w:p w14:paraId="53E9C64C">
        <w:pPr>
          <w:pStyle w:val="29"/>
          <w:jc w:val="center"/>
        </w:pPr>
        <w:r>
          <w:fldChar w:fldCharType="begin"/>
        </w:r>
        <w:r>
          <w:instrText xml:space="preserve"> PAGE   \* MERGEFORMAT </w:instrText>
        </w:r>
        <w:r>
          <w:fldChar w:fldCharType="separate"/>
        </w:r>
        <w:r>
          <w:rPr>
            <w:lang w:val="zh-CN"/>
          </w:rPr>
          <w:t>227</w:t>
        </w:r>
        <w:r>
          <w:rPr>
            <w:lang w:val="zh-CN"/>
          </w:rPr>
          <w:fldChar w:fldCharType="end"/>
        </w:r>
      </w:p>
    </w:sdtContent>
  </w:sdt>
  <w:p w14:paraId="2AF529CF">
    <w:pPr>
      <w:pStyle w:val="29"/>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DD1FB">
    <w:pPr>
      <w:jc w:val="center"/>
      <w:outlineLvl w:val="0"/>
      <w:rPr>
        <w:rFonts w:ascii="黑体" w:hAnsi="宋体" w:eastAsia="黑体"/>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AE788">
    <w:pPr>
      <w:jc w:val="center"/>
      <w:outlineLvl w:val="0"/>
      <w:rPr>
        <w:rFonts w:ascii="黑体" w:hAnsi="宋体" w:eastAsia="黑体"/>
        <w:color w:val="FF000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CF7ED">
    <w:pPr>
      <w:pStyle w:val="30"/>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255C">
    <w:pPr>
      <w:keepNext w:val="0"/>
      <w:keepLines w:val="0"/>
      <w:pageBreakBefore w:val="0"/>
      <w:widowControl w:val="0"/>
      <w:pBdr>
        <w:top w:val="none" w:color="auto" w:sz="0" w:space="1"/>
        <w:left w:val="none" w:color="auto" w:sz="0" w:space="4"/>
        <w:bottom w:val="single" w:color="auto" w:sz="6" w:space="1"/>
        <w:right w:val="none" w:color="auto" w:sz="0" w:space="4"/>
        <w:between w:val="none" w:color="auto" w:sz="0" w:space="0"/>
      </w:pBdr>
      <w:kinsoku/>
      <w:wordWrap w:val="0"/>
      <w:overflowPunct/>
      <w:topLinePunct w:val="0"/>
      <w:bidi w:val="0"/>
      <w:adjustRightInd w:val="0"/>
      <w:snapToGrid w:val="0"/>
      <w:spacing w:line="240" w:lineRule="auto"/>
      <w:ind w:firstLine="0" w:firstLineChars="0"/>
      <w:jc w:val="center"/>
      <w:textAlignment w:val="auto"/>
      <w:outlineLvl w:val="0"/>
      <w:rPr>
        <w:rFonts w:hint="eastAsia" w:ascii="宋体" w:hAnsi="宋体" w:eastAsia="宋体" w:cs="宋体"/>
        <w:b/>
        <w:bCs/>
        <w:sz w:val="18"/>
        <w:szCs w:val="18"/>
      </w:rPr>
    </w:pPr>
    <w:r>
      <w:rPr>
        <w:rFonts w:hint="eastAsia" w:ascii="宋体" w:hAnsi="宋体" w:eastAsia="宋体" w:cs="宋体"/>
        <w:b/>
        <w:bCs/>
        <w:sz w:val="18"/>
        <w:szCs w:val="18"/>
        <w:lang w:eastAsia="zh-CN"/>
      </w:rPr>
      <w:t>黑龙江省奇福圆环保科技有限公司项目</w:t>
    </w:r>
    <w:r>
      <w:rPr>
        <w:rFonts w:hint="eastAsia" w:ascii="宋体" w:hAnsi="宋体" w:eastAsia="宋体" w:cs="宋体"/>
        <w:b/>
        <w:bCs/>
        <w:sz w:val="18"/>
        <w:szCs w:val="18"/>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B6465">
    <w:pPr>
      <w:keepNext w:val="0"/>
      <w:keepLines w:val="0"/>
      <w:pageBreakBefore w:val="0"/>
      <w:widowControl w:val="0"/>
      <w:pBdr>
        <w:top w:val="none" w:color="auto" w:sz="0" w:space="1"/>
        <w:left w:val="none" w:color="auto" w:sz="0" w:space="4"/>
        <w:bottom w:val="single" w:color="auto" w:sz="6" w:space="1"/>
        <w:right w:val="none" w:color="auto" w:sz="0" w:space="4"/>
        <w:between w:val="none" w:color="auto" w:sz="0" w:space="0"/>
      </w:pBdr>
      <w:kinsoku/>
      <w:wordWrap w:val="0"/>
      <w:overflowPunct/>
      <w:topLinePunct w:val="0"/>
      <w:bidi w:val="0"/>
      <w:adjustRightInd w:val="0"/>
      <w:snapToGrid w:val="0"/>
      <w:spacing w:line="240" w:lineRule="auto"/>
      <w:ind w:firstLine="0" w:firstLineChars="0"/>
      <w:jc w:val="center"/>
      <w:textAlignment w:val="auto"/>
      <w:outlineLvl w:val="0"/>
      <w:rPr>
        <w:rFonts w:hint="eastAsia" w:ascii="宋体" w:hAnsi="宋体" w:eastAsia="宋体" w:cs="宋体"/>
        <w:b/>
        <w:bCs/>
        <w:sz w:val="18"/>
        <w:szCs w:val="18"/>
      </w:rPr>
    </w:pPr>
    <w:r>
      <w:rPr>
        <w:rFonts w:hint="eastAsia" w:ascii="宋体" w:hAnsi="宋体" w:eastAsia="宋体" w:cs="宋体"/>
        <w:b/>
        <w:bCs/>
        <w:sz w:val="18"/>
        <w:szCs w:val="18"/>
        <w:lang w:eastAsia="zh-CN"/>
      </w:rPr>
      <w:t>黑龙江省奇福圆环保科技有限公司项目</w:t>
    </w:r>
    <w:r>
      <w:rPr>
        <w:rFonts w:hint="eastAsia" w:ascii="宋体" w:hAnsi="宋体" w:eastAsia="宋体" w:cs="宋体"/>
        <w:b/>
        <w:bCs/>
        <w:sz w:val="18"/>
        <w:szCs w:val="18"/>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4984B">
    <w:pPr>
      <w:pBdr>
        <w:bottom w:val="single" w:color="auto" w:sz="4" w:space="0"/>
      </w:pBdr>
      <w:jc w:val="center"/>
      <w:outlineLvl w:val="0"/>
      <w:rPr>
        <w:rFonts w:hint="eastAsia" w:ascii="宋体" w:hAnsi="宋体" w:eastAsia="宋体" w:cs="宋体"/>
        <w:sz w:val="18"/>
        <w:szCs w:val="18"/>
      </w:rPr>
    </w:pPr>
    <w:r>
      <w:rPr>
        <w:rFonts w:hint="eastAsia" w:ascii="宋体" w:hAnsi="宋体" w:cs="宋体"/>
        <w:b/>
        <w:bCs/>
        <w:sz w:val="18"/>
        <w:szCs w:val="18"/>
        <w:lang w:val="en-US" w:eastAsia="zh-CN"/>
      </w:rPr>
      <w:t>黑龙江省奇福圆环保科技有限公司项目环境影响报告书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4DFE7">
    <w:pPr>
      <w:pBdr>
        <w:bottom w:val="single" w:color="auto" w:sz="4" w:space="0"/>
      </w:pBdr>
      <w:jc w:val="center"/>
      <w:outlineLvl w:val="0"/>
      <w:rPr>
        <w:rFonts w:ascii="黑体" w:hAnsi="宋体" w:eastAsia="黑体"/>
        <w:sz w:val="18"/>
        <w:szCs w:val="18"/>
      </w:rPr>
    </w:pPr>
    <w:r>
      <w:rPr>
        <w:rFonts w:hint="eastAsia" w:ascii="黑体" w:hAnsi="宋体" w:eastAsia="黑体"/>
        <w:sz w:val="18"/>
        <w:szCs w:val="18"/>
        <w:lang w:val="en-US" w:eastAsia="zh-CN"/>
      </w:rPr>
      <w:t>黑龙江省奇福圆环保科技有限公司项目环境影响报告书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83BD9">
    <w:pPr>
      <w:pBdr>
        <w:bottom w:val="single" w:color="auto" w:sz="4" w:space="0"/>
      </w:pBdr>
      <w:jc w:val="center"/>
      <w:outlineLvl w:val="0"/>
      <w:rPr>
        <w:rFonts w:hint="eastAsia" w:ascii="宋体" w:hAnsi="宋体" w:eastAsia="仿宋_GB2312" w:cs="宋体"/>
        <w:sz w:val="18"/>
        <w:szCs w:val="18"/>
        <w:lang w:eastAsia="zh-CN"/>
      </w:rPr>
    </w:pPr>
    <w:r>
      <w:rPr>
        <w:rFonts w:hint="eastAsia" w:ascii="黑体" w:hAnsi="宋体" w:eastAsia="黑体"/>
        <w:sz w:val="18"/>
        <w:szCs w:val="18"/>
        <w:lang w:val="en-US" w:eastAsia="zh-CN"/>
      </w:rPr>
      <w:t>黑龙江省奇福圆环保科技有限公司项目环境影响报告书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C81BC">
    <w:pPr>
      <w:pBdr>
        <w:bottom w:val="single" w:color="auto" w:sz="4" w:space="0"/>
      </w:pBdr>
      <w:jc w:val="center"/>
      <w:outlineLvl w:val="0"/>
      <w:rPr>
        <w:rFonts w:ascii="黑体" w:hAnsi="宋体" w:eastAsia="黑体"/>
        <w:sz w:val="18"/>
        <w:szCs w:val="18"/>
      </w:rPr>
    </w:pPr>
    <w:r>
      <w:rPr>
        <w:rFonts w:hint="eastAsia" w:ascii="黑体" w:hAnsi="宋体" w:eastAsia="黑体"/>
        <w:sz w:val="18"/>
        <w:szCs w:val="18"/>
        <w:lang w:eastAsia="zh-CN"/>
      </w:rPr>
      <w:t>黑龙江省奇福圆环保科技有限公司项目环境影响报告书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7A39B4"/>
    <w:multiLevelType w:val="singleLevel"/>
    <w:tmpl w:val="847A39B4"/>
    <w:lvl w:ilvl="0" w:tentative="0">
      <w:start w:val="1"/>
      <w:numFmt w:val="decimal"/>
      <w:lvlText w:val="%1"/>
      <w:lvlJc w:val="left"/>
      <w:pPr>
        <w:tabs>
          <w:tab w:val="left" w:pos="397"/>
        </w:tabs>
        <w:ind w:left="454" w:leftChars="0" w:hanging="387" w:firstLineChars="0"/>
      </w:pPr>
      <w:rPr>
        <w:rFonts w:hint="default"/>
      </w:rPr>
    </w:lvl>
  </w:abstractNum>
  <w:abstractNum w:abstractNumId="1">
    <w:nsid w:val="C745BA93"/>
    <w:multiLevelType w:val="singleLevel"/>
    <w:tmpl w:val="C745BA93"/>
    <w:lvl w:ilvl="0" w:tentative="0">
      <w:start w:val="7"/>
      <w:numFmt w:val="decimal"/>
      <w:suff w:val="nothing"/>
      <w:lvlText w:val="（%1）"/>
      <w:lvlJc w:val="left"/>
    </w:lvl>
  </w:abstractNum>
  <w:abstractNum w:abstractNumId="2">
    <w:nsid w:val="E3DE18B7"/>
    <w:multiLevelType w:val="singleLevel"/>
    <w:tmpl w:val="E3DE18B7"/>
    <w:lvl w:ilvl="0" w:tentative="0">
      <w:start w:val="1"/>
      <w:numFmt w:val="decimal"/>
      <w:suff w:val="nothing"/>
      <w:lvlText w:val="%1"/>
      <w:lvlJc w:val="center"/>
      <w:pPr>
        <w:tabs>
          <w:tab w:val="left" w:pos="0"/>
        </w:tabs>
        <w:ind w:left="0" w:firstLine="0"/>
      </w:pPr>
      <w:rPr>
        <w:rFonts w:hint="default"/>
      </w:rPr>
    </w:lvl>
  </w:abstractNum>
  <w:abstractNum w:abstractNumId="3">
    <w:nsid w:val="F5BDB664"/>
    <w:multiLevelType w:val="singleLevel"/>
    <w:tmpl w:val="F5BDB664"/>
    <w:lvl w:ilvl="0" w:tentative="0">
      <w:start w:val="1"/>
      <w:numFmt w:val="decimal"/>
      <w:suff w:val="nothing"/>
      <w:lvlText w:val="（%1）"/>
      <w:lvlJc w:val="left"/>
    </w:lvl>
  </w:abstractNum>
  <w:abstractNum w:abstractNumId="4">
    <w:nsid w:val="1FE99CFF"/>
    <w:multiLevelType w:val="singleLevel"/>
    <w:tmpl w:val="1FE99CFF"/>
    <w:lvl w:ilvl="0" w:tentative="0">
      <w:start w:val="1"/>
      <w:numFmt w:val="decimal"/>
      <w:suff w:val="nothing"/>
      <w:lvlText w:val="（%1）"/>
      <w:lvlJc w:val="left"/>
    </w:lvl>
  </w:abstractNum>
  <w:abstractNum w:abstractNumId="5">
    <w:nsid w:val="2A554106"/>
    <w:multiLevelType w:val="singleLevel"/>
    <w:tmpl w:val="2A554106"/>
    <w:lvl w:ilvl="0" w:tentative="0">
      <w:start w:val="1"/>
      <w:numFmt w:val="bullet"/>
      <w:pStyle w:val="442"/>
      <w:lvlText w:val=""/>
      <w:lvlJc w:val="left"/>
      <w:pPr>
        <w:tabs>
          <w:tab w:val="left" w:pos="360"/>
        </w:tabs>
        <w:ind w:left="340" w:hanging="340"/>
      </w:pPr>
      <w:rPr>
        <w:rFonts w:hint="default" w:ascii="Wingdings" w:hAnsi="Wingdings"/>
        <w:sz w:val="21"/>
      </w:rPr>
    </w:lvl>
  </w:abstractNum>
  <w:abstractNum w:abstractNumId="6">
    <w:nsid w:val="2BC15394"/>
    <w:multiLevelType w:val="singleLevel"/>
    <w:tmpl w:val="2BC15394"/>
    <w:lvl w:ilvl="0" w:tentative="0">
      <w:start w:val="0"/>
      <w:numFmt w:val="none"/>
      <w:pStyle w:val="413"/>
      <w:lvlText w:val=""/>
      <w:lvlJc w:val="left"/>
      <w:pPr>
        <w:tabs>
          <w:tab w:val="left" w:pos="0"/>
        </w:tabs>
        <w:ind w:left="0" w:firstLine="0"/>
      </w:pPr>
      <w:rPr>
        <w:rFonts w:hint="default" w:ascii="Wingdings" w:hAnsi="Wingdings"/>
        <w:sz w:val="13"/>
      </w:rPr>
    </w:lvl>
  </w:abstractNum>
  <w:abstractNum w:abstractNumId="7">
    <w:nsid w:val="2F5AB602"/>
    <w:multiLevelType w:val="singleLevel"/>
    <w:tmpl w:val="2F5AB602"/>
    <w:lvl w:ilvl="0" w:tentative="0">
      <w:start w:val="1"/>
      <w:numFmt w:val="decimal"/>
      <w:suff w:val="nothing"/>
      <w:lvlText w:val="（%1）"/>
      <w:lvlJc w:val="left"/>
    </w:lvl>
  </w:abstractNum>
  <w:abstractNum w:abstractNumId="8">
    <w:nsid w:val="3991358E"/>
    <w:multiLevelType w:val="multilevel"/>
    <w:tmpl w:val="3991358E"/>
    <w:lvl w:ilvl="0" w:tentative="0">
      <w:start w:val="1"/>
      <w:numFmt w:val="japaneseCounting"/>
      <w:pStyle w:val="543"/>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pStyle w:val="231"/>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48DB4020"/>
    <w:multiLevelType w:val="singleLevel"/>
    <w:tmpl w:val="48DB4020"/>
    <w:lvl w:ilvl="0" w:tentative="0">
      <w:start w:val="1"/>
      <w:numFmt w:val="bullet"/>
      <w:pStyle w:val="355"/>
      <w:lvlText w:val=""/>
      <w:lvlJc w:val="left"/>
      <w:pPr>
        <w:tabs>
          <w:tab w:val="left" w:pos="567"/>
        </w:tabs>
        <w:ind w:left="0" w:firstLine="567"/>
      </w:pPr>
      <w:rPr>
        <w:rFonts w:hint="default" w:ascii="Symbol" w:hAnsi="Symbol"/>
      </w:rPr>
    </w:lvl>
  </w:abstractNum>
  <w:abstractNum w:abstractNumId="10">
    <w:nsid w:val="56094615"/>
    <w:multiLevelType w:val="singleLevel"/>
    <w:tmpl w:val="56094615"/>
    <w:lvl w:ilvl="0" w:tentative="0">
      <w:start w:val="1"/>
      <w:numFmt w:val="bullet"/>
      <w:pStyle w:val="356"/>
      <w:lvlText w:val=""/>
      <w:legacy w:legacy="1" w:legacySpace="0" w:legacyIndent="170"/>
      <w:lvlJc w:val="left"/>
      <w:pPr>
        <w:ind w:left="454" w:hanging="170"/>
      </w:pPr>
      <w:rPr>
        <w:rFonts w:hint="default" w:ascii="Symbol" w:hAnsi="Symbol"/>
      </w:rPr>
    </w:lvl>
  </w:abstractNum>
  <w:abstractNum w:abstractNumId="11">
    <w:nsid w:val="56F9F926"/>
    <w:multiLevelType w:val="singleLevel"/>
    <w:tmpl w:val="56F9F926"/>
    <w:lvl w:ilvl="0" w:tentative="0">
      <w:start w:val="1"/>
      <w:numFmt w:val="decimal"/>
      <w:suff w:val="nothing"/>
      <w:lvlText w:val="（%1）"/>
      <w:lvlJc w:val="left"/>
    </w:lvl>
  </w:abstractNum>
  <w:num w:numId="1">
    <w:abstractNumId w:val="8"/>
  </w:num>
  <w:num w:numId="2">
    <w:abstractNumId w:val="9"/>
  </w:num>
  <w:num w:numId="3">
    <w:abstractNumId w:val="10"/>
  </w:num>
  <w:num w:numId="4">
    <w:abstractNumId w:val="6"/>
  </w:num>
  <w:num w:numId="5">
    <w:abstractNumId w:val="5"/>
  </w:num>
  <w:num w:numId="6">
    <w:abstractNumId w:val="0"/>
  </w:num>
  <w:num w:numId="7">
    <w:abstractNumId w:val="7"/>
  </w:num>
  <w:num w:numId="8">
    <w:abstractNumId w:val="3"/>
  </w:num>
  <w:num w:numId="9">
    <w:abstractNumId w:val="4"/>
  </w:num>
  <w:num w:numId="10">
    <w:abstractNumId w:val="1"/>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4MzBiYjg3ZTc5MDhlMWY1NzA1NjZlMmVmNzc5YWQifQ=="/>
  </w:docVars>
  <w:rsids>
    <w:rsidRoot w:val="00CD6827"/>
    <w:rsid w:val="00000261"/>
    <w:rsid w:val="0000041D"/>
    <w:rsid w:val="00000955"/>
    <w:rsid w:val="00000C30"/>
    <w:rsid w:val="0000146A"/>
    <w:rsid w:val="0000191C"/>
    <w:rsid w:val="00001A4E"/>
    <w:rsid w:val="00001D5A"/>
    <w:rsid w:val="00001DD1"/>
    <w:rsid w:val="00001DF9"/>
    <w:rsid w:val="00002043"/>
    <w:rsid w:val="000020FF"/>
    <w:rsid w:val="00002420"/>
    <w:rsid w:val="0000255E"/>
    <w:rsid w:val="000025FF"/>
    <w:rsid w:val="00003813"/>
    <w:rsid w:val="00003A27"/>
    <w:rsid w:val="00003ADD"/>
    <w:rsid w:val="00003DF8"/>
    <w:rsid w:val="00004307"/>
    <w:rsid w:val="000043FE"/>
    <w:rsid w:val="00004498"/>
    <w:rsid w:val="00004822"/>
    <w:rsid w:val="0000489C"/>
    <w:rsid w:val="00004E4E"/>
    <w:rsid w:val="00004E8D"/>
    <w:rsid w:val="0000583E"/>
    <w:rsid w:val="00005A28"/>
    <w:rsid w:val="00006D92"/>
    <w:rsid w:val="00006EA1"/>
    <w:rsid w:val="00007648"/>
    <w:rsid w:val="00007A47"/>
    <w:rsid w:val="00007D57"/>
    <w:rsid w:val="000108E6"/>
    <w:rsid w:val="00010959"/>
    <w:rsid w:val="00011646"/>
    <w:rsid w:val="00011C2B"/>
    <w:rsid w:val="00011DDF"/>
    <w:rsid w:val="00011E25"/>
    <w:rsid w:val="00012939"/>
    <w:rsid w:val="00012C34"/>
    <w:rsid w:val="000130E3"/>
    <w:rsid w:val="00013845"/>
    <w:rsid w:val="000139EA"/>
    <w:rsid w:val="00013BA8"/>
    <w:rsid w:val="00013D25"/>
    <w:rsid w:val="00014943"/>
    <w:rsid w:val="00014AF2"/>
    <w:rsid w:val="00015172"/>
    <w:rsid w:val="00015716"/>
    <w:rsid w:val="000160FE"/>
    <w:rsid w:val="00016679"/>
    <w:rsid w:val="00016F39"/>
    <w:rsid w:val="0001786B"/>
    <w:rsid w:val="00017D34"/>
    <w:rsid w:val="00017F22"/>
    <w:rsid w:val="000200D9"/>
    <w:rsid w:val="000204EC"/>
    <w:rsid w:val="00020E53"/>
    <w:rsid w:val="000219D4"/>
    <w:rsid w:val="00021A24"/>
    <w:rsid w:val="00021A9B"/>
    <w:rsid w:val="00021C39"/>
    <w:rsid w:val="000222BC"/>
    <w:rsid w:val="0002235B"/>
    <w:rsid w:val="00022582"/>
    <w:rsid w:val="00022800"/>
    <w:rsid w:val="000228A3"/>
    <w:rsid w:val="000228F3"/>
    <w:rsid w:val="000229BB"/>
    <w:rsid w:val="00022C43"/>
    <w:rsid w:val="00022FB1"/>
    <w:rsid w:val="00023739"/>
    <w:rsid w:val="00023756"/>
    <w:rsid w:val="00023938"/>
    <w:rsid w:val="00023B12"/>
    <w:rsid w:val="00023CC0"/>
    <w:rsid w:val="00023FC5"/>
    <w:rsid w:val="000241AF"/>
    <w:rsid w:val="000247BA"/>
    <w:rsid w:val="00024AE2"/>
    <w:rsid w:val="00024B71"/>
    <w:rsid w:val="00024F0E"/>
    <w:rsid w:val="0002518C"/>
    <w:rsid w:val="000251C1"/>
    <w:rsid w:val="000253DC"/>
    <w:rsid w:val="000255A0"/>
    <w:rsid w:val="00025C27"/>
    <w:rsid w:val="00025DD7"/>
    <w:rsid w:val="000262F5"/>
    <w:rsid w:val="00026977"/>
    <w:rsid w:val="00026E50"/>
    <w:rsid w:val="000272AF"/>
    <w:rsid w:val="000273BA"/>
    <w:rsid w:val="000273C1"/>
    <w:rsid w:val="00027852"/>
    <w:rsid w:val="00027AB6"/>
    <w:rsid w:val="00027B9A"/>
    <w:rsid w:val="00027D37"/>
    <w:rsid w:val="00027E1C"/>
    <w:rsid w:val="000303AD"/>
    <w:rsid w:val="0003046E"/>
    <w:rsid w:val="0003069F"/>
    <w:rsid w:val="00030C80"/>
    <w:rsid w:val="00030D02"/>
    <w:rsid w:val="00030D22"/>
    <w:rsid w:val="00030D5B"/>
    <w:rsid w:val="000310B4"/>
    <w:rsid w:val="00031532"/>
    <w:rsid w:val="0003162C"/>
    <w:rsid w:val="00031767"/>
    <w:rsid w:val="00031A52"/>
    <w:rsid w:val="00031C3E"/>
    <w:rsid w:val="00031DC9"/>
    <w:rsid w:val="000325F7"/>
    <w:rsid w:val="00032654"/>
    <w:rsid w:val="0003272A"/>
    <w:rsid w:val="00032925"/>
    <w:rsid w:val="00033011"/>
    <w:rsid w:val="00033858"/>
    <w:rsid w:val="00033967"/>
    <w:rsid w:val="00033A63"/>
    <w:rsid w:val="00033AB4"/>
    <w:rsid w:val="00033CC7"/>
    <w:rsid w:val="00033F4B"/>
    <w:rsid w:val="0003420D"/>
    <w:rsid w:val="000342EF"/>
    <w:rsid w:val="000346DC"/>
    <w:rsid w:val="000347A9"/>
    <w:rsid w:val="0003493F"/>
    <w:rsid w:val="00034A95"/>
    <w:rsid w:val="00034B99"/>
    <w:rsid w:val="00034D30"/>
    <w:rsid w:val="00034E14"/>
    <w:rsid w:val="00035448"/>
    <w:rsid w:val="00035652"/>
    <w:rsid w:val="00036345"/>
    <w:rsid w:val="00036443"/>
    <w:rsid w:val="00036BCE"/>
    <w:rsid w:val="00036EE4"/>
    <w:rsid w:val="000372B7"/>
    <w:rsid w:val="0003771A"/>
    <w:rsid w:val="00037967"/>
    <w:rsid w:val="00040272"/>
    <w:rsid w:val="0004032D"/>
    <w:rsid w:val="00040DE8"/>
    <w:rsid w:val="00041001"/>
    <w:rsid w:val="0004121A"/>
    <w:rsid w:val="00041553"/>
    <w:rsid w:val="000416C4"/>
    <w:rsid w:val="000416FD"/>
    <w:rsid w:val="00041779"/>
    <w:rsid w:val="00041A53"/>
    <w:rsid w:val="00042041"/>
    <w:rsid w:val="000421E3"/>
    <w:rsid w:val="000421F8"/>
    <w:rsid w:val="00042522"/>
    <w:rsid w:val="00042751"/>
    <w:rsid w:val="00042752"/>
    <w:rsid w:val="00042954"/>
    <w:rsid w:val="00042A3C"/>
    <w:rsid w:val="0004339F"/>
    <w:rsid w:val="0004347E"/>
    <w:rsid w:val="000436D5"/>
    <w:rsid w:val="00043910"/>
    <w:rsid w:val="00043D6F"/>
    <w:rsid w:val="00043ECF"/>
    <w:rsid w:val="0004425B"/>
    <w:rsid w:val="00044911"/>
    <w:rsid w:val="00044DAE"/>
    <w:rsid w:val="000451BD"/>
    <w:rsid w:val="00045436"/>
    <w:rsid w:val="000455A9"/>
    <w:rsid w:val="000459E1"/>
    <w:rsid w:val="00045BCF"/>
    <w:rsid w:val="00045DC4"/>
    <w:rsid w:val="00046026"/>
    <w:rsid w:val="00046128"/>
    <w:rsid w:val="000469EB"/>
    <w:rsid w:val="00047325"/>
    <w:rsid w:val="0004764D"/>
    <w:rsid w:val="000477BF"/>
    <w:rsid w:val="00047B76"/>
    <w:rsid w:val="00050290"/>
    <w:rsid w:val="00050422"/>
    <w:rsid w:val="00050923"/>
    <w:rsid w:val="000509C9"/>
    <w:rsid w:val="00050B91"/>
    <w:rsid w:val="00050C6F"/>
    <w:rsid w:val="000516C1"/>
    <w:rsid w:val="000518A3"/>
    <w:rsid w:val="0005197C"/>
    <w:rsid w:val="00051A3D"/>
    <w:rsid w:val="00052487"/>
    <w:rsid w:val="000524AC"/>
    <w:rsid w:val="000530AE"/>
    <w:rsid w:val="000533A2"/>
    <w:rsid w:val="000535B8"/>
    <w:rsid w:val="00053904"/>
    <w:rsid w:val="00053ADA"/>
    <w:rsid w:val="00053AEF"/>
    <w:rsid w:val="00053F42"/>
    <w:rsid w:val="0005436B"/>
    <w:rsid w:val="0005445F"/>
    <w:rsid w:val="00054982"/>
    <w:rsid w:val="00054C89"/>
    <w:rsid w:val="00054D6A"/>
    <w:rsid w:val="00054DBA"/>
    <w:rsid w:val="000552E4"/>
    <w:rsid w:val="00055369"/>
    <w:rsid w:val="00055703"/>
    <w:rsid w:val="000557D2"/>
    <w:rsid w:val="000559AB"/>
    <w:rsid w:val="00055C3B"/>
    <w:rsid w:val="00056D45"/>
    <w:rsid w:val="000571D5"/>
    <w:rsid w:val="00057655"/>
    <w:rsid w:val="000579A0"/>
    <w:rsid w:val="00057BD4"/>
    <w:rsid w:val="00060092"/>
    <w:rsid w:val="000601CA"/>
    <w:rsid w:val="00060236"/>
    <w:rsid w:val="00060256"/>
    <w:rsid w:val="00060288"/>
    <w:rsid w:val="00060375"/>
    <w:rsid w:val="00060CB7"/>
    <w:rsid w:val="000610BB"/>
    <w:rsid w:val="000614C3"/>
    <w:rsid w:val="0006158B"/>
    <w:rsid w:val="0006187F"/>
    <w:rsid w:val="00061ABB"/>
    <w:rsid w:val="00061B56"/>
    <w:rsid w:val="00061E87"/>
    <w:rsid w:val="00062182"/>
    <w:rsid w:val="0006218B"/>
    <w:rsid w:val="00062270"/>
    <w:rsid w:val="00062333"/>
    <w:rsid w:val="0006243E"/>
    <w:rsid w:val="000624A5"/>
    <w:rsid w:val="0006254D"/>
    <w:rsid w:val="000627D7"/>
    <w:rsid w:val="00062B0A"/>
    <w:rsid w:val="00062E89"/>
    <w:rsid w:val="00062EAE"/>
    <w:rsid w:val="00062F43"/>
    <w:rsid w:val="00063115"/>
    <w:rsid w:val="000631F2"/>
    <w:rsid w:val="0006320E"/>
    <w:rsid w:val="000633CA"/>
    <w:rsid w:val="000634EB"/>
    <w:rsid w:val="00063961"/>
    <w:rsid w:val="00063E58"/>
    <w:rsid w:val="00064051"/>
    <w:rsid w:val="000649EB"/>
    <w:rsid w:val="00064B30"/>
    <w:rsid w:val="00065032"/>
    <w:rsid w:val="000659BE"/>
    <w:rsid w:val="00065C6A"/>
    <w:rsid w:val="00065F8A"/>
    <w:rsid w:val="000660FA"/>
    <w:rsid w:val="0006674C"/>
    <w:rsid w:val="00066C20"/>
    <w:rsid w:val="00067D3A"/>
    <w:rsid w:val="00067EC5"/>
    <w:rsid w:val="0007031B"/>
    <w:rsid w:val="00070496"/>
    <w:rsid w:val="00070949"/>
    <w:rsid w:val="00070A72"/>
    <w:rsid w:val="00070F53"/>
    <w:rsid w:val="0007160B"/>
    <w:rsid w:val="00071654"/>
    <w:rsid w:val="00071F26"/>
    <w:rsid w:val="00071FD2"/>
    <w:rsid w:val="00072043"/>
    <w:rsid w:val="000724C5"/>
    <w:rsid w:val="0007281A"/>
    <w:rsid w:val="000729CC"/>
    <w:rsid w:val="00072A13"/>
    <w:rsid w:val="00072C37"/>
    <w:rsid w:val="00072C41"/>
    <w:rsid w:val="00072CBD"/>
    <w:rsid w:val="00072E7C"/>
    <w:rsid w:val="00073380"/>
    <w:rsid w:val="0007392C"/>
    <w:rsid w:val="00073BC0"/>
    <w:rsid w:val="00073C12"/>
    <w:rsid w:val="00073E64"/>
    <w:rsid w:val="0007422A"/>
    <w:rsid w:val="000742A0"/>
    <w:rsid w:val="00074586"/>
    <w:rsid w:val="000745DF"/>
    <w:rsid w:val="00074BBB"/>
    <w:rsid w:val="00075196"/>
    <w:rsid w:val="000759A8"/>
    <w:rsid w:val="00075F9F"/>
    <w:rsid w:val="000765C8"/>
    <w:rsid w:val="000768A9"/>
    <w:rsid w:val="00077050"/>
    <w:rsid w:val="000770C0"/>
    <w:rsid w:val="0007715B"/>
    <w:rsid w:val="00077938"/>
    <w:rsid w:val="00077B80"/>
    <w:rsid w:val="000807A6"/>
    <w:rsid w:val="00080DB3"/>
    <w:rsid w:val="00081160"/>
    <w:rsid w:val="00081216"/>
    <w:rsid w:val="000813A8"/>
    <w:rsid w:val="000816EB"/>
    <w:rsid w:val="00081729"/>
    <w:rsid w:val="000819BF"/>
    <w:rsid w:val="00081ABF"/>
    <w:rsid w:val="000824D2"/>
    <w:rsid w:val="0008259F"/>
    <w:rsid w:val="0008264F"/>
    <w:rsid w:val="00082BF2"/>
    <w:rsid w:val="00082E23"/>
    <w:rsid w:val="00083053"/>
    <w:rsid w:val="000834B4"/>
    <w:rsid w:val="00083AC5"/>
    <w:rsid w:val="00083DB3"/>
    <w:rsid w:val="0008425E"/>
    <w:rsid w:val="000843BF"/>
    <w:rsid w:val="00084576"/>
    <w:rsid w:val="000845AF"/>
    <w:rsid w:val="00084C2D"/>
    <w:rsid w:val="00085000"/>
    <w:rsid w:val="00085179"/>
    <w:rsid w:val="0008536B"/>
    <w:rsid w:val="000859A3"/>
    <w:rsid w:val="00086584"/>
    <w:rsid w:val="00087034"/>
    <w:rsid w:val="00087393"/>
    <w:rsid w:val="000876C3"/>
    <w:rsid w:val="00087C83"/>
    <w:rsid w:val="0009000F"/>
    <w:rsid w:val="00090BF4"/>
    <w:rsid w:val="00090EEE"/>
    <w:rsid w:val="00090F5F"/>
    <w:rsid w:val="0009123A"/>
    <w:rsid w:val="00091538"/>
    <w:rsid w:val="000915AA"/>
    <w:rsid w:val="000915C2"/>
    <w:rsid w:val="00091797"/>
    <w:rsid w:val="00091B93"/>
    <w:rsid w:val="00091BEF"/>
    <w:rsid w:val="00091ED6"/>
    <w:rsid w:val="00092387"/>
    <w:rsid w:val="00092636"/>
    <w:rsid w:val="00092727"/>
    <w:rsid w:val="0009295C"/>
    <w:rsid w:val="00092D1B"/>
    <w:rsid w:val="00092E02"/>
    <w:rsid w:val="000930EC"/>
    <w:rsid w:val="00093517"/>
    <w:rsid w:val="000935DA"/>
    <w:rsid w:val="00093A4E"/>
    <w:rsid w:val="00093FC0"/>
    <w:rsid w:val="000942C1"/>
    <w:rsid w:val="00094439"/>
    <w:rsid w:val="00094615"/>
    <w:rsid w:val="0009483D"/>
    <w:rsid w:val="00094DE6"/>
    <w:rsid w:val="00094F4E"/>
    <w:rsid w:val="0009519C"/>
    <w:rsid w:val="00095228"/>
    <w:rsid w:val="000953DB"/>
    <w:rsid w:val="00095ACD"/>
    <w:rsid w:val="00096480"/>
    <w:rsid w:val="00096A57"/>
    <w:rsid w:val="00096EE3"/>
    <w:rsid w:val="000970D6"/>
    <w:rsid w:val="00097C15"/>
    <w:rsid w:val="00097C61"/>
    <w:rsid w:val="00097C78"/>
    <w:rsid w:val="000A0197"/>
    <w:rsid w:val="000A0364"/>
    <w:rsid w:val="000A06DD"/>
    <w:rsid w:val="000A0962"/>
    <w:rsid w:val="000A1439"/>
    <w:rsid w:val="000A1F16"/>
    <w:rsid w:val="000A276C"/>
    <w:rsid w:val="000A281D"/>
    <w:rsid w:val="000A2C2D"/>
    <w:rsid w:val="000A2DA7"/>
    <w:rsid w:val="000A3162"/>
    <w:rsid w:val="000A3238"/>
    <w:rsid w:val="000A335B"/>
    <w:rsid w:val="000A3413"/>
    <w:rsid w:val="000A3798"/>
    <w:rsid w:val="000A3FB8"/>
    <w:rsid w:val="000A428C"/>
    <w:rsid w:val="000A4333"/>
    <w:rsid w:val="000A44B2"/>
    <w:rsid w:val="000A48C5"/>
    <w:rsid w:val="000A4A5A"/>
    <w:rsid w:val="000A50AE"/>
    <w:rsid w:val="000A515E"/>
    <w:rsid w:val="000A5729"/>
    <w:rsid w:val="000A590B"/>
    <w:rsid w:val="000A5AE1"/>
    <w:rsid w:val="000A5DA0"/>
    <w:rsid w:val="000A5F4A"/>
    <w:rsid w:val="000A61FB"/>
    <w:rsid w:val="000A627D"/>
    <w:rsid w:val="000A6A02"/>
    <w:rsid w:val="000A6A5A"/>
    <w:rsid w:val="000A6C6C"/>
    <w:rsid w:val="000A6D5A"/>
    <w:rsid w:val="000A6E6B"/>
    <w:rsid w:val="000A7896"/>
    <w:rsid w:val="000A7903"/>
    <w:rsid w:val="000A7C0D"/>
    <w:rsid w:val="000A7D46"/>
    <w:rsid w:val="000A7D64"/>
    <w:rsid w:val="000B0187"/>
    <w:rsid w:val="000B0320"/>
    <w:rsid w:val="000B0978"/>
    <w:rsid w:val="000B0CC9"/>
    <w:rsid w:val="000B0ED2"/>
    <w:rsid w:val="000B107D"/>
    <w:rsid w:val="000B1148"/>
    <w:rsid w:val="000B1211"/>
    <w:rsid w:val="000B13F1"/>
    <w:rsid w:val="000B203B"/>
    <w:rsid w:val="000B22C3"/>
    <w:rsid w:val="000B2355"/>
    <w:rsid w:val="000B28A5"/>
    <w:rsid w:val="000B2C06"/>
    <w:rsid w:val="000B2DE4"/>
    <w:rsid w:val="000B30B1"/>
    <w:rsid w:val="000B32BA"/>
    <w:rsid w:val="000B345C"/>
    <w:rsid w:val="000B37EB"/>
    <w:rsid w:val="000B3A97"/>
    <w:rsid w:val="000B3D6A"/>
    <w:rsid w:val="000B40AD"/>
    <w:rsid w:val="000B4326"/>
    <w:rsid w:val="000B438A"/>
    <w:rsid w:val="000B4740"/>
    <w:rsid w:val="000B4A03"/>
    <w:rsid w:val="000B4DB0"/>
    <w:rsid w:val="000B5108"/>
    <w:rsid w:val="000B5205"/>
    <w:rsid w:val="000B5225"/>
    <w:rsid w:val="000B53E6"/>
    <w:rsid w:val="000B5845"/>
    <w:rsid w:val="000B5935"/>
    <w:rsid w:val="000B6633"/>
    <w:rsid w:val="000B7110"/>
    <w:rsid w:val="000B77F1"/>
    <w:rsid w:val="000B79B8"/>
    <w:rsid w:val="000B7CE0"/>
    <w:rsid w:val="000B7F44"/>
    <w:rsid w:val="000B7F9A"/>
    <w:rsid w:val="000B7FE1"/>
    <w:rsid w:val="000C0066"/>
    <w:rsid w:val="000C0676"/>
    <w:rsid w:val="000C07EA"/>
    <w:rsid w:val="000C08DD"/>
    <w:rsid w:val="000C0CAD"/>
    <w:rsid w:val="000C0FA3"/>
    <w:rsid w:val="000C14DE"/>
    <w:rsid w:val="000C1632"/>
    <w:rsid w:val="000C177E"/>
    <w:rsid w:val="000C1934"/>
    <w:rsid w:val="000C1C26"/>
    <w:rsid w:val="000C1D70"/>
    <w:rsid w:val="000C1DD4"/>
    <w:rsid w:val="000C217A"/>
    <w:rsid w:val="000C258F"/>
    <w:rsid w:val="000C2BA9"/>
    <w:rsid w:val="000C2DEB"/>
    <w:rsid w:val="000C2FC4"/>
    <w:rsid w:val="000C2FCC"/>
    <w:rsid w:val="000C3266"/>
    <w:rsid w:val="000C3500"/>
    <w:rsid w:val="000C3732"/>
    <w:rsid w:val="000C3FD6"/>
    <w:rsid w:val="000C3FF2"/>
    <w:rsid w:val="000C43F6"/>
    <w:rsid w:val="000C4550"/>
    <w:rsid w:val="000C4767"/>
    <w:rsid w:val="000C49D3"/>
    <w:rsid w:val="000C4A00"/>
    <w:rsid w:val="000C4B44"/>
    <w:rsid w:val="000C4D4E"/>
    <w:rsid w:val="000C4D9A"/>
    <w:rsid w:val="000C4E23"/>
    <w:rsid w:val="000C528C"/>
    <w:rsid w:val="000C53F7"/>
    <w:rsid w:val="000C5E9C"/>
    <w:rsid w:val="000C6013"/>
    <w:rsid w:val="000C6343"/>
    <w:rsid w:val="000C6581"/>
    <w:rsid w:val="000C68D8"/>
    <w:rsid w:val="000C6910"/>
    <w:rsid w:val="000C699C"/>
    <w:rsid w:val="000C6DEB"/>
    <w:rsid w:val="000C75C0"/>
    <w:rsid w:val="000C7D0B"/>
    <w:rsid w:val="000D02DA"/>
    <w:rsid w:val="000D0361"/>
    <w:rsid w:val="000D047F"/>
    <w:rsid w:val="000D066F"/>
    <w:rsid w:val="000D0BEB"/>
    <w:rsid w:val="000D0E61"/>
    <w:rsid w:val="000D101C"/>
    <w:rsid w:val="000D16EE"/>
    <w:rsid w:val="000D1F95"/>
    <w:rsid w:val="000D21B2"/>
    <w:rsid w:val="000D272A"/>
    <w:rsid w:val="000D2941"/>
    <w:rsid w:val="000D2CFC"/>
    <w:rsid w:val="000D2DA2"/>
    <w:rsid w:val="000D302E"/>
    <w:rsid w:val="000D3131"/>
    <w:rsid w:val="000D3313"/>
    <w:rsid w:val="000D3430"/>
    <w:rsid w:val="000D347A"/>
    <w:rsid w:val="000D3862"/>
    <w:rsid w:val="000D3A73"/>
    <w:rsid w:val="000D3ADD"/>
    <w:rsid w:val="000D43F2"/>
    <w:rsid w:val="000D4A40"/>
    <w:rsid w:val="000D4C13"/>
    <w:rsid w:val="000D4C64"/>
    <w:rsid w:val="000D5024"/>
    <w:rsid w:val="000D562E"/>
    <w:rsid w:val="000D5841"/>
    <w:rsid w:val="000D6158"/>
    <w:rsid w:val="000D6292"/>
    <w:rsid w:val="000D634A"/>
    <w:rsid w:val="000D6646"/>
    <w:rsid w:val="000D6CF6"/>
    <w:rsid w:val="000E00A3"/>
    <w:rsid w:val="000E0C4F"/>
    <w:rsid w:val="000E0FA1"/>
    <w:rsid w:val="000E12D8"/>
    <w:rsid w:val="000E1303"/>
    <w:rsid w:val="000E1827"/>
    <w:rsid w:val="000E18B8"/>
    <w:rsid w:val="000E198C"/>
    <w:rsid w:val="000E1BB9"/>
    <w:rsid w:val="000E204C"/>
    <w:rsid w:val="000E2326"/>
    <w:rsid w:val="000E2541"/>
    <w:rsid w:val="000E25F0"/>
    <w:rsid w:val="000E27A5"/>
    <w:rsid w:val="000E3240"/>
    <w:rsid w:val="000E338A"/>
    <w:rsid w:val="000E33E7"/>
    <w:rsid w:val="000E3562"/>
    <w:rsid w:val="000E3738"/>
    <w:rsid w:val="000E3953"/>
    <w:rsid w:val="000E3973"/>
    <w:rsid w:val="000E399B"/>
    <w:rsid w:val="000E3ABE"/>
    <w:rsid w:val="000E3B67"/>
    <w:rsid w:val="000E3C43"/>
    <w:rsid w:val="000E410F"/>
    <w:rsid w:val="000E415D"/>
    <w:rsid w:val="000E4348"/>
    <w:rsid w:val="000E44A8"/>
    <w:rsid w:val="000E4C0B"/>
    <w:rsid w:val="000E4C1C"/>
    <w:rsid w:val="000E4E5B"/>
    <w:rsid w:val="000E5142"/>
    <w:rsid w:val="000E5558"/>
    <w:rsid w:val="000E5DC0"/>
    <w:rsid w:val="000E6065"/>
    <w:rsid w:val="000E684C"/>
    <w:rsid w:val="000E740E"/>
    <w:rsid w:val="000E786F"/>
    <w:rsid w:val="000E7BAA"/>
    <w:rsid w:val="000E7D54"/>
    <w:rsid w:val="000E7E70"/>
    <w:rsid w:val="000F1140"/>
    <w:rsid w:val="000F14D3"/>
    <w:rsid w:val="000F18F8"/>
    <w:rsid w:val="000F1998"/>
    <w:rsid w:val="000F2080"/>
    <w:rsid w:val="000F286F"/>
    <w:rsid w:val="000F299C"/>
    <w:rsid w:val="000F2AB7"/>
    <w:rsid w:val="000F2AD6"/>
    <w:rsid w:val="000F2AF5"/>
    <w:rsid w:val="000F2D4A"/>
    <w:rsid w:val="000F2DC3"/>
    <w:rsid w:val="000F2E82"/>
    <w:rsid w:val="000F355E"/>
    <w:rsid w:val="000F3621"/>
    <w:rsid w:val="000F390D"/>
    <w:rsid w:val="000F3949"/>
    <w:rsid w:val="000F3B05"/>
    <w:rsid w:val="000F419A"/>
    <w:rsid w:val="000F4310"/>
    <w:rsid w:val="000F4B28"/>
    <w:rsid w:val="000F4D8E"/>
    <w:rsid w:val="000F512D"/>
    <w:rsid w:val="000F52A7"/>
    <w:rsid w:val="000F5420"/>
    <w:rsid w:val="000F54D7"/>
    <w:rsid w:val="000F578F"/>
    <w:rsid w:val="000F58A2"/>
    <w:rsid w:val="000F5A21"/>
    <w:rsid w:val="000F5AB6"/>
    <w:rsid w:val="000F5BA4"/>
    <w:rsid w:val="000F5C63"/>
    <w:rsid w:val="000F5F75"/>
    <w:rsid w:val="000F631E"/>
    <w:rsid w:val="000F63E6"/>
    <w:rsid w:val="000F673D"/>
    <w:rsid w:val="000F6BF2"/>
    <w:rsid w:val="000F702E"/>
    <w:rsid w:val="000F70CE"/>
    <w:rsid w:val="000F710C"/>
    <w:rsid w:val="000F7299"/>
    <w:rsid w:val="000F7442"/>
    <w:rsid w:val="000F76EC"/>
    <w:rsid w:val="00100110"/>
    <w:rsid w:val="00100371"/>
    <w:rsid w:val="001007CE"/>
    <w:rsid w:val="00100AD3"/>
    <w:rsid w:val="00100CF0"/>
    <w:rsid w:val="00100E76"/>
    <w:rsid w:val="0010103A"/>
    <w:rsid w:val="00101212"/>
    <w:rsid w:val="001013D5"/>
    <w:rsid w:val="001014F7"/>
    <w:rsid w:val="00101E2A"/>
    <w:rsid w:val="0010255F"/>
    <w:rsid w:val="0010387F"/>
    <w:rsid w:val="00103B8F"/>
    <w:rsid w:val="00103D17"/>
    <w:rsid w:val="00103F59"/>
    <w:rsid w:val="00103FDF"/>
    <w:rsid w:val="0010525D"/>
    <w:rsid w:val="00105755"/>
    <w:rsid w:val="00105A47"/>
    <w:rsid w:val="00105C26"/>
    <w:rsid w:val="00105D73"/>
    <w:rsid w:val="00105DC0"/>
    <w:rsid w:val="00105EAD"/>
    <w:rsid w:val="001061C3"/>
    <w:rsid w:val="001062DE"/>
    <w:rsid w:val="00106A21"/>
    <w:rsid w:val="00106E01"/>
    <w:rsid w:val="00106EAB"/>
    <w:rsid w:val="00107294"/>
    <w:rsid w:val="00107727"/>
    <w:rsid w:val="00107A43"/>
    <w:rsid w:val="00107B0C"/>
    <w:rsid w:val="00107BFB"/>
    <w:rsid w:val="001107A6"/>
    <w:rsid w:val="0011081D"/>
    <w:rsid w:val="001108A3"/>
    <w:rsid w:val="00110900"/>
    <w:rsid w:val="001109CC"/>
    <w:rsid w:val="00110E80"/>
    <w:rsid w:val="00110F8F"/>
    <w:rsid w:val="00111010"/>
    <w:rsid w:val="00111075"/>
    <w:rsid w:val="0011134A"/>
    <w:rsid w:val="001114FC"/>
    <w:rsid w:val="00111755"/>
    <w:rsid w:val="00111763"/>
    <w:rsid w:val="00111A63"/>
    <w:rsid w:val="00111D80"/>
    <w:rsid w:val="001122F9"/>
    <w:rsid w:val="0011257C"/>
    <w:rsid w:val="00112B10"/>
    <w:rsid w:val="00112DBE"/>
    <w:rsid w:val="00112F1A"/>
    <w:rsid w:val="00113587"/>
    <w:rsid w:val="001139FF"/>
    <w:rsid w:val="00113F19"/>
    <w:rsid w:val="00113FB0"/>
    <w:rsid w:val="00114024"/>
    <w:rsid w:val="00114251"/>
    <w:rsid w:val="00114AAF"/>
    <w:rsid w:val="00114B4D"/>
    <w:rsid w:val="00114C77"/>
    <w:rsid w:val="00114E6C"/>
    <w:rsid w:val="00114F67"/>
    <w:rsid w:val="00115208"/>
    <w:rsid w:val="00115550"/>
    <w:rsid w:val="001156E7"/>
    <w:rsid w:val="0011573E"/>
    <w:rsid w:val="001158EC"/>
    <w:rsid w:val="00115B23"/>
    <w:rsid w:val="0011636C"/>
    <w:rsid w:val="00116391"/>
    <w:rsid w:val="001163F9"/>
    <w:rsid w:val="0011643F"/>
    <w:rsid w:val="001168CF"/>
    <w:rsid w:val="00116DBE"/>
    <w:rsid w:val="00117134"/>
    <w:rsid w:val="0011731B"/>
    <w:rsid w:val="001174E2"/>
    <w:rsid w:val="00117AFE"/>
    <w:rsid w:val="00117BD5"/>
    <w:rsid w:val="0012044C"/>
    <w:rsid w:val="00120733"/>
    <w:rsid w:val="0012086C"/>
    <w:rsid w:val="00120AE3"/>
    <w:rsid w:val="00120DCD"/>
    <w:rsid w:val="001210E8"/>
    <w:rsid w:val="001213FA"/>
    <w:rsid w:val="0012140C"/>
    <w:rsid w:val="0012143D"/>
    <w:rsid w:val="00121AE5"/>
    <w:rsid w:val="001220F6"/>
    <w:rsid w:val="001225C7"/>
    <w:rsid w:val="00122D6A"/>
    <w:rsid w:val="00122F3C"/>
    <w:rsid w:val="00123362"/>
    <w:rsid w:val="00123653"/>
    <w:rsid w:val="00123B07"/>
    <w:rsid w:val="00123B4E"/>
    <w:rsid w:val="00123B5A"/>
    <w:rsid w:val="00123CBE"/>
    <w:rsid w:val="00123CD1"/>
    <w:rsid w:val="00123FDF"/>
    <w:rsid w:val="0012423A"/>
    <w:rsid w:val="00124291"/>
    <w:rsid w:val="0012474C"/>
    <w:rsid w:val="001247B4"/>
    <w:rsid w:val="00124B22"/>
    <w:rsid w:val="0012503B"/>
    <w:rsid w:val="00125199"/>
    <w:rsid w:val="001252ED"/>
    <w:rsid w:val="00125342"/>
    <w:rsid w:val="001254FF"/>
    <w:rsid w:val="0012554B"/>
    <w:rsid w:val="00125635"/>
    <w:rsid w:val="00125741"/>
    <w:rsid w:val="00125A56"/>
    <w:rsid w:val="00125B5B"/>
    <w:rsid w:val="00125BC5"/>
    <w:rsid w:val="00125EDD"/>
    <w:rsid w:val="00126AF5"/>
    <w:rsid w:val="001272D6"/>
    <w:rsid w:val="00127371"/>
    <w:rsid w:val="0012757D"/>
    <w:rsid w:val="00127787"/>
    <w:rsid w:val="001279E7"/>
    <w:rsid w:val="00127AA6"/>
    <w:rsid w:val="00127B17"/>
    <w:rsid w:val="00130508"/>
    <w:rsid w:val="00130753"/>
    <w:rsid w:val="0013095F"/>
    <w:rsid w:val="00130AC0"/>
    <w:rsid w:val="00130B87"/>
    <w:rsid w:val="0013102F"/>
    <w:rsid w:val="0013119A"/>
    <w:rsid w:val="00131682"/>
    <w:rsid w:val="00131903"/>
    <w:rsid w:val="0013192B"/>
    <w:rsid w:val="00131B34"/>
    <w:rsid w:val="00131B73"/>
    <w:rsid w:val="00131DBD"/>
    <w:rsid w:val="00131FEE"/>
    <w:rsid w:val="00132315"/>
    <w:rsid w:val="00132547"/>
    <w:rsid w:val="00132894"/>
    <w:rsid w:val="00132D3B"/>
    <w:rsid w:val="00132D69"/>
    <w:rsid w:val="00132ECB"/>
    <w:rsid w:val="001331CC"/>
    <w:rsid w:val="0013352E"/>
    <w:rsid w:val="00133624"/>
    <w:rsid w:val="00133767"/>
    <w:rsid w:val="0013385B"/>
    <w:rsid w:val="00133B55"/>
    <w:rsid w:val="00133C6A"/>
    <w:rsid w:val="00133E17"/>
    <w:rsid w:val="00133F8F"/>
    <w:rsid w:val="001343B4"/>
    <w:rsid w:val="00134431"/>
    <w:rsid w:val="001346B2"/>
    <w:rsid w:val="00134702"/>
    <w:rsid w:val="00134AD8"/>
    <w:rsid w:val="001350E7"/>
    <w:rsid w:val="0013537A"/>
    <w:rsid w:val="001353B1"/>
    <w:rsid w:val="001353F3"/>
    <w:rsid w:val="001354D3"/>
    <w:rsid w:val="0013559D"/>
    <w:rsid w:val="00135D3C"/>
    <w:rsid w:val="00135D71"/>
    <w:rsid w:val="00135F8F"/>
    <w:rsid w:val="0013623A"/>
    <w:rsid w:val="00136B66"/>
    <w:rsid w:val="00136CF6"/>
    <w:rsid w:val="00136E78"/>
    <w:rsid w:val="00136F17"/>
    <w:rsid w:val="00137080"/>
    <w:rsid w:val="001378E2"/>
    <w:rsid w:val="00137E2E"/>
    <w:rsid w:val="001402EC"/>
    <w:rsid w:val="00140516"/>
    <w:rsid w:val="0014064E"/>
    <w:rsid w:val="0014083A"/>
    <w:rsid w:val="00140AEE"/>
    <w:rsid w:val="00140AF9"/>
    <w:rsid w:val="001412C0"/>
    <w:rsid w:val="001414C0"/>
    <w:rsid w:val="0014154A"/>
    <w:rsid w:val="00141899"/>
    <w:rsid w:val="00141F56"/>
    <w:rsid w:val="001424E2"/>
    <w:rsid w:val="00142615"/>
    <w:rsid w:val="00142775"/>
    <w:rsid w:val="00142B2B"/>
    <w:rsid w:val="00142EF3"/>
    <w:rsid w:val="0014308F"/>
    <w:rsid w:val="001430B5"/>
    <w:rsid w:val="00143155"/>
    <w:rsid w:val="0014343A"/>
    <w:rsid w:val="001434A8"/>
    <w:rsid w:val="001434CD"/>
    <w:rsid w:val="00143541"/>
    <w:rsid w:val="00143C3B"/>
    <w:rsid w:val="00143CDB"/>
    <w:rsid w:val="00144082"/>
    <w:rsid w:val="001446D4"/>
    <w:rsid w:val="00144BB1"/>
    <w:rsid w:val="00144BD4"/>
    <w:rsid w:val="00144C56"/>
    <w:rsid w:val="00144E80"/>
    <w:rsid w:val="00145239"/>
    <w:rsid w:val="001455D7"/>
    <w:rsid w:val="0014567C"/>
    <w:rsid w:val="0014570F"/>
    <w:rsid w:val="00145A7F"/>
    <w:rsid w:val="00145AD3"/>
    <w:rsid w:val="00145B43"/>
    <w:rsid w:val="00146216"/>
    <w:rsid w:val="001463E5"/>
    <w:rsid w:val="001468CA"/>
    <w:rsid w:val="001469E3"/>
    <w:rsid w:val="001469EC"/>
    <w:rsid w:val="001473CE"/>
    <w:rsid w:val="00147429"/>
    <w:rsid w:val="00147690"/>
    <w:rsid w:val="001478AF"/>
    <w:rsid w:val="00147C4B"/>
    <w:rsid w:val="00150783"/>
    <w:rsid w:val="00150B96"/>
    <w:rsid w:val="00150D31"/>
    <w:rsid w:val="00150FF9"/>
    <w:rsid w:val="001510BA"/>
    <w:rsid w:val="001510E8"/>
    <w:rsid w:val="0015121C"/>
    <w:rsid w:val="0015149D"/>
    <w:rsid w:val="001515FE"/>
    <w:rsid w:val="00151ADD"/>
    <w:rsid w:val="00151B32"/>
    <w:rsid w:val="00151BC2"/>
    <w:rsid w:val="00152378"/>
    <w:rsid w:val="0015271D"/>
    <w:rsid w:val="00152B2D"/>
    <w:rsid w:val="00152E97"/>
    <w:rsid w:val="00152EAB"/>
    <w:rsid w:val="001533F1"/>
    <w:rsid w:val="00153569"/>
    <w:rsid w:val="0015365C"/>
    <w:rsid w:val="001538E4"/>
    <w:rsid w:val="0015396F"/>
    <w:rsid w:val="00153A58"/>
    <w:rsid w:val="00153A98"/>
    <w:rsid w:val="00153CC4"/>
    <w:rsid w:val="00153E53"/>
    <w:rsid w:val="001542F2"/>
    <w:rsid w:val="001544D3"/>
    <w:rsid w:val="001546D9"/>
    <w:rsid w:val="00154A08"/>
    <w:rsid w:val="0015521E"/>
    <w:rsid w:val="00155408"/>
    <w:rsid w:val="0015541D"/>
    <w:rsid w:val="001558D7"/>
    <w:rsid w:val="00155967"/>
    <w:rsid w:val="00156619"/>
    <w:rsid w:val="001566DC"/>
    <w:rsid w:val="0015674D"/>
    <w:rsid w:val="00156B01"/>
    <w:rsid w:val="00156DEE"/>
    <w:rsid w:val="00156EF0"/>
    <w:rsid w:val="00156F1F"/>
    <w:rsid w:val="0015785B"/>
    <w:rsid w:val="0015797D"/>
    <w:rsid w:val="00157C33"/>
    <w:rsid w:val="00157EEB"/>
    <w:rsid w:val="00157FB4"/>
    <w:rsid w:val="00157FEA"/>
    <w:rsid w:val="001600A7"/>
    <w:rsid w:val="00160213"/>
    <w:rsid w:val="00160753"/>
    <w:rsid w:val="00160789"/>
    <w:rsid w:val="0016099C"/>
    <w:rsid w:val="001609AE"/>
    <w:rsid w:val="001611EF"/>
    <w:rsid w:val="0016148B"/>
    <w:rsid w:val="00161EBD"/>
    <w:rsid w:val="00161FDE"/>
    <w:rsid w:val="001621DE"/>
    <w:rsid w:val="00162917"/>
    <w:rsid w:val="00162988"/>
    <w:rsid w:val="00162C0B"/>
    <w:rsid w:val="00163451"/>
    <w:rsid w:val="001636DF"/>
    <w:rsid w:val="00163DEA"/>
    <w:rsid w:val="00164868"/>
    <w:rsid w:val="001648DE"/>
    <w:rsid w:val="001649DE"/>
    <w:rsid w:val="001649F4"/>
    <w:rsid w:val="00164DF9"/>
    <w:rsid w:val="001658D2"/>
    <w:rsid w:val="00165A2A"/>
    <w:rsid w:val="00165D60"/>
    <w:rsid w:val="00166057"/>
    <w:rsid w:val="00166E14"/>
    <w:rsid w:val="001670A5"/>
    <w:rsid w:val="001670B2"/>
    <w:rsid w:val="00167416"/>
    <w:rsid w:val="00167769"/>
    <w:rsid w:val="0016798D"/>
    <w:rsid w:val="00167BE3"/>
    <w:rsid w:val="00167CCE"/>
    <w:rsid w:val="00167D59"/>
    <w:rsid w:val="001700F8"/>
    <w:rsid w:val="001708FF"/>
    <w:rsid w:val="0017097A"/>
    <w:rsid w:val="00170EFA"/>
    <w:rsid w:val="00170F4A"/>
    <w:rsid w:val="00170FF9"/>
    <w:rsid w:val="0017167C"/>
    <w:rsid w:val="00171B8E"/>
    <w:rsid w:val="0017200F"/>
    <w:rsid w:val="0017206E"/>
    <w:rsid w:val="00172191"/>
    <w:rsid w:val="00172818"/>
    <w:rsid w:val="0017298A"/>
    <w:rsid w:val="001732BB"/>
    <w:rsid w:val="0017334E"/>
    <w:rsid w:val="0017349B"/>
    <w:rsid w:val="001737B1"/>
    <w:rsid w:val="00173A6B"/>
    <w:rsid w:val="00173E43"/>
    <w:rsid w:val="00174017"/>
    <w:rsid w:val="00174428"/>
    <w:rsid w:val="001745BB"/>
    <w:rsid w:val="00174631"/>
    <w:rsid w:val="001746D4"/>
    <w:rsid w:val="0017496E"/>
    <w:rsid w:val="00174979"/>
    <w:rsid w:val="00174A92"/>
    <w:rsid w:val="00175015"/>
    <w:rsid w:val="0017515D"/>
    <w:rsid w:val="00175283"/>
    <w:rsid w:val="00175469"/>
    <w:rsid w:val="00175664"/>
    <w:rsid w:val="00175AA4"/>
    <w:rsid w:val="00176193"/>
    <w:rsid w:val="0017632C"/>
    <w:rsid w:val="001764A3"/>
    <w:rsid w:val="0017691C"/>
    <w:rsid w:val="00176943"/>
    <w:rsid w:val="00176F17"/>
    <w:rsid w:val="0017703D"/>
    <w:rsid w:val="00177159"/>
    <w:rsid w:val="001773A2"/>
    <w:rsid w:val="0017758A"/>
    <w:rsid w:val="001777ED"/>
    <w:rsid w:val="00177ADE"/>
    <w:rsid w:val="00177B73"/>
    <w:rsid w:val="00177C79"/>
    <w:rsid w:val="00177E43"/>
    <w:rsid w:val="00180054"/>
    <w:rsid w:val="001800B9"/>
    <w:rsid w:val="00180683"/>
    <w:rsid w:val="00180746"/>
    <w:rsid w:val="0018087D"/>
    <w:rsid w:val="00180A00"/>
    <w:rsid w:val="00180D7E"/>
    <w:rsid w:val="00181186"/>
    <w:rsid w:val="0018119A"/>
    <w:rsid w:val="0018129B"/>
    <w:rsid w:val="00181A1B"/>
    <w:rsid w:val="00181FCA"/>
    <w:rsid w:val="00182056"/>
    <w:rsid w:val="0018257B"/>
    <w:rsid w:val="001825F2"/>
    <w:rsid w:val="0018291F"/>
    <w:rsid w:val="001831FE"/>
    <w:rsid w:val="0018353D"/>
    <w:rsid w:val="0018377C"/>
    <w:rsid w:val="001837F5"/>
    <w:rsid w:val="001838A2"/>
    <w:rsid w:val="0018433E"/>
    <w:rsid w:val="001844E6"/>
    <w:rsid w:val="00184730"/>
    <w:rsid w:val="00184850"/>
    <w:rsid w:val="00184AF6"/>
    <w:rsid w:val="00184F14"/>
    <w:rsid w:val="00184F48"/>
    <w:rsid w:val="001855AE"/>
    <w:rsid w:val="00185634"/>
    <w:rsid w:val="00185782"/>
    <w:rsid w:val="0018630C"/>
    <w:rsid w:val="001868B7"/>
    <w:rsid w:val="00186996"/>
    <w:rsid w:val="001873D1"/>
    <w:rsid w:val="0018763C"/>
    <w:rsid w:val="00187837"/>
    <w:rsid w:val="00187936"/>
    <w:rsid w:val="00187B82"/>
    <w:rsid w:val="00187FC6"/>
    <w:rsid w:val="00190028"/>
    <w:rsid w:val="0019059F"/>
    <w:rsid w:val="00190DA7"/>
    <w:rsid w:val="00190EA8"/>
    <w:rsid w:val="001910EC"/>
    <w:rsid w:val="00191128"/>
    <w:rsid w:val="00191146"/>
    <w:rsid w:val="001911FC"/>
    <w:rsid w:val="00191A62"/>
    <w:rsid w:val="00191B99"/>
    <w:rsid w:val="00191D50"/>
    <w:rsid w:val="00192125"/>
    <w:rsid w:val="00192A0A"/>
    <w:rsid w:val="00192C98"/>
    <w:rsid w:val="00192D17"/>
    <w:rsid w:val="00192F70"/>
    <w:rsid w:val="001936FD"/>
    <w:rsid w:val="00193713"/>
    <w:rsid w:val="00193AFA"/>
    <w:rsid w:val="00194889"/>
    <w:rsid w:val="0019497A"/>
    <w:rsid w:val="00194AEB"/>
    <w:rsid w:val="00194FEA"/>
    <w:rsid w:val="001951AF"/>
    <w:rsid w:val="001951F4"/>
    <w:rsid w:val="00195D85"/>
    <w:rsid w:val="00195DC7"/>
    <w:rsid w:val="001962B7"/>
    <w:rsid w:val="00196C92"/>
    <w:rsid w:val="00196E41"/>
    <w:rsid w:val="0019762F"/>
    <w:rsid w:val="001976B7"/>
    <w:rsid w:val="00197905"/>
    <w:rsid w:val="00197AD9"/>
    <w:rsid w:val="00197C82"/>
    <w:rsid w:val="001A03D4"/>
    <w:rsid w:val="001A1067"/>
    <w:rsid w:val="001A10E7"/>
    <w:rsid w:val="001A1358"/>
    <w:rsid w:val="001A143E"/>
    <w:rsid w:val="001A16B5"/>
    <w:rsid w:val="001A1948"/>
    <w:rsid w:val="001A1AD3"/>
    <w:rsid w:val="001A1C91"/>
    <w:rsid w:val="001A1F1D"/>
    <w:rsid w:val="001A2576"/>
    <w:rsid w:val="001A28AF"/>
    <w:rsid w:val="001A2BE8"/>
    <w:rsid w:val="001A2C22"/>
    <w:rsid w:val="001A2DEA"/>
    <w:rsid w:val="001A3092"/>
    <w:rsid w:val="001A3636"/>
    <w:rsid w:val="001A37F5"/>
    <w:rsid w:val="001A3EE7"/>
    <w:rsid w:val="001A4116"/>
    <w:rsid w:val="001A42B6"/>
    <w:rsid w:val="001A485B"/>
    <w:rsid w:val="001A50DB"/>
    <w:rsid w:val="001A541C"/>
    <w:rsid w:val="001A5D17"/>
    <w:rsid w:val="001A5D66"/>
    <w:rsid w:val="001A614C"/>
    <w:rsid w:val="001A632E"/>
    <w:rsid w:val="001A6431"/>
    <w:rsid w:val="001A6B02"/>
    <w:rsid w:val="001A6B16"/>
    <w:rsid w:val="001A6EA5"/>
    <w:rsid w:val="001A7010"/>
    <w:rsid w:val="001A71D1"/>
    <w:rsid w:val="001A7594"/>
    <w:rsid w:val="001A76ED"/>
    <w:rsid w:val="001A77DA"/>
    <w:rsid w:val="001A7CB2"/>
    <w:rsid w:val="001B03FB"/>
    <w:rsid w:val="001B043D"/>
    <w:rsid w:val="001B0623"/>
    <w:rsid w:val="001B12A1"/>
    <w:rsid w:val="001B12A3"/>
    <w:rsid w:val="001B136C"/>
    <w:rsid w:val="001B15AC"/>
    <w:rsid w:val="001B15B9"/>
    <w:rsid w:val="001B189E"/>
    <w:rsid w:val="001B19BA"/>
    <w:rsid w:val="001B1CEF"/>
    <w:rsid w:val="001B1D6B"/>
    <w:rsid w:val="001B230D"/>
    <w:rsid w:val="001B2679"/>
    <w:rsid w:val="001B26DD"/>
    <w:rsid w:val="001B2A08"/>
    <w:rsid w:val="001B2F5C"/>
    <w:rsid w:val="001B3052"/>
    <w:rsid w:val="001B32E2"/>
    <w:rsid w:val="001B3D53"/>
    <w:rsid w:val="001B3D5D"/>
    <w:rsid w:val="001B3E02"/>
    <w:rsid w:val="001B40DF"/>
    <w:rsid w:val="001B472F"/>
    <w:rsid w:val="001B4A90"/>
    <w:rsid w:val="001B4AFE"/>
    <w:rsid w:val="001B5035"/>
    <w:rsid w:val="001B51D7"/>
    <w:rsid w:val="001B51F8"/>
    <w:rsid w:val="001B52BA"/>
    <w:rsid w:val="001B6485"/>
    <w:rsid w:val="001B6486"/>
    <w:rsid w:val="001B678E"/>
    <w:rsid w:val="001B6FAE"/>
    <w:rsid w:val="001B7FF7"/>
    <w:rsid w:val="001C0146"/>
    <w:rsid w:val="001C02B1"/>
    <w:rsid w:val="001C07FC"/>
    <w:rsid w:val="001C0B10"/>
    <w:rsid w:val="001C0F5B"/>
    <w:rsid w:val="001C0F7A"/>
    <w:rsid w:val="001C1393"/>
    <w:rsid w:val="001C154C"/>
    <w:rsid w:val="001C227D"/>
    <w:rsid w:val="001C2485"/>
    <w:rsid w:val="001C25E8"/>
    <w:rsid w:val="001C2887"/>
    <w:rsid w:val="001C29FA"/>
    <w:rsid w:val="001C2D33"/>
    <w:rsid w:val="001C2EDB"/>
    <w:rsid w:val="001C3109"/>
    <w:rsid w:val="001C3600"/>
    <w:rsid w:val="001C366C"/>
    <w:rsid w:val="001C37CD"/>
    <w:rsid w:val="001C388C"/>
    <w:rsid w:val="001C39D8"/>
    <w:rsid w:val="001C3CC5"/>
    <w:rsid w:val="001C44C1"/>
    <w:rsid w:val="001C4816"/>
    <w:rsid w:val="001C4880"/>
    <w:rsid w:val="001C4EFA"/>
    <w:rsid w:val="001C51FC"/>
    <w:rsid w:val="001C551C"/>
    <w:rsid w:val="001C5567"/>
    <w:rsid w:val="001C556B"/>
    <w:rsid w:val="001C575C"/>
    <w:rsid w:val="001C5F79"/>
    <w:rsid w:val="001C606D"/>
    <w:rsid w:val="001C660F"/>
    <w:rsid w:val="001C69F7"/>
    <w:rsid w:val="001C6A71"/>
    <w:rsid w:val="001C6F05"/>
    <w:rsid w:val="001C7287"/>
    <w:rsid w:val="001C7349"/>
    <w:rsid w:val="001C775C"/>
    <w:rsid w:val="001C7873"/>
    <w:rsid w:val="001C7A72"/>
    <w:rsid w:val="001C7CD2"/>
    <w:rsid w:val="001D0232"/>
    <w:rsid w:val="001D0A9A"/>
    <w:rsid w:val="001D10D0"/>
    <w:rsid w:val="001D1300"/>
    <w:rsid w:val="001D1357"/>
    <w:rsid w:val="001D140A"/>
    <w:rsid w:val="001D182B"/>
    <w:rsid w:val="001D18C9"/>
    <w:rsid w:val="001D1E40"/>
    <w:rsid w:val="001D223F"/>
    <w:rsid w:val="001D2312"/>
    <w:rsid w:val="001D2407"/>
    <w:rsid w:val="001D2740"/>
    <w:rsid w:val="001D2DD5"/>
    <w:rsid w:val="001D2E33"/>
    <w:rsid w:val="001D2F1C"/>
    <w:rsid w:val="001D2FF5"/>
    <w:rsid w:val="001D301A"/>
    <w:rsid w:val="001D3A73"/>
    <w:rsid w:val="001D3AA7"/>
    <w:rsid w:val="001D3E48"/>
    <w:rsid w:val="001D3EBA"/>
    <w:rsid w:val="001D41D1"/>
    <w:rsid w:val="001D43AB"/>
    <w:rsid w:val="001D480F"/>
    <w:rsid w:val="001D4850"/>
    <w:rsid w:val="001D4938"/>
    <w:rsid w:val="001D4941"/>
    <w:rsid w:val="001D49D3"/>
    <w:rsid w:val="001D4DE1"/>
    <w:rsid w:val="001D542D"/>
    <w:rsid w:val="001D56CE"/>
    <w:rsid w:val="001D5978"/>
    <w:rsid w:val="001D5B25"/>
    <w:rsid w:val="001D609A"/>
    <w:rsid w:val="001D60EA"/>
    <w:rsid w:val="001D66BB"/>
    <w:rsid w:val="001D69A6"/>
    <w:rsid w:val="001D69BE"/>
    <w:rsid w:val="001D69D7"/>
    <w:rsid w:val="001D6ADD"/>
    <w:rsid w:val="001D6AF3"/>
    <w:rsid w:val="001D6F39"/>
    <w:rsid w:val="001D7EEF"/>
    <w:rsid w:val="001D7F34"/>
    <w:rsid w:val="001E06B8"/>
    <w:rsid w:val="001E08AC"/>
    <w:rsid w:val="001E0A33"/>
    <w:rsid w:val="001E0DE7"/>
    <w:rsid w:val="001E107F"/>
    <w:rsid w:val="001E10D5"/>
    <w:rsid w:val="001E15DB"/>
    <w:rsid w:val="001E17F3"/>
    <w:rsid w:val="001E1CF0"/>
    <w:rsid w:val="001E2052"/>
    <w:rsid w:val="001E2111"/>
    <w:rsid w:val="001E2AF0"/>
    <w:rsid w:val="001E2B4A"/>
    <w:rsid w:val="001E33B4"/>
    <w:rsid w:val="001E35EE"/>
    <w:rsid w:val="001E3C5B"/>
    <w:rsid w:val="001E4042"/>
    <w:rsid w:val="001E48FA"/>
    <w:rsid w:val="001E4B1E"/>
    <w:rsid w:val="001E4B9B"/>
    <w:rsid w:val="001E564C"/>
    <w:rsid w:val="001E578F"/>
    <w:rsid w:val="001E5845"/>
    <w:rsid w:val="001E58AC"/>
    <w:rsid w:val="001E5A44"/>
    <w:rsid w:val="001E5A89"/>
    <w:rsid w:val="001E5C32"/>
    <w:rsid w:val="001E5C52"/>
    <w:rsid w:val="001E5CDE"/>
    <w:rsid w:val="001E6404"/>
    <w:rsid w:val="001E66BE"/>
    <w:rsid w:val="001E6C00"/>
    <w:rsid w:val="001E6EA8"/>
    <w:rsid w:val="001E7271"/>
    <w:rsid w:val="001E7607"/>
    <w:rsid w:val="001E787B"/>
    <w:rsid w:val="001E78D6"/>
    <w:rsid w:val="001E7D11"/>
    <w:rsid w:val="001E7E76"/>
    <w:rsid w:val="001E7F62"/>
    <w:rsid w:val="001F058C"/>
    <w:rsid w:val="001F0CA9"/>
    <w:rsid w:val="001F0E18"/>
    <w:rsid w:val="001F0F08"/>
    <w:rsid w:val="001F101E"/>
    <w:rsid w:val="001F1321"/>
    <w:rsid w:val="001F1954"/>
    <w:rsid w:val="001F1D3F"/>
    <w:rsid w:val="001F26E3"/>
    <w:rsid w:val="001F2740"/>
    <w:rsid w:val="001F2CEF"/>
    <w:rsid w:val="001F2E0E"/>
    <w:rsid w:val="001F2F3D"/>
    <w:rsid w:val="001F3355"/>
    <w:rsid w:val="001F3707"/>
    <w:rsid w:val="001F3762"/>
    <w:rsid w:val="001F396D"/>
    <w:rsid w:val="001F3A23"/>
    <w:rsid w:val="001F3FD7"/>
    <w:rsid w:val="001F4596"/>
    <w:rsid w:val="001F4857"/>
    <w:rsid w:val="001F4973"/>
    <w:rsid w:val="001F4C4D"/>
    <w:rsid w:val="001F4C52"/>
    <w:rsid w:val="001F4CE5"/>
    <w:rsid w:val="001F4DAC"/>
    <w:rsid w:val="001F4E37"/>
    <w:rsid w:val="001F4F5E"/>
    <w:rsid w:val="001F5472"/>
    <w:rsid w:val="001F55DB"/>
    <w:rsid w:val="001F591D"/>
    <w:rsid w:val="001F59FA"/>
    <w:rsid w:val="001F5AB9"/>
    <w:rsid w:val="001F5B76"/>
    <w:rsid w:val="001F6C3E"/>
    <w:rsid w:val="001F6D63"/>
    <w:rsid w:val="001F7D7C"/>
    <w:rsid w:val="001F7EE4"/>
    <w:rsid w:val="002004A8"/>
    <w:rsid w:val="00200641"/>
    <w:rsid w:val="002007B6"/>
    <w:rsid w:val="00200898"/>
    <w:rsid w:val="00200919"/>
    <w:rsid w:val="00200A34"/>
    <w:rsid w:val="00200FC6"/>
    <w:rsid w:val="002013CE"/>
    <w:rsid w:val="002015CC"/>
    <w:rsid w:val="00201640"/>
    <w:rsid w:val="00201CC3"/>
    <w:rsid w:val="00201F63"/>
    <w:rsid w:val="0020203E"/>
    <w:rsid w:val="00202276"/>
    <w:rsid w:val="00202808"/>
    <w:rsid w:val="00202D8F"/>
    <w:rsid w:val="002033A5"/>
    <w:rsid w:val="0020351D"/>
    <w:rsid w:val="002040F3"/>
    <w:rsid w:val="0020411D"/>
    <w:rsid w:val="0020463E"/>
    <w:rsid w:val="002047F5"/>
    <w:rsid w:val="00204EA8"/>
    <w:rsid w:val="002052AF"/>
    <w:rsid w:val="00205A63"/>
    <w:rsid w:val="00205CBD"/>
    <w:rsid w:val="00206152"/>
    <w:rsid w:val="002065F3"/>
    <w:rsid w:val="00206F1F"/>
    <w:rsid w:val="0020734A"/>
    <w:rsid w:val="002075F7"/>
    <w:rsid w:val="002076D7"/>
    <w:rsid w:val="002079B4"/>
    <w:rsid w:val="00207A39"/>
    <w:rsid w:val="00207A76"/>
    <w:rsid w:val="00207BDA"/>
    <w:rsid w:val="00210026"/>
    <w:rsid w:val="00210162"/>
    <w:rsid w:val="002103BE"/>
    <w:rsid w:val="0021118D"/>
    <w:rsid w:val="002112BE"/>
    <w:rsid w:val="002114E6"/>
    <w:rsid w:val="002117D7"/>
    <w:rsid w:val="0021183D"/>
    <w:rsid w:val="00211BE5"/>
    <w:rsid w:val="00211D80"/>
    <w:rsid w:val="00211DC4"/>
    <w:rsid w:val="00212008"/>
    <w:rsid w:val="002122D0"/>
    <w:rsid w:val="0021231C"/>
    <w:rsid w:val="002123F2"/>
    <w:rsid w:val="002124D4"/>
    <w:rsid w:val="0021262F"/>
    <w:rsid w:val="00212674"/>
    <w:rsid w:val="00212711"/>
    <w:rsid w:val="002127F5"/>
    <w:rsid w:val="0021317D"/>
    <w:rsid w:val="00213217"/>
    <w:rsid w:val="0021322F"/>
    <w:rsid w:val="00213D9A"/>
    <w:rsid w:val="002141C3"/>
    <w:rsid w:val="002142C5"/>
    <w:rsid w:val="002149C7"/>
    <w:rsid w:val="00214D97"/>
    <w:rsid w:val="002150A7"/>
    <w:rsid w:val="00215885"/>
    <w:rsid w:val="002158CB"/>
    <w:rsid w:val="00215A9E"/>
    <w:rsid w:val="00215D86"/>
    <w:rsid w:val="00215FB4"/>
    <w:rsid w:val="002173DF"/>
    <w:rsid w:val="0021757E"/>
    <w:rsid w:val="00217582"/>
    <w:rsid w:val="00217FD4"/>
    <w:rsid w:val="0022023F"/>
    <w:rsid w:val="00220317"/>
    <w:rsid w:val="002203DA"/>
    <w:rsid w:val="0022053B"/>
    <w:rsid w:val="002205EE"/>
    <w:rsid w:val="00220950"/>
    <w:rsid w:val="00220BB6"/>
    <w:rsid w:val="00220D94"/>
    <w:rsid w:val="002212A2"/>
    <w:rsid w:val="00221480"/>
    <w:rsid w:val="00221802"/>
    <w:rsid w:val="00221984"/>
    <w:rsid w:val="002223A2"/>
    <w:rsid w:val="002223EC"/>
    <w:rsid w:val="002227EB"/>
    <w:rsid w:val="00222DB7"/>
    <w:rsid w:val="00222FAA"/>
    <w:rsid w:val="00223037"/>
    <w:rsid w:val="00223082"/>
    <w:rsid w:val="002239C7"/>
    <w:rsid w:val="0022402D"/>
    <w:rsid w:val="00224483"/>
    <w:rsid w:val="002247A0"/>
    <w:rsid w:val="00224984"/>
    <w:rsid w:val="002249B4"/>
    <w:rsid w:val="00224C81"/>
    <w:rsid w:val="002252BB"/>
    <w:rsid w:val="0022594B"/>
    <w:rsid w:val="00225B25"/>
    <w:rsid w:val="00225BC7"/>
    <w:rsid w:val="00225E13"/>
    <w:rsid w:val="00225FD4"/>
    <w:rsid w:val="00226496"/>
    <w:rsid w:val="00226C35"/>
    <w:rsid w:val="00226C46"/>
    <w:rsid w:val="0022721D"/>
    <w:rsid w:val="00227557"/>
    <w:rsid w:val="00227729"/>
    <w:rsid w:val="002279B5"/>
    <w:rsid w:val="00227A51"/>
    <w:rsid w:val="0023005B"/>
    <w:rsid w:val="002302C3"/>
    <w:rsid w:val="002303E0"/>
    <w:rsid w:val="00230427"/>
    <w:rsid w:val="002304F2"/>
    <w:rsid w:val="00230880"/>
    <w:rsid w:val="00230AF5"/>
    <w:rsid w:val="00230E41"/>
    <w:rsid w:val="00230FBA"/>
    <w:rsid w:val="00231509"/>
    <w:rsid w:val="002319ED"/>
    <w:rsid w:val="00231A29"/>
    <w:rsid w:val="00231B8E"/>
    <w:rsid w:val="0023273D"/>
    <w:rsid w:val="00232967"/>
    <w:rsid w:val="00232BAF"/>
    <w:rsid w:val="0023309C"/>
    <w:rsid w:val="00233A2B"/>
    <w:rsid w:val="00233A81"/>
    <w:rsid w:val="002347CE"/>
    <w:rsid w:val="00234C6A"/>
    <w:rsid w:val="0023557C"/>
    <w:rsid w:val="00235C20"/>
    <w:rsid w:val="00235C80"/>
    <w:rsid w:val="00235D5A"/>
    <w:rsid w:val="00235E80"/>
    <w:rsid w:val="0023624A"/>
    <w:rsid w:val="002364B2"/>
    <w:rsid w:val="00236A75"/>
    <w:rsid w:val="00236E0A"/>
    <w:rsid w:val="00237108"/>
    <w:rsid w:val="0023717C"/>
    <w:rsid w:val="00237304"/>
    <w:rsid w:val="0023746C"/>
    <w:rsid w:val="0023754C"/>
    <w:rsid w:val="002375B8"/>
    <w:rsid w:val="00237636"/>
    <w:rsid w:val="0023771E"/>
    <w:rsid w:val="00237947"/>
    <w:rsid w:val="00237994"/>
    <w:rsid w:val="00237F25"/>
    <w:rsid w:val="00237FF9"/>
    <w:rsid w:val="002404B9"/>
    <w:rsid w:val="00240669"/>
    <w:rsid w:val="0024074C"/>
    <w:rsid w:val="00240882"/>
    <w:rsid w:val="00240961"/>
    <w:rsid w:val="00240CA9"/>
    <w:rsid w:val="0024145D"/>
    <w:rsid w:val="00241D20"/>
    <w:rsid w:val="00241DCB"/>
    <w:rsid w:val="00241E08"/>
    <w:rsid w:val="00241FFB"/>
    <w:rsid w:val="002420F5"/>
    <w:rsid w:val="002423FA"/>
    <w:rsid w:val="00242912"/>
    <w:rsid w:val="00242A00"/>
    <w:rsid w:val="00242A1B"/>
    <w:rsid w:val="00242FF0"/>
    <w:rsid w:val="00243384"/>
    <w:rsid w:val="00243775"/>
    <w:rsid w:val="00243F02"/>
    <w:rsid w:val="00244773"/>
    <w:rsid w:val="00244D05"/>
    <w:rsid w:val="0024507D"/>
    <w:rsid w:val="00245975"/>
    <w:rsid w:val="00245F34"/>
    <w:rsid w:val="002460D7"/>
    <w:rsid w:val="00246598"/>
    <w:rsid w:val="00246600"/>
    <w:rsid w:val="00246978"/>
    <w:rsid w:val="00246C35"/>
    <w:rsid w:val="00246C48"/>
    <w:rsid w:val="00247661"/>
    <w:rsid w:val="0024775E"/>
    <w:rsid w:val="002478E2"/>
    <w:rsid w:val="00247921"/>
    <w:rsid w:val="00247D09"/>
    <w:rsid w:val="00247E1B"/>
    <w:rsid w:val="00250283"/>
    <w:rsid w:val="00250439"/>
    <w:rsid w:val="002505E4"/>
    <w:rsid w:val="002505E9"/>
    <w:rsid w:val="00250B22"/>
    <w:rsid w:val="00250C60"/>
    <w:rsid w:val="00250E46"/>
    <w:rsid w:val="00250E87"/>
    <w:rsid w:val="002513BD"/>
    <w:rsid w:val="002514E4"/>
    <w:rsid w:val="002519B1"/>
    <w:rsid w:val="00251B10"/>
    <w:rsid w:val="00251C8E"/>
    <w:rsid w:val="00251CE8"/>
    <w:rsid w:val="00251ED9"/>
    <w:rsid w:val="00252461"/>
    <w:rsid w:val="002525B0"/>
    <w:rsid w:val="00252C0F"/>
    <w:rsid w:val="00252D45"/>
    <w:rsid w:val="00252F10"/>
    <w:rsid w:val="002532CF"/>
    <w:rsid w:val="00253491"/>
    <w:rsid w:val="002534D6"/>
    <w:rsid w:val="002535BE"/>
    <w:rsid w:val="002535C9"/>
    <w:rsid w:val="002537B0"/>
    <w:rsid w:val="00253E71"/>
    <w:rsid w:val="0025402D"/>
    <w:rsid w:val="0025409A"/>
    <w:rsid w:val="002540D1"/>
    <w:rsid w:val="002541F1"/>
    <w:rsid w:val="00254371"/>
    <w:rsid w:val="002544DC"/>
    <w:rsid w:val="00254785"/>
    <w:rsid w:val="00254805"/>
    <w:rsid w:val="002548DB"/>
    <w:rsid w:val="002549AB"/>
    <w:rsid w:val="00254AC5"/>
    <w:rsid w:val="00254B61"/>
    <w:rsid w:val="00254B6F"/>
    <w:rsid w:val="00254E21"/>
    <w:rsid w:val="00254F86"/>
    <w:rsid w:val="00255236"/>
    <w:rsid w:val="002552C1"/>
    <w:rsid w:val="00255A80"/>
    <w:rsid w:val="00255B16"/>
    <w:rsid w:val="00255DB8"/>
    <w:rsid w:val="002560E9"/>
    <w:rsid w:val="002562FE"/>
    <w:rsid w:val="00256686"/>
    <w:rsid w:val="002568B3"/>
    <w:rsid w:val="00256CC8"/>
    <w:rsid w:val="00256E14"/>
    <w:rsid w:val="0025703F"/>
    <w:rsid w:val="00257305"/>
    <w:rsid w:val="00257585"/>
    <w:rsid w:val="00257B5F"/>
    <w:rsid w:val="00257C5B"/>
    <w:rsid w:val="00257E78"/>
    <w:rsid w:val="00260106"/>
    <w:rsid w:val="0026012F"/>
    <w:rsid w:val="00260250"/>
    <w:rsid w:val="002607F7"/>
    <w:rsid w:val="00261368"/>
    <w:rsid w:val="0026141D"/>
    <w:rsid w:val="002615D4"/>
    <w:rsid w:val="00261CAE"/>
    <w:rsid w:val="00261F17"/>
    <w:rsid w:val="00261FBE"/>
    <w:rsid w:val="002620C4"/>
    <w:rsid w:val="002622F4"/>
    <w:rsid w:val="00262469"/>
    <w:rsid w:val="002624C1"/>
    <w:rsid w:val="002624E9"/>
    <w:rsid w:val="0026255A"/>
    <w:rsid w:val="002625DD"/>
    <w:rsid w:val="00262E29"/>
    <w:rsid w:val="0026326B"/>
    <w:rsid w:val="002634ED"/>
    <w:rsid w:val="002637A0"/>
    <w:rsid w:val="00263BF8"/>
    <w:rsid w:val="00263D7F"/>
    <w:rsid w:val="00264086"/>
    <w:rsid w:val="002642CC"/>
    <w:rsid w:val="00264380"/>
    <w:rsid w:val="00264389"/>
    <w:rsid w:val="00264443"/>
    <w:rsid w:val="00264449"/>
    <w:rsid w:val="00264729"/>
    <w:rsid w:val="002647BF"/>
    <w:rsid w:val="00264807"/>
    <w:rsid w:val="00264A62"/>
    <w:rsid w:val="00264CA9"/>
    <w:rsid w:val="00265168"/>
    <w:rsid w:val="00265346"/>
    <w:rsid w:val="00265CD7"/>
    <w:rsid w:val="00266899"/>
    <w:rsid w:val="002672F3"/>
    <w:rsid w:val="00267B14"/>
    <w:rsid w:val="00270653"/>
    <w:rsid w:val="00270B6E"/>
    <w:rsid w:val="00270EBC"/>
    <w:rsid w:val="00271391"/>
    <w:rsid w:val="00271474"/>
    <w:rsid w:val="002716A8"/>
    <w:rsid w:val="0027174E"/>
    <w:rsid w:val="002718FA"/>
    <w:rsid w:val="00271A3F"/>
    <w:rsid w:val="00271C53"/>
    <w:rsid w:val="00271DBB"/>
    <w:rsid w:val="00271DEA"/>
    <w:rsid w:val="00271E79"/>
    <w:rsid w:val="002721A7"/>
    <w:rsid w:val="0027232E"/>
    <w:rsid w:val="00272438"/>
    <w:rsid w:val="00272511"/>
    <w:rsid w:val="0027283D"/>
    <w:rsid w:val="002729E2"/>
    <w:rsid w:val="00272B51"/>
    <w:rsid w:val="00272D06"/>
    <w:rsid w:val="00272F08"/>
    <w:rsid w:val="0027313D"/>
    <w:rsid w:val="00273412"/>
    <w:rsid w:val="002738C1"/>
    <w:rsid w:val="002738F2"/>
    <w:rsid w:val="00273B94"/>
    <w:rsid w:val="00273BCC"/>
    <w:rsid w:val="00273E34"/>
    <w:rsid w:val="00273F8B"/>
    <w:rsid w:val="00274562"/>
    <w:rsid w:val="00274606"/>
    <w:rsid w:val="002747F6"/>
    <w:rsid w:val="00274B47"/>
    <w:rsid w:val="002752CB"/>
    <w:rsid w:val="00275474"/>
    <w:rsid w:val="002755D3"/>
    <w:rsid w:val="00275BDD"/>
    <w:rsid w:val="00275E3E"/>
    <w:rsid w:val="00275ED7"/>
    <w:rsid w:val="00275FE5"/>
    <w:rsid w:val="0027663B"/>
    <w:rsid w:val="0027663E"/>
    <w:rsid w:val="002768CE"/>
    <w:rsid w:val="00276A50"/>
    <w:rsid w:val="00276CC8"/>
    <w:rsid w:val="00276E23"/>
    <w:rsid w:val="00277747"/>
    <w:rsid w:val="00277792"/>
    <w:rsid w:val="002777F7"/>
    <w:rsid w:val="0027786A"/>
    <w:rsid w:val="002778FD"/>
    <w:rsid w:val="00277C0D"/>
    <w:rsid w:val="00277E40"/>
    <w:rsid w:val="00280455"/>
    <w:rsid w:val="002804C5"/>
    <w:rsid w:val="0028065F"/>
    <w:rsid w:val="00280812"/>
    <w:rsid w:val="00280D4D"/>
    <w:rsid w:val="00280D84"/>
    <w:rsid w:val="002812F9"/>
    <w:rsid w:val="00281302"/>
    <w:rsid w:val="00281780"/>
    <w:rsid w:val="00281996"/>
    <w:rsid w:val="00282149"/>
    <w:rsid w:val="0028220C"/>
    <w:rsid w:val="002824EB"/>
    <w:rsid w:val="0028272C"/>
    <w:rsid w:val="0028276A"/>
    <w:rsid w:val="00282876"/>
    <w:rsid w:val="002829E9"/>
    <w:rsid w:val="00282C3D"/>
    <w:rsid w:val="00282C6A"/>
    <w:rsid w:val="00282C84"/>
    <w:rsid w:val="00282DCD"/>
    <w:rsid w:val="00282EDD"/>
    <w:rsid w:val="00282F7B"/>
    <w:rsid w:val="0028304F"/>
    <w:rsid w:val="00283088"/>
    <w:rsid w:val="002835AF"/>
    <w:rsid w:val="00283D4C"/>
    <w:rsid w:val="00284340"/>
    <w:rsid w:val="00284F46"/>
    <w:rsid w:val="0028551E"/>
    <w:rsid w:val="002855A1"/>
    <w:rsid w:val="0028572D"/>
    <w:rsid w:val="00285B3B"/>
    <w:rsid w:val="00286AC9"/>
    <w:rsid w:val="00286E35"/>
    <w:rsid w:val="00286FC7"/>
    <w:rsid w:val="002875C4"/>
    <w:rsid w:val="00287F49"/>
    <w:rsid w:val="00287FAE"/>
    <w:rsid w:val="002902B9"/>
    <w:rsid w:val="00290305"/>
    <w:rsid w:val="002904A5"/>
    <w:rsid w:val="002907F1"/>
    <w:rsid w:val="002909A8"/>
    <w:rsid w:val="00290A51"/>
    <w:rsid w:val="00290FD4"/>
    <w:rsid w:val="00291093"/>
    <w:rsid w:val="00291479"/>
    <w:rsid w:val="00291657"/>
    <w:rsid w:val="00291866"/>
    <w:rsid w:val="0029196C"/>
    <w:rsid w:val="002919F9"/>
    <w:rsid w:val="00292263"/>
    <w:rsid w:val="00292401"/>
    <w:rsid w:val="00292794"/>
    <w:rsid w:val="002929C4"/>
    <w:rsid w:val="00292A08"/>
    <w:rsid w:val="00292B2F"/>
    <w:rsid w:val="00292BAC"/>
    <w:rsid w:val="00292BF5"/>
    <w:rsid w:val="00292C8F"/>
    <w:rsid w:val="00292E11"/>
    <w:rsid w:val="002931CD"/>
    <w:rsid w:val="0029351D"/>
    <w:rsid w:val="00293781"/>
    <w:rsid w:val="00293A1A"/>
    <w:rsid w:val="00293D54"/>
    <w:rsid w:val="00293D8A"/>
    <w:rsid w:val="00293EAD"/>
    <w:rsid w:val="002941C1"/>
    <w:rsid w:val="0029456D"/>
    <w:rsid w:val="00294778"/>
    <w:rsid w:val="00294B3D"/>
    <w:rsid w:val="00294C04"/>
    <w:rsid w:val="002955CC"/>
    <w:rsid w:val="00295666"/>
    <w:rsid w:val="0029590F"/>
    <w:rsid w:val="00295C16"/>
    <w:rsid w:val="002968E3"/>
    <w:rsid w:val="00296ED8"/>
    <w:rsid w:val="00297085"/>
    <w:rsid w:val="002970EA"/>
    <w:rsid w:val="00297127"/>
    <w:rsid w:val="00297533"/>
    <w:rsid w:val="00297906"/>
    <w:rsid w:val="0029791A"/>
    <w:rsid w:val="00297A67"/>
    <w:rsid w:val="00297C4A"/>
    <w:rsid w:val="00297DD0"/>
    <w:rsid w:val="00297EA3"/>
    <w:rsid w:val="002A02A6"/>
    <w:rsid w:val="002A0734"/>
    <w:rsid w:val="002A0A78"/>
    <w:rsid w:val="002A0BB1"/>
    <w:rsid w:val="002A12BB"/>
    <w:rsid w:val="002A131A"/>
    <w:rsid w:val="002A1482"/>
    <w:rsid w:val="002A1643"/>
    <w:rsid w:val="002A182D"/>
    <w:rsid w:val="002A193E"/>
    <w:rsid w:val="002A218B"/>
    <w:rsid w:val="002A23F3"/>
    <w:rsid w:val="002A25E0"/>
    <w:rsid w:val="002A2607"/>
    <w:rsid w:val="002A2727"/>
    <w:rsid w:val="002A284A"/>
    <w:rsid w:val="002A2A9C"/>
    <w:rsid w:val="002A2AB4"/>
    <w:rsid w:val="002A323C"/>
    <w:rsid w:val="002A38EC"/>
    <w:rsid w:val="002A4391"/>
    <w:rsid w:val="002A445E"/>
    <w:rsid w:val="002A475D"/>
    <w:rsid w:val="002A4DDC"/>
    <w:rsid w:val="002A4EE4"/>
    <w:rsid w:val="002A4FBE"/>
    <w:rsid w:val="002A50CF"/>
    <w:rsid w:val="002A5194"/>
    <w:rsid w:val="002A578F"/>
    <w:rsid w:val="002A57B6"/>
    <w:rsid w:val="002A5926"/>
    <w:rsid w:val="002A5965"/>
    <w:rsid w:val="002A64A2"/>
    <w:rsid w:val="002A6862"/>
    <w:rsid w:val="002A6DFE"/>
    <w:rsid w:val="002A6E48"/>
    <w:rsid w:val="002A722A"/>
    <w:rsid w:val="002A74CF"/>
    <w:rsid w:val="002A75DA"/>
    <w:rsid w:val="002A7BCD"/>
    <w:rsid w:val="002B0309"/>
    <w:rsid w:val="002B03AE"/>
    <w:rsid w:val="002B04D5"/>
    <w:rsid w:val="002B0726"/>
    <w:rsid w:val="002B0E0D"/>
    <w:rsid w:val="002B0E4C"/>
    <w:rsid w:val="002B1459"/>
    <w:rsid w:val="002B1756"/>
    <w:rsid w:val="002B17CB"/>
    <w:rsid w:val="002B1AD7"/>
    <w:rsid w:val="002B2AB5"/>
    <w:rsid w:val="002B2C26"/>
    <w:rsid w:val="002B2C9E"/>
    <w:rsid w:val="002B2D23"/>
    <w:rsid w:val="002B2D43"/>
    <w:rsid w:val="002B3788"/>
    <w:rsid w:val="002B37BF"/>
    <w:rsid w:val="002B39CA"/>
    <w:rsid w:val="002B3C19"/>
    <w:rsid w:val="002B3E31"/>
    <w:rsid w:val="002B3ECE"/>
    <w:rsid w:val="002B4198"/>
    <w:rsid w:val="002B442F"/>
    <w:rsid w:val="002B4A40"/>
    <w:rsid w:val="002B4D90"/>
    <w:rsid w:val="002B50B1"/>
    <w:rsid w:val="002B5265"/>
    <w:rsid w:val="002B53BA"/>
    <w:rsid w:val="002B5476"/>
    <w:rsid w:val="002B56C0"/>
    <w:rsid w:val="002B5708"/>
    <w:rsid w:val="002B63FC"/>
    <w:rsid w:val="002B64A2"/>
    <w:rsid w:val="002B6D11"/>
    <w:rsid w:val="002B6F04"/>
    <w:rsid w:val="002B77CC"/>
    <w:rsid w:val="002B784D"/>
    <w:rsid w:val="002B7966"/>
    <w:rsid w:val="002B7A57"/>
    <w:rsid w:val="002B7D31"/>
    <w:rsid w:val="002C0200"/>
    <w:rsid w:val="002C02A8"/>
    <w:rsid w:val="002C0486"/>
    <w:rsid w:val="002C056C"/>
    <w:rsid w:val="002C09B0"/>
    <w:rsid w:val="002C0B2C"/>
    <w:rsid w:val="002C0E0A"/>
    <w:rsid w:val="002C0E72"/>
    <w:rsid w:val="002C1C1E"/>
    <w:rsid w:val="002C1E0C"/>
    <w:rsid w:val="002C1E4C"/>
    <w:rsid w:val="002C2793"/>
    <w:rsid w:val="002C2A8E"/>
    <w:rsid w:val="002C2E5E"/>
    <w:rsid w:val="002C305A"/>
    <w:rsid w:val="002C310A"/>
    <w:rsid w:val="002C3270"/>
    <w:rsid w:val="002C32D7"/>
    <w:rsid w:val="002C3C64"/>
    <w:rsid w:val="002C4216"/>
    <w:rsid w:val="002C4449"/>
    <w:rsid w:val="002C448C"/>
    <w:rsid w:val="002C491C"/>
    <w:rsid w:val="002C4B03"/>
    <w:rsid w:val="002C528D"/>
    <w:rsid w:val="002C5326"/>
    <w:rsid w:val="002C540C"/>
    <w:rsid w:val="002C5931"/>
    <w:rsid w:val="002C5E48"/>
    <w:rsid w:val="002C5E50"/>
    <w:rsid w:val="002C6577"/>
    <w:rsid w:val="002C6652"/>
    <w:rsid w:val="002C6680"/>
    <w:rsid w:val="002C677E"/>
    <w:rsid w:val="002C6E84"/>
    <w:rsid w:val="002C6FA5"/>
    <w:rsid w:val="002C778F"/>
    <w:rsid w:val="002C77A4"/>
    <w:rsid w:val="002C77A8"/>
    <w:rsid w:val="002C7A01"/>
    <w:rsid w:val="002C7BE1"/>
    <w:rsid w:val="002D002E"/>
    <w:rsid w:val="002D0318"/>
    <w:rsid w:val="002D07B5"/>
    <w:rsid w:val="002D0AFB"/>
    <w:rsid w:val="002D10AF"/>
    <w:rsid w:val="002D1483"/>
    <w:rsid w:val="002D16C1"/>
    <w:rsid w:val="002D1957"/>
    <w:rsid w:val="002D1999"/>
    <w:rsid w:val="002D1C82"/>
    <w:rsid w:val="002D1D75"/>
    <w:rsid w:val="002D1E38"/>
    <w:rsid w:val="002D1F14"/>
    <w:rsid w:val="002D219B"/>
    <w:rsid w:val="002D236C"/>
    <w:rsid w:val="002D2668"/>
    <w:rsid w:val="002D271E"/>
    <w:rsid w:val="002D2791"/>
    <w:rsid w:val="002D2AB9"/>
    <w:rsid w:val="002D2C34"/>
    <w:rsid w:val="002D2D27"/>
    <w:rsid w:val="002D3022"/>
    <w:rsid w:val="002D320D"/>
    <w:rsid w:val="002D3CC5"/>
    <w:rsid w:val="002D4033"/>
    <w:rsid w:val="002D4336"/>
    <w:rsid w:val="002D4585"/>
    <w:rsid w:val="002D4BC3"/>
    <w:rsid w:val="002D5021"/>
    <w:rsid w:val="002D5A3A"/>
    <w:rsid w:val="002D5F71"/>
    <w:rsid w:val="002D5FA1"/>
    <w:rsid w:val="002D6093"/>
    <w:rsid w:val="002D60D1"/>
    <w:rsid w:val="002D650A"/>
    <w:rsid w:val="002D65D5"/>
    <w:rsid w:val="002D689A"/>
    <w:rsid w:val="002D6CF7"/>
    <w:rsid w:val="002D6E70"/>
    <w:rsid w:val="002D6F5D"/>
    <w:rsid w:val="002D6F6F"/>
    <w:rsid w:val="002D7044"/>
    <w:rsid w:val="002D70B6"/>
    <w:rsid w:val="002D7A43"/>
    <w:rsid w:val="002E007B"/>
    <w:rsid w:val="002E0102"/>
    <w:rsid w:val="002E03B6"/>
    <w:rsid w:val="002E07F1"/>
    <w:rsid w:val="002E0DC7"/>
    <w:rsid w:val="002E0E3E"/>
    <w:rsid w:val="002E124C"/>
    <w:rsid w:val="002E16CD"/>
    <w:rsid w:val="002E211F"/>
    <w:rsid w:val="002E2273"/>
    <w:rsid w:val="002E230D"/>
    <w:rsid w:val="002E233B"/>
    <w:rsid w:val="002E2773"/>
    <w:rsid w:val="002E2788"/>
    <w:rsid w:val="002E27B4"/>
    <w:rsid w:val="002E292C"/>
    <w:rsid w:val="002E2B05"/>
    <w:rsid w:val="002E2BEE"/>
    <w:rsid w:val="002E2F8E"/>
    <w:rsid w:val="002E2FBE"/>
    <w:rsid w:val="002E32AF"/>
    <w:rsid w:val="002E384A"/>
    <w:rsid w:val="002E3C2D"/>
    <w:rsid w:val="002E494B"/>
    <w:rsid w:val="002E4970"/>
    <w:rsid w:val="002E4DBF"/>
    <w:rsid w:val="002E559F"/>
    <w:rsid w:val="002E55F5"/>
    <w:rsid w:val="002E5C8F"/>
    <w:rsid w:val="002E5F9E"/>
    <w:rsid w:val="002E618C"/>
    <w:rsid w:val="002E6352"/>
    <w:rsid w:val="002E6535"/>
    <w:rsid w:val="002E6545"/>
    <w:rsid w:val="002E683C"/>
    <w:rsid w:val="002E6D58"/>
    <w:rsid w:val="002E70EB"/>
    <w:rsid w:val="002E717A"/>
    <w:rsid w:val="002E7415"/>
    <w:rsid w:val="002E7707"/>
    <w:rsid w:val="002E7B9E"/>
    <w:rsid w:val="002F01EF"/>
    <w:rsid w:val="002F07D4"/>
    <w:rsid w:val="002F0B32"/>
    <w:rsid w:val="002F119A"/>
    <w:rsid w:val="002F1439"/>
    <w:rsid w:val="002F176A"/>
    <w:rsid w:val="002F19BB"/>
    <w:rsid w:val="002F1A91"/>
    <w:rsid w:val="002F1ED0"/>
    <w:rsid w:val="002F20BB"/>
    <w:rsid w:val="002F2453"/>
    <w:rsid w:val="002F292D"/>
    <w:rsid w:val="002F2999"/>
    <w:rsid w:val="002F2A67"/>
    <w:rsid w:val="002F2C21"/>
    <w:rsid w:val="002F2C90"/>
    <w:rsid w:val="002F3059"/>
    <w:rsid w:val="002F33FF"/>
    <w:rsid w:val="002F35EE"/>
    <w:rsid w:val="002F3BF9"/>
    <w:rsid w:val="002F3E9C"/>
    <w:rsid w:val="002F3EF2"/>
    <w:rsid w:val="002F4279"/>
    <w:rsid w:val="002F43DB"/>
    <w:rsid w:val="002F4886"/>
    <w:rsid w:val="002F488C"/>
    <w:rsid w:val="002F4957"/>
    <w:rsid w:val="002F5089"/>
    <w:rsid w:val="002F51E1"/>
    <w:rsid w:val="002F51ED"/>
    <w:rsid w:val="002F53C0"/>
    <w:rsid w:val="002F53F6"/>
    <w:rsid w:val="002F543F"/>
    <w:rsid w:val="002F55DF"/>
    <w:rsid w:val="002F6154"/>
    <w:rsid w:val="002F6300"/>
    <w:rsid w:val="002F645C"/>
    <w:rsid w:val="002F67A6"/>
    <w:rsid w:val="002F67AC"/>
    <w:rsid w:val="002F681A"/>
    <w:rsid w:val="002F6B86"/>
    <w:rsid w:val="002F6B9A"/>
    <w:rsid w:val="002F6ECF"/>
    <w:rsid w:val="002F71D5"/>
    <w:rsid w:val="002F7D34"/>
    <w:rsid w:val="002F7E05"/>
    <w:rsid w:val="003004AC"/>
    <w:rsid w:val="003005EB"/>
    <w:rsid w:val="003007C9"/>
    <w:rsid w:val="003008F1"/>
    <w:rsid w:val="00300920"/>
    <w:rsid w:val="00301120"/>
    <w:rsid w:val="00301138"/>
    <w:rsid w:val="00301220"/>
    <w:rsid w:val="00301593"/>
    <w:rsid w:val="00301750"/>
    <w:rsid w:val="00301B2A"/>
    <w:rsid w:val="00301DE3"/>
    <w:rsid w:val="00301EC9"/>
    <w:rsid w:val="00301F5C"/>
    <w:rsid w:val="00302442"/>
    <w:rsid w:val="003025E6"/>
    <w:rsid w:val="00302952"/>
    <w:rsid w:val="00302A58"/>
    <w:rsid w:val="00302ADF"/>
    <w:rsid w:val="00302D4C"/>
    <w:rsid w:val="00303011"/>
    <w:rsid w:val="00303031"/>
    <w:rsid w:val="003030ED"/>
    <w:rsid w:val="0030332F"/>
    <w:rsid w:val="003033B0"/>
    <w:rsid w:val="00303561"/>
    <w:rsid w:val="00303AF0"/>
    <w:rsid w:val="00303D1D"/>
    <w:rsid w:val="00303D24"/>
    <w:rsid w:val="00303EEF"/>
    <w:rsid w:val="00303F67"/>
    <w:rsid w:val="00303FA6"/>
    <w:rsid w:val="003042BC"/>
    <w:rsid w:val="003042C3"/>
    <w:rsid w:val="00305521"/>
    <w:rsid w:val="00305AA0"/>
    <w:rsid w:val="00306A0F"/>
    <w:rsid w:val="00306AD6"/>
    <w:rsid w:val="003071CC"/>
    <w:rsid w:val="00307303"/>
    <w:rsid w:val="00307338"/>
    <w:rsid w:val="00307353"/>
    <w:rsid w:val="00307E5E"/>
    <w:rsid w:val="00307EA3"/>
    <w:rsid w:val="00307F7D"/>
    <w:rsid w:val="0031040F"/>
    <w:rsid w:val="0031079E"/>
    <w:rsid w:val="00310856"/>
    <w:rsid w:val="00310AC0"/>
    <w:rsid w:val="00311298"/>
    <w:rsid w:val="003116D1"/>
    <w:rsid w:val="00311A18"/>
    <w:rsid w:val="00311BCE"/>
    <w:rsid w:val="00311D75"/>
    <w:rsid w:val="0031212A"/>
    <w:rsid w:val="003128FE"/>
    <w:rsid w:val="00313094"/>
    <w:rsid w:val="00313198"/>
    <w:rsid w:val="00313654"/>
    <w:rsid w:val="00313F6D"/>
    <w:rsid w:val="003140F0"/>
    <w:rsid w:val="0031412A"/>
    <w:rsid w:val="003143A6"/>
    <w:rsid w:val="00314510"/>
    <w:rsid w:val="0031460E"/>
    <w:rsid w:val="00314B1B"/>
    <w:rsid w:val="00314BDC"/>
    <w:rsid w:val="00314E15"/>
    <w:rsid w:val="003150CC"/>
    <w:rsid w:val="0031511A"/>
    <w:rsid w:val="003153A6"/>
    <w:rsid w:val="003154B6"/>
    <w:rsid w:val="003154DE"/>
    <w:rsid w:val="00315C08"/>
    <w:rsid w:val="00316ABD"/>
    <w:rsid w:val="003170A6"/>
    <w:rsid w:val="00317876"/>
    <w:rsid w:val="00317AE6"/>
    <w:rsid w:val="00317D16"/>
    <w:rsid w:val="00317F6E"/>
    <w:rsid w:val="003200D5"/>
    <w:rsid w:val="00320134"/>
    <w:rsid w:val="00320575"/>
    <w:rsid w:val="00320630"/>
    <w:rsid w:val="00320C5B"/>
    <w:rsid w:val="00320F81"/>
    <w:rsid w:val="0032101D"/>
    <w:rsid w:val="00321181"/>
    <w:rsid w:val="003214FE"/>
    <w:rsid w:val="00321567"/>
    <w:rsid w:val="00321974"/>
    <w:rsid w:val="003219DE"/>
    <w:rsid w:val="0032209E"/>
    <w:rsid w:val="00322294"/>
    <w:rsid w:val="00322320"/>
    <w:rsid w:val="00322996"/>
    <w:rsid w:val="00322FF9"/>
    <w:rsid w:val="003230BF"/>
    <w:rsid w:val="003230F1"/>
    <w:rsid w:val="0032313A"/>
    <w:rsid w:val="003232D5"/>
    <w:rsid w:val="00323744"/>
    <w:rsid w:val="003243C9"/>
    <w:rsid w:val="003243D0"/>
    <w:rsid w:val="003247B0"/>
    <w:rsid w:val="003248BA"/>
    <w:rsid w:val="003248EC"/>
    <w:rsid w:val="00324ACF"/>
    <w:rsid w:val="00324C7B"/>
    <w:rsid w:val="00325662"/>
    <w:rsid w:val="00325863"/>
    <w:rsid w:val="00325C17"/>
    <w:rsid w:val="00326400"/>
    <w:rsid w:val="003266B2"/>
    <w:rsid w:val="00326BD9"/>
    <w:rsid w:val="00326C78"/>
    <w:rsid w:val="00326EE8"/>
    <w:rsid w:val="00326FBA"/>
    <w:rsid w:val="00327541"/>
    <w:rsid w:val="00327587"/>
    <w:rsid w:val="003276C4"/>
    <w:rsid w:val="0032797E"/>
    <w:rsid w:val="00327987"/>
    <w:rsid w:val="0033074D"/>
    <w:rsid w:val="003309F5"/>
    <w:rsid w:val="00330B09"/>
    <w:rsid w:val="00331121"/>
    <w:rsid w:val="003312B1"/>
    <w:rsid w:val="003319F8"/>
    <w:rsid w:val="00331E1C"/>
    <w:rsid w:val="00331E85"/>
    <w:rsid w:val="0033204E"/>
    <w:rsid w:val="00332083"/>
    <w:rsid w:val="0033210D"/>
    <w:rsid w:val="00332163"/>
    <w:rsid w:val="00332404"/>
    <w:rsid w:val="0033289A"/>
    <w:rsid w:val="00332A82"/>
    <w:rsid w:val="00332B67"/>
    <w:rsid w:val="0033301F"/>
    <w:rsid w:val="0033311F"/>
    <w:rsid w:val="003336A6"/>
    <w:rsid w:val="003337A5"/>
    <w:rsid w:val="003338DC"/>
    <w:rsid w:val="00333951"/>
    <w:rsid w:val="00333D62"/>
    <w:rsid w:val="00333F29"/>
    <w:rsid w:val="00333FF5"/>
    <w:rsid w:val="0033409F"/>
    <w:rsid w:val="0033497D"/>
    <w:rsid w:val="00334C7B"/>
    <w:rsid w:val="003351B6"/>
    <w:rsid w:val="003354F6"/>
    <w:rsid w:val="00335579"/>
    <w:rsid w:val="003355C1"/>
    <w:rsid w:val="003357E0"/>
    <w:rsid w:val="003357F4"/>
    <w:rsid w:val="003359AA"/>
    <w:rsid w:val="003359E6"/>
    <w:rsid w:val="00335A70"/>
    <w:rsid w:val="00335D32"/>
    <w:rsid w:val="00335D35"/>
    <w:rsid w:val="00336450"/>
    <w:rsid w:val="0033678A"/>
    <w:rsid w:val="00336C2B"/>
    <w:rsid w:val="00336D01"/>
    <w:rsid w:val="003372E2"/>
    <w:rsid w:val="00337856"/>
    <w:rsid w:val="00337D40"/>
    <w:rsid w:val="00337E64"/>
    <w:rsid w:val="003401D9"/>
    <w:rsid w:val="00340763"/>
    <w:rsid w:val="00340936"/>
    <w:rsid w:val="00341612"/>
    <w:rsid w:val="003416BC"/>
    <w:rsid w:val="00341BC6"/>
    <w:rsid w:val="00341C3B"/>
    <w:rsid w:val="00341C77"/>
    <w:rsid w:val="00341DFC"/>
    <w:rsid w:val="00341F80"/>
    <w:rsid w:val="003422D1"/>
    <w:rsid w:val="003422F6"/>
    <w:rsid w:val="00342CA4"/>
    <w:rsid w:val="00342EA8"/>
    <w:rsid w:val="00343138"/>
    <w:rsid w:val="00343526"/>
    <w:rsid w:val="00343603"/>
    <w:rsid w:val="0034412F"/>
    <w:rsid w:val="00344455"/>
    <w:rsid w:val="003448E6"/>
    <w:rsid w:val="00344C0D"/>
    <w:rsid w:val="00344D99"/>
    <w:rsid w:val="00344E8B"/>
    <w:rsid w:val="003451D4"/>
    <w:rsid w:val="00345EFF"/>
    <w:rsid w:val="00346046"/>
    <w:rsid w:val="003462AF"/>
    <w:rsid w:val="00346391"/>
    <w:rsid w:val="00346858"/>
    <w:rsid w:val="003468A2"/>
    <w:rsid w:val="00346C62"/>
    <w:rsid w:val="0034790D"/>
    <w:rsid w:val="00347C0E"/>
    <w:rsid w:val="00347CB0"/>
    <w:rsid w:val="00347D5E"/>
    <w:rsid w:val="00347F03"/>
    <w:rsid w:val="0035004C"/>
    <w:rsid w:val="003508F1"/>
    <w:rsid w:val="003509DB"/>
    <w:rsid w:val="00350B6C"/>
    <w:rsid w:val="00350BE2"/>
    <w:rsid w:val="00350DCB"/>
    <w:rsid w:val="00350EF5"/>
    <w:rsid w:val="0035184D"/>
    <w:rsid w:val="003518C8"/>
    <w:rsid w:val="00351B1D"/>
    <w:rsid w:val="00351D63"/>
    <w:rsid w:val="00351D85"/>
    <w:rsid w:val="00351FAD"/>
    <w:rsid w:val="003521AD"/>
    <w:rsid w:val="00352262"/>
    <w:rsid w:val="00352495"/>
    <w:rsid w:val="00352525"/>
    <w:rsid w:val="00352862"/>
    <w:rsid w:val="003529BB"/>
    <w:rsid w:val="00352C38"/>
    <w:rsid w:val="00352D35"/>
    <w:rsid w:val="00352F0F"/>
    <w:rsid w:val="0035317F"/>
    <w:rsid w:val="00353828"/>
    <w:rsid w:val="00353948"/>
    <w:rsid w:val="00353CF5"/>
    <w:rsid w:val="00353F14"/>
    <w:rsid w:val="003541A5"/>
    <w:rsid w:val="00354592"/>
    <w:rsid w:val="003548AA"/>
    <w:rsid w:val="003549B2"/>
    <w:rsid w:val="00354A59"/>
    <w:rsid w:val="00354E76"/>
    <w:rsid w:val="003559D6"/>
    <w:rsid w:val="00355AA9"/>
    <w:rsid w:val="00355C92"/>
    <w:rsid w:val="00355D18"/>
    <w:rsid w:val="00355E40"/>
    <w:rsid w:val="00355E53"/>
    <w:rsid w:val="00356307"/>
    <w:rsid w:val="003563E1"/>
    <w:rsid w:val="0035666F"/>
    <w:rsid w:val="003566BA"/>
    <w:rsid w:val="00356729"/>
    <w:rsid w:val="003569D8"/>
    <w:rsid w:val="00356BE5"/>
    <w:rsid w:val="00356E66"/>
    <w:rsid w:val="003573F8"/>
    <w:rsid w:val="00357556"/>
    <w:rsid w:val="00360050"/>
    <w:rsid w:val="00360071"/>
    <w:rsid w:val="00360182"/>
    <w:rsid w:val="00360637"/>
    <w:rsid w:val="0036094D"/>
    <w:rsid w:val="00360ABB"/>
    <w:rsid w:val="00360C2F"/>
    <w:rsid w:val="00360CB6"/>
    <w:rsid w:val="00361071"/>
    <w:rsid w:val="003610C9"/>
    <w:rsid w:val="00361E5B"/>
    <w:rsid w:val="00362515"/>
    <w:rsid w:val="00362789"/>
    <w:rsid w:val="0036281F"/>
    <w:rsid w:val="003629C7"/>
    <w:rsid w:val="00362C9E"/>
    <w:rsid w:val="00362FFE"/>
    <w:rsid w:val="0036305E"/>
    <w:rsid w:val="0036327E"/>
    <w:rsid w:val="003634E8"/>
    <w:rsid w:val="003635A8"/>
    <w:rsid w:val="00363827"/>
    <w:rsid w:val="0036382E"/>
    <w:rsid w:val="003638B9"/>
    <w:rsid w:val="00363A04"/>
    <w:rsid w:val="00363BC2"/>
    <w:rsid w:val="00363C6E"/>
    <w:rsid w:val="0036442E"/>
    <w:rsid w:val="003644DA"/>
    <w:rsid w:val="003646BB"/>
    <w:rsid w:val="00364C0A"/>
    <w:rsid w:val="00364DC1"/>
    <w:rsid w:val="00365174"/>
    <w:rsid w:val="00365337"/>
    <w:rsid w:val="003657BD"/>
    <w:rsid w:val="0036582A"/>
    <w:rsid w:val="00365900"/>
    <w:rsid w:val="00365C87"/>
    <w:rsid w:val="003662B1"/>
    <w:rsid w:val="003666B2"/>
    <w:rsid w:val="00366E29"/>
    <w:rsid w:val="0036739C"/>
    <w:rsid w:val="00367881"/>
    <w:rsid w:val="00367BA3"/>
    <w:rsid w:val="00367BE5"/>
    <w:rsid w:val="00367C9C"/>
    <w:rsid w:val="003701CE"/>
    <w:rsid w:val="00370D25"/>
    <w:rsid w:val="00370D55"/>
    <w:rsid w:val="00370E0E"/>
    <w:rsid w:val="0037111F"/>
    <w:rsid w:val="00371157"/>
    <w:rsid w:val="003711A9"/>
    <w:rsid w:val="0037165E"/>
    <w:rsid w:val="003716F2"/>
    <w:rsid w:val="00371993"/>
    <w:rsid w:val="00371DDC"/>
    <w:rsid w:val="00371F54"/>
    <w:rsid w:val="003722CB"/>
    <w:rsid w:val="003722D6"/>
    <w:rsid w:val="0037301E"/>
    <w:rsid w:val="00373477"/>
    <w:rsid w:val="0037361A"/>
    <w:rsid w:val="003736B4"/>
    <w:rsid w:val="0037372A"/>
    <w:rsid w:val="00373A3B"/>
    <w:rsid w:val="0037454A"/>
    <w:rsid w:val="003745A9"/>
    <w:rsid w:val="003745D5"/>
    <w:rsid w:val="003748F9"/>
    <w:rsid w:val="00374B89"/>
    <w:rsid w:val="00375271"/>
    <w:rsid w:val="003754A9"/>
    <w:rsid w:val="003754D0"/>
    <w:rsid w:val="00375C10"/>
    <w:rsid w:val="003765FC"/>
    <w:rsid w:val="00376BFC"/>
    <w:rsid w:val="00377249"/>
    <w:rsid w:val="00377280"/>
    <w:rsid w:val="0037798C"/>
    <w:rsid w:val="00377AD7"/>
    <w:rsid w:val="00377ED1"/>
    <w:rsid w:val="0038016F"/>
    <w:rsid w:val="00380377"/>
    <w:rsid w:val="003803D1"/>
    <w:rsid w:val="0038099B"/>
    <w:rsid w:val="00380DC2"/>
    <w:rsid w:val="00380DF8"/>
    <w:rsid w:val="00380EEC"/>
    <w:rsid w:val="00381135"/>
    <w:rsid w:val="0038172A"/>
    <w:rsid w:val="0038186A"/>
    <w:rsid w:val="003820B2"/>
    <w:rsid w:val="003823EA"/>
    <w:rsid w:val="003828BB"/>
    <w:rsid w:val="003829B4"/>
    <w:rsid w:val="00382C48"/>
    <w:rsid w:val="00382D2A"/>
    <w:rsid w:val="00383080"/>
    <w:rsid w:val="00383278"/>
    <w:rsid w:val="0038337D"/>
    <w:rsid w:val="00383731"/>
    <w:rsid w:val="0038383A"/>
    <w:rsid w:val="00383D45"/>
    <w:rsid w:val="00383DCA"/>
    <w:rsid w:val="00384176"/>
    <w:rsid w:val="003841C2"/>
    <w:rsid w:val="003846E8"/>
    <w:rsid w:val="0038495C"/>
    <w:rsid w:val="00384A7D"/>
    <w:rsid w:val="00384A8B"/>
    <w:rsid w:val="00384B64"/>
    <w:rsid w:val="00384BC5"/>
    <w:rsid w:val="00384BFD"/>
    <w:rsid w:val="00384EE4"/>
    <w:rsid w:val="00384F33"/>
    <w:rsid w:val="0038529E"/>
    <w:rsid w:val="00385349"/>
    <w:rsid w:val="003856DB"/>
    <w:rsid w:val="00385943"/>
    <w:rsid w:val="00385C5A"/>
    <w:rsid w:val="00385DA0"/>
    <w:rsid w:val="00385EDD"/>
    <w:rsid w:val="00385F0B"/>
    <w:rsid w:val="00386333"/>
    <w:rsid w:val="00386841"/>
    <w:rsid w:val="00386C9B"/>
    <w:rsid w:val="00386EA4"/>
    <w:rsid w:val="00386FC8"/>
    <w:rsid w:val="00387089"/>
    <w:rsid w:val="00387209"/>
    <w:rsid w:val="00387446"/>
    <w:rsid w:val="003874B7"/>
    <w:rsid w:val="00387D75"/>
    <w:rsid w:val="00387FE6"/>
    <w:rsid w:val="00390337"/>
    <w:rsid w:val="003903FD"/>
    <w:rsid w:val="00390896"/>
    <w:rsid w:val="00390A67"/>
    <w:rsid w:val="00390AC3"/>
    <w:rsid w:val="00390FBF"/>
    <w:rsid w:val="0039139D"/>
    <w:rsid w:val="003913EA"/>
    <w:rsid w:val="003914FC"/>
    <w:rsid w:val="00391738"/>
    <w:rsid w:val="0039183F"/>
    <w:rsid w:val="00391CD8"/>
    <w:rsid w:val="00391D12"/>
    <w:rsid w:val="00391E55"/>
    <w:rsid w:val="00392268"/>
    <w:rsid w:val="003922FE"/>
    <w:rsid w:val="00392446"/>
    <w:rsid w:val="00392D57"/>
    <w:rsid w:val="00392E15"/>
    <w:rsid w:val="00393058"/>
    <w:rsid w:val="0039356C"/>
    <w:rsid w:val="00393776"/>
    <w:rsid w:val="00393F7C"/>
    <w:rsid w:val="003943EA"/>
    <w:rsid w:val="003944E9"/>
    <w:rsid w:val="00394612"/>
    <w:rsid w:val="0039499C"/>
    <w:rsid w:val="00394EBF"/>
    <w:rsid w:val="00395065"/>
    <w:rsid w:val="003954BC"/>
    <w:rsid w:val="00395587"/>
    <w:rsid w:val="00395AA0"/>
    <w:rsid w:val="00395AB3"/>
    <w:rsid w:val="00395BB8"/>
    <w:rsid w:val="00397234"/>
    <w:rsid w:val="003972E0"/>
    <w:rsid w:val="00397626"/>
    <w:rsid w:val="00397DAB"/>
    <w:rsid w:val="003A0300"/>
    <w:rsid w:val="003A050B"/>
    <w:rsid w:val="003A0519"/>
    <w:rsid w:val="003A0527"/>
    <w:rsid w:val="003A149E"/>
    <w:rsid w:val="003A14A5"/>
    <w:rsid w:val="003A14D3"/>
    <w:rsid w:val="003A1616"/>
    <w:rsid w:val="003A1913"/>
    <w:rsid w:val="003A1A0A"/>
    <w:rsid w:val="003A1B19"/>
    <w:rsid w:val="003A1BF1"/>
    <w:rsid w:val="003A1EB7"/>
    <w:rsid w:val="003A2199"/>
    <w:rsid w:val="003A2B09"/>
    <w:rsid w:val="003A2D29"/>
    <w:rsid w:val="003A31B3"/>
    <w:rsid w:val="003A35AD"/>
    <w:rsid w:val="003A3ABD"/>
    <w:rsid w:val="003A3D3A"/>
    <w:rsid w:val="003A47A4"/>
    <w:rsid w:val="003A493D"/>
    <w:rsid w:val="003A5218"/>
    <w:rsid w:val="003A5277"/>
    <w:rsid w:val="003A53BA"/>
    <w:rsid w:val="003A543A"/>
    <w:rsid w:val="003A551D"/>
    <w:rsid w:val="003A597D"/>
    <w:rsid w:val="003A59DE"/>
    <w:rsid w:val="003A64B6"/>
    <w:rsid w:val="003A6954"/>
    <w:rsid w:val="003A6A1F"/>
    <w:rsid w:val="003A6C2F"/>
    <w:rsid w:val="003A70E6"/>
    <w:rsid w:val="003A7377"/>
    <w:rsid w:val="003A7393"/>
    <w:rsid w:val="003A78C5"/>
    <w:rsid w:val="003A790C"/>
    <w:rsid w:val="003A7A0C"/>
    <w:rsid w:val="003A7BC1"/>
    <w:rsid w:val="003A7CBD"/>
    <w:rsid w:val="003B0E65"/>
    <w:rsid w:val="003B0FE1"/>
    <w:rsid w:val="003B13DD"/>
    <w:rsid w:val="003B1700"/>
    <w:rsid w:val="003B1BBF"/>
    <w:rsid w:val="003B1F12"/>
    <w:rsid w:val="003B1FF4"/>
    <w:rsid w:val="003B2059"/>
    <w:rsid w:val="003B2774"/>
    <w:rsid w:val="003B2CD0"/>
    <w:rsid w:val="003B2EEE"/>
    <w:rsid w:val="003B2FC3"/>
    <w:rsid w:val="003B3008"/>
    <w:rsid w:val="003B3E5D"/>
    <w:rsid w:val="003B3F34"/>
    <w:rsid w:val="003B3F7E"/>
    <w:rsid w:val="003B418D"/>
    <w:rsid w:val="003B4190"/>
    <w:rsid w:val="003B474B"/>
    <w:rsid w:val="003B4BCF"/>
    <w:rsid w:val="003B4CCC"/>
    <w:rsid w:val="003B4F1F"/>
    <w:rsid w:val="003B51EE"/>
    <w:rsid w:val="003B524B"/>
    <w:rsid w:val="003B55B0"/>
    <w:rsid w:val="003B55BD"/>
    <w:rsid w:val="003B5B97"/>
    <w:rsid w:val="003B5C41"/>
    <w:rsid w:val="003B68AA"/>
    <w:rsid w:val="003B69B2"/>
    <w:rsid w:val="003B6B1D"/>
    <w:rsid w:val="003B6D2C"/>
    <w:rsid w:val="003B6D9B"/>
    <w:rsid w:val="003B704E"/>
    <w:rsid w:val="003B71CC"/>
    <w:rsid w:val="003B7A6E"/>
    <w:rsid w:val="003B7D6D"/>
    <w:rsid w:val="003C0470"/>
    <w:rsid w:val="003C052B"/>
    <w:rsid w:val="003C084A"/>
    <w:rsid w:val="003C128A"/>
    <w:rsid w:val="003C12A6"/>
    <w:rsid w:val="003C132D"/>
    <w:rsid w:val="003C13CC"/>
    <w:rsid w:val="003C144B"/>
    <w:rsid w:val="003C169D"/>
    <w:rsid w:val="003C1C63"/>
    <w:rsid w:val="003C1DA0"/>
    <w:rsid w:val="003C1E3A"/>
    <w:rsid w:val="003C21A6"/>
    <w:rsid w:val="003C2330"/>
    <w:rsid w:val="003C25FB"/>
    <w:rsid w:val="003C260A"/>
    <w:rsid w:val="003C2D1F"/>
    <w:rsid w:val="003C2EC6"/>
    <w:rsid w:val="003C30EC"/>
    <w:rsid w:val="003C37AE"/>
    <w:rsid w:val="003C3CF4"/>
    <w:rsid w:val="003C3EC4"/>
    <w:rsid w:val="003C3F78"/>
    <w:rsid w:val="003C4F50"/>
    <w:rsid w:val="003C5101"/>
    <w:rsid w:val="003C52C5"/>
    <w:rsid w:val="003C5532"/>
    <w:rsid w:val="003C5842"/>
    <w:rsid w:val="003C594B"/>
    <w:rsid w:val="003C5B4B"/>
    <w:rsid w:val="003C5CBD"/>
    <w:rsid w:val="003C5EDE"/>
    <w:rsid w:val="003C6486"/>
    <w:rsid w:val="003C67A3"/>
    <w:rsid w:val="003C6997"/>
    <w:rsid w:val="003C6B41"/>
    <w:rsid w:val="003C6B69"/>
    <w:rsid w:val="003C6C73"/>
    <w:rsid w:val="003C6F9A"/>
    <w:rsid w:val="003C798B"/>
    <w:rsid w:val="003C7A26"/>
    <w:rsid w:val="003C7A62"/>
    <w:rsid w:val="003C7E73"/>
    <w:rsid w:val="003D1103"/>
    <w:rsid w:val="003D11E6"/>
    <w:rsid w:val="003D19BF"/>
    <w:rsid w:val="003D1DF7"/>
    <w:rsid w:val="003D2097"/>
    <w:rsid w:val="003D28A1"/>
    <w:rsid w:val="003D3030"/>
    <w:rsid w:val="003D32A5"/>
    <w:rsid w:val="003D3BDC"/>
    <w:rsid w:val="003D3C2A"/>
    <w:rsid w:val="003D3DD8"/>
    <w:rsid w:val="003D3E74"/>
    <w:rsid w:val="003D3FD2"/>
    <w:rsid w:val="003D4180"/>
    <w:rsid w:val="003D4309"/>
    <w:rsid w:val="003D4593"/>
    <w:rsid w:val="003D4CD5"/>
    <w:rsid w:val="003D4DC3"/>
    <w:rsid w:val="003D52F6"/>
    <w:rsid w:val="003D558C"/>
    <w:rsid w:val="003D59B6"/>
    <w:rsid w:val="003D5A51"/>
    <w:rsid w:val="003D5C2A"/>
    <w:rsid w:val="003D5D76"/>
    <w:rsid w:val="003D6412"/>
    <w:rsid w:val="003D648D"/>
    <w:rsid w:val="003D6993"/>
    <w:rsid w:val="003D69EA"/>
    <w:rsid w:val="003D6B90"/>
    <w:rsid w:val="003D6D6F"/>
    <w:rsid w:val="003D6DF4"/>
    <w:rsid w:val="003D6E82"/>
    <w:rsid w:val="003D705E"/>
    <w:rsid w:val="003D7071"/>
    <w:rsid w:val="003D78C6"/>
    <w:rsid w:val="003D7945"/>
    <w:rsid w:val="003D7A1F"/>
    <w:rsid w:val="003D7C36"/>
    <w:rsid w:val="003D7FE0"/>
    <w:rsid w:val="003E058C"/>
    <w:rsid w:val="003E0791"/>
    <w:rsid w:val="003E12E6"/>
    <w:rsid w:val="003E163A"/>
    <w:rsid w:val="003E1BDB"/>
    <w:rsid w:val="003E2983"/>
    <w:rsid w:val="003E2BC6"/>
    <w:rsid w:val="003E2C26"/>
    <w:rsid w:val="003E3BD5"/>
    <w:rsid w:val="003E3FE9"/>
    <w:rsid w:val="003E418C"/>
    <w:rsid w:val="003E45D9"/>
    <w:rsid w:val="003E4882"/>
    <w:rsid w:val="003E48F8"/>
    <w:rsid w:val="003E4F78"/>
    <w:rsid w:val="003E53B5"/>
    <w:rsid w:val="003E55C6"/>
    <w:rsid w:val="003E58E6"/>
    <w:rsid w:val="003E5A7D"/>
    <w:rsid w:val="003E6179"/>
    <w:rsid w:val="003E622C"/>
    <w:rsid w:val="003E627E"/>
    <w:rsid w:val="003E66EB"/>
    <w:rsid w:val="003E6DE0"/>
    <w:rsid w:val="003E7326"/>
    <w:rsid w:val="003E7670"/>
    <w:rsid w:val="003E7AED"/>
    <w:rsid w:val="003E7BC6"/>
    <w:rsid w:val="003F008B"/>
    <w:rsid w:val="003F01C5"/>
    <w:rsid w:val="003F0298"/>
    <w:rsid w:val="003F0582"/>
    <w:rsid w:val="003F0FAF"/>
    <w:rsid w:val="003F11F6"/>
    <w:rsid w:val="003F1510"/>
    <w:rsid w:val="003F18DA"/>
    <w:rsid w:val="003F1949"/>
    <w:rsid w:val="003F1B63"/>
    <w:rsid w:val="003F1E9B"/>
    <w:rsid w:val="003F1FB5"/>
    <w:rsid w:val="003F211A"/>
    <w:rsid w:val="003F21EE"/>
    <w:rsid w:val="003F25DE"/>
    <w:rsid w:val="003F2867"/>
    <w:rsid w:val="003F28DE"/>
    <w:rsid w:val="003F2EB1"/>
    <w:rsid w:val="003F2FF4"/>
    <w:rsid w:val="003F38DA"/>
    <w:rsid w:val="003F3B72"/>
    <w:rsid w:val="003F3B97"/>
    <w:rsid w:val="003F3EA4"/>
    <w:rsid w:val="003F3FDF"/>
    <w:rsid w:val="003F55AB"/>
    <w:rsid w:val="003F55C2"/>
    <w:rsid w:val="003F5960"/>
    <w:rsid w:val="003F5F9A"/>
    <w:rsid w:val="003F61FA"/>
    <w:rsid w:val="003F6227"/>
    <w:rsid w:val="003F6432"/>
    <w:rsid w:val="003F658C"/>
    <w:rsid w:val="003F67D2"/>
    <w:rsid w:val="003F696E"/>
    <w:rsid w:val="003F6ADE"/>
    <w:rsid w:val="003F6C4F"/>
    <w:rsid w:val="003F6F37"/>
    <w:rsid w:val="003F6F47"/>
    <w:rsid w:val="003F7721"/>
    <w:rsid w:val="003F7844"/>
    <w:rsid w:val="003F7D12"/>
    <w:rsid w:val="004001D0"/>
    <w:rsid w:val="004003A8"/>
    <w:rsid w:val="004003D2"/>
    <w:rsid w:val="00401540"/>
    <w:rsid w:val="00401996"/>
    <w:rsid w:val="00401CC2"/>
    <w:rsid w:val="004024C0"/>
    <w:rsid w:val="004029E6"/>
    <w:rsid w:val="00402CA6"/>
    <w:rsid w:val="00402F23"/>
    <w:rsid w:val="00403105"/>
    <w:rsid w:val="0040373B"/>
    <w:rsid w:val="0040383E"/>
    <w:rsid w:val="00403862"/>
    <w:rsid w:val="00403C07"/>
    <w:rsid w:val="00403E0F"/>
    <w:rsid w:val="00403EB3"/>
    <w:rsid w:val="00404051"/>
    <w:rsid w:val="004041A3"/>
    <w:rsid w:val="0040442D"/>
    <w:rsid w:val="004046C7"/>
    <w:rsid w:val="004048C9"/>
    <w:rsid w:val="00404A34"/>
    <w:rsid w:val="00404EE8"/>
    <w:rsid w:val="00404EF0"/>
    <w:rsid w:val="00404FC0"/>
    <w:rsid w:val="004051FF"/>
    <w:rsid w:val="00405400"/>
    <w:rsid w:val="0040561D"/>
    <w:rsid w:val="004057EE"/>
    <w:rsid w:val="004059AD"/>
    <w:rsid w:val="00405FD0"/>
    <w:rsid w:val="00406174"/>
    <w:rsid w:val="004063C6"/>
    <w:rsid w:val="00406634"/>
    <w:rsid w:val="00406885"/>
    <w:rsid w:val="00406C7B"/>
    <w:rsid w:val="00406F25"/>
    <w:rsid w:val="0040709C"/>
    <w:rsid w:val="004071DD"/>
    <w:rsid w:val="0040731C"/>
    <w:rsid w:val="00407A6A"/>
    <w:rsid w:val="00410556"/>
    <w:rsid w:val="004107ED"/>
    <w:rsid w:val="00410AE2"/>
    <w:rsid w:val="00410B07"/>
    <w:rsid w:val="00410BAC"/>
    <w:rsid w:val="00410EE6"/>
    <w:rsid w:val="00410F69"/>
    <w:rsid w:val="0041103A"/>
    <w:rsid w:val="0041130D"/>
    <w:rsid w:val="004114CE"/>
    <w:rsid w:val="004115DD"/>
    <w:rsid w:val="004117F7"/>
    <w:rsid w:val="00411B20"/>
    <w:rsid w:val="00411C8B"/>
    <w:rsid w:val="00412021"/>
    <w:rsid w:val="00412562"/>
    <w:rsid w:val="0041258C"/>
    <w:rsid w:val="004129E4"/>
    <w:rsid w:val="00412B4A"/>
    <w:rsid w:val="00412C9B"/>
    <w:rsid w:val="00412E49"/>
    <w:rsid w:val="00413452"/>
    <w:rsid w:val="00413A27"/>
    <w:rsid w:val="00413B6A"/>
    <w:rsid w:val="00413BDF"/>
    <w:rsid w:val="00413DD0"/>
    <w:rsid w:val="0041427E"/>
    <w:rsid w:val="004145CF"/>
    <w:rsid w:val="004147B3"/>
    <w:rsid w:val="00414EA9"/>
    <w:rsid w:val="004150EC"/>
    <w:rsid w:val="00415AA0"/>
    <w:rsid w:val="00415C85"/>
    <w:rsid w:val="00415EEC"/>
    <w:rsid w:val="00416180"/>
    <w:rsid w:val="0041639F"/>
    <w:rsid w:val="00416A06"/>
    <w:rsid w:val="004170FD"/>
    <w:rsid w:val="00417DF5"/>
    <w:rsid w:val="004200E5"/>
    <w:rsid w:val="0042032F"/>
    <w:rsid w:val="004214FB"/>
    <w:rsid w:val="0042158D"/>
    <w:rsid w:val="00422996"/>
    <w:rsid w:val="004230A7"/>
    <w:rsid w:val="0042315D"/>
    <w:rsid w:val="0042354C"/>
    <w:rsid w:val="00423A67"/>
    <w:rsid w:val="00424223"/>
    <w:rsid w:val="0042445C"/>
    <w:rsid w:val="00424926"/>
    <w:rsid w:val="00424A9F"/>
    <w:rsid w:val="00424C20"/>
    <w:rsid w:val="00425039"/>
    <w:rsid w:val="004253B3"/>
    <w:rsid w:val="00425710"/>
    <w:rsid w:val="00425804"/>
    <w:rsid w:val="00425A55"/>
    <w:rsid w:val="00425D28"/>
    <w:rsid w:val="00425F39"/>
    <w:rsid w:val="0042617D"/>
    <w:rsid w:val="004267A1"/>
    <w:rsid w:val="004267A9"/>
    <w:rsid w:val="004267DA"/>
    <w:rsid w:val="00426927"/>
    <w:rsid w:val="00426C2C"/>
    <w:rsid w:val="00426D09"/>
    <w:rsid w:val="00426E65"/>
    <w:rsid w:val="00426E81"/>
    <w:rsid w:val="00427249"/>
    <w:rsid w:val="00427451"/>
    <w:rsid w:val="004274E0"/>
    <w:rsid w:val="00427578"/>
    <w:rsid w:val="0042773F"/>
    <w:rsid w:val="00427988"/>
    <w:rsid w:val="00427A88"/>
    <w:rsid w:val="00427EFD"/>
    <w:rsid w:val="004301D4"/>
    <w:rsid w:val="00430499"/>
    <w:rsid w:val="00430634"/>
    <w:rsid w:val="004306EB"/>
    <w:rsid w:val="004306FC"/>
    <w:rsid w:val="00430AD9"/>
    <w:rsid w:val="00430B87"/>
    <w:rsid w:val="00430BE8"/>
    <w:rsid w:val="00430FB1"/>
    <w:rsid w:val="004312D8"/>
    <w:rsid w:val="004320DF"/>
    <w:rsid w:val="00432248"/>
    <w:rsid w:val="004322F9"/>
    <w:rsid w:val="00432A2A"/>
    <w:rsid w:val="00433337"/>
    <w:rsid w:val="004335E8"/>
    <w:rsid w:val="00433A21"/>
    <w:rsid w:val="00433B80"/>
    <w:rsid w:val="00433D99"/>
    <w:rsid w:val="0043405E"/>
    <w:rsid w:val="0043478A"/>
    <w:rsid w:val="00435880"/>
    <w:rsid w:val="00435C6A"/>
    <w:rsid w:val="00435E7A"/>
    <w:rsid w:val="00435F45"/>
    <w:rsid w:val="00435F96"/>
    <w:rsid w:val="00436288"/>
    <w:rsid w:val="004365EE"/>
    <w:rsid w:val="00436CA8"/>
    <w:rsid w:val="00436DB3"/>
    <w:rsid w:val="00436E79"/>
    <w:rsid w:val="00436E9F"/>
    <w:rsid w:val="00436FA8"/>
    <w:rsid w:val="004371CA"/>
    <w:rsid w:val="004372A9"/>
    <w:rsid w:val="0043794E"/>
    <w:rsid w:val="00437D0F"/>
    <w:rsid w:val="00437F20"/>
    <w:rsid w:val="004402C6"/>
    <w:rsid w:val="00440906"/>
    <w:rsid w:val="00440A95"/>
    <w:rsid w:val="00440E63"/>
    <w:rsid w:val="00441478"/>
    <w:rsid w:val="00441A09"/>
    <w:rsid w:val="004425EB"/>
    <w:rsid w:val="00442FBC"/>
    <w:rsid w:val="00443071"/>
    <w:rsid w:val="00443A69"/>
    <w:rsid w:val="00443D0F"/>
    <w:rsid w:val="00443F47"/>
    <w:rsid w:val="00444131"/>
    <w:rsid w:val="0044447D"/>
    <w:rsid w:val="00444613"/>
    <w:rsid w:val="00444930"/>
    <w:rsid w:val="004449E6"/>
    <w:rsid w:val="00444A34"/>
    <w:rsid w:val="00444EF4"/>
    <w:rsid w:val="00444FF1"/>
    <w:rsid w:val="00445238"/>
    <w:rsid w:val="00445543"/>
    <w:rsid w:val="00445892"/>
    <w:rsid w:val="004458FB"/>
    <w:rsid w:val="00445CD4"/>
    <w:rsid w:val="00445DD6"/>
    <w:rsid w:val="004464DC"/>
    <w:rsid w:val="00446549"/>
    <w:rsid w:val="00446591"/>
    <w:rsid w:val="00446659"/>
    <w:rsid w:val="004466D5"/>
    <w:rsid w:val="00446B13"/>
    <w:rsid w:val="00446CFC"/>
    <w:rsid w:val="00447AD5"/>
    <w:rsid w:val="00447E0C"/>
    <w:rsid w:val="004503F4"/>
    <w:rsid w:val="0045050B"/>
    <w:rsid w:val="00450DF7"/>
    <w:rsid w:val="00450DFA"/>
    <w:rsid w:val="00450F62"/>
    <w:rsid w:val="00451571"/>
    <w:rsid w:val="004515ED"/>
    <w:rsid w:val="0045169E"/>
    <w:rsid w:val="0045191B"/>
    <w:rsid w:val="00451D26"/>
    <w:rsid w:val="00451DE1"/>
    <w:rsid w:val="00451E49"/>
    <w:rsid w:val="00452224"/>
    <w:rsid w:val="0045222C"/>
    <w:rsid w:val="00452439"/>
    <w:rsid w:val="00452503"/>
    <w:rsid w:val="00452685"/>
    <w:rsid w:val="00452F31"/>
    <w:rsid w:val="00453B02"/>
    <w:rsid w:val="00453E6A"/>
    <w:rsid w:val="0045426E"/>
    <w:rsid w:val="0045435D"/>
    <w:rsid w:val="0045460F"/>
    <w:rsid w:val="004546BF"/>
    <w:rsid w:val="004546DA"/>
    <w:rsid w:val="0045480C"/>
    <w:rsid w:val="00455109"/>
    <w:rsid w:val="00455466"/>
    <w:rsid w:val="00455C43"/>
    <w:rsid w:val="00455EA5"/>
    <w:rsid w:val="00455F33"/>
    <w:rsid w:val="004560DB"/>
    <w:rsid w:val="00456D56"/>
    <w:rsid w:val="00456D7B"/>
    <w:rsid w:val="004575AF"/>
    <w:rsid w:val="00457651"/>
    <w:rsid w:val="004576DC"/>
    <w:rsid w:val="004577C8"/>
    <w:rsid w:val="004577FE"/>
    <w:rsid w:val="00460001"/>
    <w:rsid w:val="00460329"/>
    <w:rsid w:val="004609F7"/>
    <w:rsid w:val="00460A9A"/>
    <w:rsid w:val="00461190"/>
    <w:rsid w:val="00461644"/>
    <w:rsid w:val="00461803"/>
    <w:rsid w:val="00461987"/>
    <w:rsid w:val="00461E0F"/>
    <w:rsid w:val="00461F61"/>
    <w:rsid w:val="004620E3"/>
    <w:rsid w:val="00462186"/>
    <w:rsid w:val="004626FE"/>
    <w:rsid w:val="00462842"/>
    <w:rsid w:val="004629A4"/>
    <w:rsid w:val="00462B07"/>
    <w:rsid w:val="00462EF7"/>
    <w:rsid w:val="00463069"/>
    <w:rsid w:val="0046309F"/>
    <w:rsid w:val="004632C9"/>
    <w:rsid w:val="00463AA1"/>
    <w:rsid w:val="00463AD8"/>
    <w:rsid w:val="00463DAF"/>
    <w:rsid w:val="00464019"/>
    <w:rsid w:val="004642CC"/>
    <w:rsid w:val="0046447E"/>
    <w:rsid w:val="004645B2"/>
    <w:rsid w:val="00464905"/>
    <w:rsid w:val="00464932"/>
    <w:rsid w:val="00464A91"/>
    <w:rsid w:val="00464B29"/>
    <w:rsid w:val="00464CD9"/>
    <w:rsid w:val="00464F70"/>
    <w:rsid w:val="00465261"/>
    <w:rsid w:val="00465789"/>
    <w:rsid w:val="004657C3"/>
    <w:rsid w:val="004658A0"/>
    <w:rsid w:val="00465A25"/>
    <w:rsid w:val="00465A6C"/>
    <w:rsid w:val="00465FFC"/>
    <w:rsid w:val="004660A0"/>
    <w:rsid w:val="004663DC"/>
    <w:rsid w:val="0046654E"/>
    <w:rsid w:val="00466948"/>
    <w:rsid w:val="00466B8E"/>
    <w:rsid w:val="00467150"/>
    <w:rsid w:val="00467157"/>
    <w:rsid w:val="0046720B"/>
    <w:rsid w:val="0046787B"/>
    <w:rsid w:val="004678E3"/>
    <w:rsid w:val="00467A50"/>
    <w:rsid w:val="00467B6A"/>
    <w:rsid w:val="00467C09"/>
    <w:rsid w:val="00467DC3"/>
    <w:rsid w:val="00467FA1"/>
    <w:rsid w:val="0047039B"/>
    <w:rsid w:val="00470410"/>
    <w:rsid w:val="0047041A"/>
    <w:rsid w:val="004706D1"/>
    <w:rsid w:val="004708BB"/>
    <w:rsid w:val="00470A57"/>
    <w:rsid w:val="00470ABB"/>
    <w:rsid w:val="00470FDB"/>
    <w:rsid w:val="00470FF3"/>
    <w:rsid w:val="00471204"/>
    <w:rsid w:val="004717E4"/>
    <w:rsid w:val="00471E35"/>
    <w:rsid w:val="00471FE6"/>
    <w:rsid w:val="0047226F"/>
    <w:rsid w:val="004724B2"/>
    <w:rsid w:val="00472E27"/>
    <w:rsid w:val="00473304"/>
    <w:rsid w:val="00473390"/>
    <w:rsid w:val="0047360A"/>
    <w:rsid w:val="00473B1E"/>
    <w:rsid w:val="00473E62"/>
    <w:rsid w:val="00474140"/>
    <w:rsid w:val="0047414E"/>
    <w:rsid w:val="0047453E"/>
    <w:rsid w:val="004746DD"/>
    <w:rsid w:val="004747DE"/>
    <w:rsid w:val="00474A40"/>
    <w:rsid w:val="00475090"/>
    <w:rsid w:val="0047525D"/>
    <w:rsid w:val="0047556E"/>
    <w:rsid w:val="00475820"/>
    <w:rsid w:val="00475BA9"/>
    <w:rsid w:val="00475DCE"/>
    <w:rsid w:val="00476005"/>
    <w:rsid w:val="00476330"/>
    <w:rsid w:val="00476589"/>
    <w:rsid w:val="004766DB"/>
    <w:rsid w:val="00476789"/>
    <w:rsid w:val="00476843"/>
    <w:rsid w:val="00476AC5"/>
    <w:rsid w:val="00476C79"/>
    <w:rsid w:val="004776AF"/>
    <w:rsid w:val="0047770F"/>
    <w:rsid w:val="00477B8A"/>
    <w:rsid w:val="00477BB4"/>
    <w:rsid w:val="00477D38"/>
    <w:rsid w:val="00477EAB"/>
    <w:rsid w:val="00480031"/>
    <w:rsid w:val="00480066"/>
    <w:rsid w:val="00480102"/>
    <w:rsid w:val="004801B7"/>
    <w:rsid w:val="004803DB"/>
    <w:rsid w:val="004804CA"/>
    <w:rsid w:val="0048058B"/>
    <w:rsid w:val="004806A0"/>
    <w:rsid w:val="00480C38"/>
    <w:rsid w:val="00482531"/>
    <w:rsid w:val="00482720"/>
    <w:rsid w:val="004835BB"/>
    <w:rsid w:val="00483EBB"/>
    <w:rsid w:val="00484373"/>
    <w:rsid w:val="0048458E"/>
    <w:rsid w:val="00484947"/>
    <w:rsid w:val="00484C07"/>
    <w:rsid w:val="00484C88"/>
    <w:rsid w:val="004850AF"/>
    <w:rsid w:val="0048512D"/>
    <w:rsid w:val="004856C8"/>
    <w:rsid w:val="00485774"/>
    <w:rsid w:val="0048593E"/>
    <w:rsid w:val="0048633E"/>
    <w:rsid w:val="00486480"/>
    <w:rsid w:val="004866A0"/>
    <w:rsid w:val="004867BB"/>
    <w:rsid w:val="00486D0D"/>
    <w:rsid w:val="00486D28"/>
    <w:rsid w:val="00486F06"/>
    <w:rsid w:val="0048731B"/>
    <w:rsid w:val="00487394"/>
    <w:rsid w:val="0048744A"/>
    <w:rsid w:val="00487495"/>
    <w:rsid w:val="004874EB"/>
    <w:rsid w:val="00487AE4"/>
    <w:rsid w:val="00487E60"/>
    <w:rsid w:val="00490207"/>
    <w:rsid w:val="0049064A"/>
    <w:rsid w:val="0049165B"/>
    <w:rsid w:val="00491B30"/>
    <w:rsid w:val="00491E59"/>
    <w:rsid w:val="00492243"/>
    <w:rsid w:val="00492535"/>
    <w:rsid w:val="004925FC"/>
    <w:rsid w:val="00492885"/>
    <w:rsid w:val="0049290D"/>
    <w:rsid w:val="00492BC9"/>
    <w:rsid w:val="00492C59"/>
    <w:rsid w:val="00493034"/>
    <w:rsid w:val="00493129"/>
    <w:rsid w:val="00493BB6"/>
    <w:rsid w:val="00493E8F"/>
    <w:rsid w:val="00494091"/>
    <w:rsid w:val="00494110"/>
    <w:rsid w:val="00494491"/>
    <w:rsid w:val="00494881"/>
    <w:rsid w:val="00494A2C"/>
    <w:rsid w:val="00494C6A"/>
    <w:rsid w:val="00494DD0"/>
    <w:rsid w:val="004950FA"/>
    <w:rsid w:val="004959F2"/>
    <w:rsid w:val="00495A26"/>
    <w:rsid w:val="00495BA7"/>
    <w:rsid w:val="00495E5E"/>
    <w:rsid w:val="004962D8"/>
    <w:rsid w:val="00496572"/>
    <w:rsid w:val="00496757"/>
    <w:rsid w:val="004968BD"/>
    <w:rsid w:val="00496D66"/>
    <w:rsid w:val="004974CA"/>
    <w:rsid w:val="004976F1"/>
    <w:rsid w:val="0049793E"/>
    <w:rsid w:val="00497D18"/>
    <w:rsid w:val="00497ECD"/>
    <w:rsid w:val="004A00D7"/>
    <w:rsid w:val="004A0411"/>
    <w:rsid w:val="004A0C13"/>
    <w:rsid w:val="004A1112"/>
    <w:rsid w:val="004A18DD"/>
    <w:rsid w:val="004A1A28"/>
    <w:rsid w:val="004A1B75"/>
    <w:rsid w:val="004A1C2B"/>
    <w:rsid w:val="004A1C43"/>
    <w:rsid w:val="004A1D6D"/>
    <w:rsid w:val="004A1F41"/>
    <w:rsid w:val="004A20F2"/>
    <w:rsid w:val="004A258E"/>
    <w:rsid w:val="004A2BD9"/>
    <w:rsid w:val="004A2EBB"/>
    <w:rsid w:val="004A31CF"/>
    <w:rsid w:val="004A346B"/>
    <w:rsid w:val="004A38B0"/>
    <w:rsid w:val="004A3945"/>
    <w:rsid w:val="004A396F"/>
    <w:rsid w:val="004A3BD1"/>
    <w:rsid w:val="004A3CB2"/>
    <w:rsid w:val="004A3D70"/>
    <w:rsid w:val="004A3E30"/>
    <w:rsid w:val="004A40A8"/>
    <w:rsid w:val="004A4126"/>
    <w:rsid w:val="004A41AA"/>
    <w:rsid w:val="004A445F"/>
    <w:rsid w:val="004A44ED"/>
    <w:rsid w:val="004A4772"/>
    <w:rsid w:val="004A497F"/>
    <w:rsid w:val="004A4C74"/>
    <w:rsid w:val="004A5000"/>
    <w:rsid w:val="004A505C"/>
    <w:rsid w:val="004A52A0"/>
    <w:rsid w:val="004A551F"/>
    <w:rsid w:val="004A57C1"/>
    <w:rsid w:val="004A5D2B"/>
    <w:rsid w:val="004A6160"/>
    <w:rsid w:val="004A6611"/>
    <w:rsid w:val="004A6622"/>
    <w:rsid w:val="004A6F16"/>
    <w:rsid w:val="004A6FBE"/>
    <w:rsid w:val="004A702C"/>
    <w:rsid w:val="004A711B"/>
    <w:rsid w:val="004A7D4E"/>
    <w:rsid w:val="004B0538"/>
    <w:rsid w:val="004B065D"/>
    <w:rsid w:val="004B070F"/>
    <w:rsid w:val="004B0874"/>
    <w:rsid w:val="004B0901"/>
    <w:rsid w:val="004B0964"/>
    <w:rsid w:val="004B0C1F"/>
    <w:rsid w:val="004B0CEF"/>
    <w:rsid w:val="004B1433"/>
    <w:rsid w:val="004B1DAC"/>
    <w:rsid w:val="004B202F"/>
    <w:rsid w:val="004B29FE"/>
    <w:rsid w:val="004B2DAC"/>
    <w:rsid w:val="004B320C"/>
    <w:rsid w:val="004B35BF"/>
    <w:rsid w:val="004B3786"/>
    <w:rsid w:val="004B3911"/>
    <w:rsid w:val="004B3B8C"/>
    <w:rsid w:val="004B4016"/>
    <w:rsid w:val="004B4373"/>
    <w:rsid w:val="004B475D"/>
    <w:rsid w:val="004B4987"/>
    <w:rsid w:val="004B4A4B"/>
    <w:rsid w:val="004B4C04"/>
    <w:rsid w:val="004B4C9C"/>
    <w:rsid w:val="004B535B"/>
    <w:rsid w:val="004B53AE"/>
    <w:rsid w:val="004B5544"/>
    <w:rsid w:val="004B5744"/>
    <w:rsid w:val="004B5798"/>
    <w:rsid w:val="004B5A8E"/>
    <w:rsid w:val="004B5B84"/>
    <w:rsid w:val="004B5BD3"/>
    <w:rsid w:val="004B609F"/>
    <w:rsid w:val="004B6399"/>
    <w:rsid w:val="004B6AD0"/>
    <w:rsid w:val="004B740C"/>
    <w:rsid w:val="004B743A"/>
    <w:rsid w:val="004B753F"/>
    <w:rsid w:val="004B7ACC"/>
    <w:rsid w:val="004B7B13"/>
    <w:rsid w:val="004B7D20"/>
    <w:rsid w:val="004B7E58"/>
    <w:rsid w:val="004B7F8A"/>
    <w:rsid w:val="004C0348"/>
    <w:rsid w:val="004C095B"/>
    <w:rsid w:val="004C0BFB"/>
    <w:rsid w:val="004C103B"/>
    <w:rsid w:val="004C119C"/>
    <w:rsid w:val="004C1252"/>
    <w:rsid w:val="004C1B07"/>
    <w:rsid w:val="004C1B82"/>
    <w:rsid w:val="004C22A3"/>
    <w:rsid w:val="004C28B5"/>
    <w:rsid w:val="004C2914"/>
    <w:rsid w:val="004C2E4D"/>
    <w:rsid w:val="004C2FC1"/>
    <w:rsid w:val="004C36AA"/>
    <w:rsid w:val="004C3973"/>
    <w:rsid w:val="004C3C8B"/>
    <w:rsid w:val="004C3D60"/>
    <w:rsid w:val="004C41E3"/>
    <w:rsid w:val="004C466E"/>
    <w:rsid w:val="004C48E6"/>
    <w:rsid w:val="004C4AA9"/>
    <w:rsid w:val="004C4B28"/>
    <w:rsid w:val="004C50FF"/>
    <w:rsid w:val="004C5442"/>
    <w:rsid w:val="004C5679"/>
    <w:rsid w:val="004C5E83"/>
    <w:rsid w:val="004C5EC0"/>
    <w:rsid w:val="004C5EDE"/>
    <w:rsid w:val="004C5F0F"/>
    <w:rsid w:val="004C5FBF"/>
    <w:rsid w:val="004C6552"/>
    <w:rsid w:val="004C6670"/>
    <w:rsid w:val="004C72C4"/>
    <w:rsid w:val="004C7524"/>
    <w:rsid w:val="004C7F39"/>
    <w:rsid w:val="004D00F8"/>
    <w:rsid w:val="004D08E7"/>
    <w:rsid w:val="004D0C51"/>
    <w:rsid w:val="004D0D90"/>
    <w:rsid w:val="004D107C"/>
    <w:rsid w:val="004D1507"/>
    <w:rsid w:val="004D19CD"/>
    <w:rsid w:val="004D1A75"/>
    <w:rsid w:val="004D1CD6"/>
    <w:rsid w:val="004D1D93"/>
    <w:rsid w:val="004D1DC1"/>
    <w:rsid w:val="004D2800"/>
    <w:rsid w:val="004D2B0E"/>
    <w:rsid w:val="004D2DDD"/>
    <w:rsid w:val="004D3689"/>
    <w:rsid w:val="004D37E6"/>
    <w:rsid w:val="004D42C5"/>
    <w:rsid w:val="004D46DE"/>
    <w:rsid w:val="004D4711"/>
    <w:rsid w:val="004D4835"/>
    <w:rsid w:val="004D48DE"/>
    <w:rsid w:val="004D4912"/>
    <w:rsid w:val="004D4D3B"/>
    <w:rsid w:val="004D4F1D"/>
    <w:rsid w:val="004D502A"/>
    <w:rsid w:val="004D5171"/>
    <w:rsid w:val="004D51DA"/>
    <w:rsid w:val="004D5407"/>
    <w:rsid w:val="004D54C5"/>
    <w:rsid w:val="004D5A55"/>
    <w:rsid w:val="004D5DE8"/>
    <w:rsid w:val="004D67D9"/>
    <w:rsid w:val="004D6A37"/>
    <w:rsid w:val="004D6E88"/>
    <w:rsid w:val="004D776C"/>
    <w:rsid w:val="004D7AC5"/>
    <w:rsid w:val="004D7AEB"/>
    <w:rsid w:val="004D7D55"/>
    <w:rsid w:val="004D7E17"/>
    <w:rsid w:val="004E0162"/>
    <w:rsid w:val="004E0217"/>
    <w:rsid w:val="004E064F"/>
    <w:rsid w:val="004E075D"/>
    <w:rsid w:val="004E08F5"/>
    <w:rsid w:val="004E0982"/>
    <w:rsid w:val="004E09D3"/>
    <w:rsid w:val="004E0FFB"/>
    <w:rsid w:val="004E1523"/>
    <w:rsid w:val="004E15D6"/>
    <w:rsid w:val="004E16AE"/>
    <w:rsid w:val="004E1B52"/>
    <w:rsid w:val="004E1B6E"/>
    <w:rsid w:val="004E1BF7"/>
    <w:rsid w:val="004E1F25"/>
    <w:rsid w:val="004E2068"/>
    <w:rsid w:val="004E237D"/>
    <w:rsid w:val="004E2A9C"/>
    <w:rsid w:val="004E2C2F"/>
    <w:rsid w:val="004E2D3D"/>
    <w:rsid w:val="004E3259"/>
    <w:rsid w:val="004E342F"/>
    <w:rsid w:val="004E3673"/>
    <w:rsid w:val="004E3740"/>
    <w:rsid w:val="004E37BB"/>
    <w:rsid w:val="004E3900"/>
    <w:rsid w:val="004E3912"/>
    <w:rsid w:val="004E3AA5"/>
    <w:rsid w:val="004E3AA6"/>
    <w:rsid w:val="004E3F02"/>
    <w:rsid w:val="004E3F2F"/>
    <w:rsid w:val="004E3F3D"/>
    <w:rsid w:val="004E47E3"/>
    <w:rsid w:val="004E4955"/>
    <w:rsid w:val="004E4C5E"/>
    <w:rsid w:val="004E4FC9"/>
    <w:rsid w:val="004E517F"/>
    <w:rsid w:val="004E59CF"/>
    <w:rsid w:val="004E5D18"/>
    <w:rsid w:val="004E5FD2"/>
    <w:rsid w:val="004E63A9"/>
    <w:rsid w:val="004E6602"/>
    <w:rsid w:val="004E682C"/>
    <w:rsid w:val="004E7511"/>
    <w:rsid w:val="004E784D"/>
    <w:rsid w:val="004E7C8F"/>
    <w:rsid w:val="004E7CD3"/>
    <w:rsid w:val="004F0028"/>
    <w:rsid w:val="004F00B8"/>
    <w:rsid w:val="004F07CD"/>
    <w:rsid w:val="004F07D7"/>
    <w:rsid w:val="004F0B07"/>
    <w:rsid w:val="004F0EED"/>
    <w:rsid w:val="004F1103"/>
    <w:rsid w:val="004F1BB2"/>
    <w:rsid w:val="004F20BB"/>
    <w:rsid w:val="004F21F5"/>
    <w:rsid w:val="004F21FD"/>
    <w:rsid w:val="004F236E"/>
    <w:rsid w:val="004F2433"/>
    <w:rsid w:val="004F2651"/>
    <w:rsid w:val="004F26E0"/>
    <w:rsid w:val="004F2990"/>
    <w:rsid w:val="004F2A73"/>
    <w:rsid w:val="004F2C20"/>
    <w:rsid w:val="004F2EE8"/>
    <w:rsid w:val="004F33D1"/>
    <w:rsid w:val="004F34ED"/>
    <w:rsid w:val="004F393E"/>
    <w:rsid w:val="004F3B19"/>
    <w:rsid w:val="004F40ED"/>
    <w:rsid w:val="004F4692"/>
    <w:rsid w:val="004F47AF"/>
    <w:rsid w:val="004F4A27"/>
    <w:rsid w:val="004F4A86"/>
    <w:rsid w:val="004F4ACF"/>
    <w:rsid w:val="004F4CD9"/>
    <w:rsid w:val="004F4D67"/>
    <w:rsid w:val="004F5197"/>
    <w:rsid w:val="004F5318"/>
    <w:rsid w:val="004F6097"/>
    <w:rsid w:val="004F67CF"/>
    <w:rsid w:val="004F6EED"/>
    <w:rsid w:val="004F6EF0"/>
    <w:rsid w:val="004F71D9"/>
    <w:rsid w:val="004F7241"/>
    <w:rsid w:val="004F73DC"/>
    <w:rsid w:val="004F742C"/>
    <w:rsid w:val="004F7AE4"/>
    <w:rsid w:val="004F7F50"/>
    <w:rsid w:val="0050008B"/>
    <w:rsid w:val="00500511"/>
    <w:rsid w:val="0050056B"/>
    <w:rsid w:val="0050065A"/>
    <w:rsid w:val="0050115A"/>
    <w:rsid w:val="005017E7"/>
    <w:rsid w:val="00501F90"/>
    <w:rsid w:val="005021F1"/>
    <w:rsid w:val="005027F5"/>
    <w:rsid w:val="0050296C"/>
    <w:rsid w:val="005031AA"/>
    <w:rsid w:val="005032EC"/>
    <w:rsid w:val="005032F8"/>
    <w:rsid w:val="00503496"/>
    <w:rsid w:val="00503A93"/>
    <w:rsid w:val="00504023"/>
    <w:rsid w:val="005042A7"/>
    <w:rsid w:val="0050472A"/>
    <w:rsid w:val="00504B2D"/>
    <w:rsid w:val="00504D5B"/>
    <w:rsid w:val="00505381"/>
    <w:rsid w:val="0050541B"/>
    <w:rsid w:val="00505621"/>
    <w:rsid w:val="00505870"/>
    <w:rsid w:val="00505F58"/>
    <w:rsid w:val="00506151"/>
    <w:rsid w:val="00506606"/>
    <w:rsid w:val="00506732"/>
    <w:rsid w:val="00506CDE"/>
    <w:rsid w:val="00506DDC"/>
    <w:rsid w:val="00507061"/>
    <w:rsid w:val="0050715A"/>
    <w:rsid w:val="0050741D"/>
    <w:rsid w:val="00507622"/>
    <w:rsid w:val="00507978"/>
    <w:rsid w:val="00507A08"/>
    <w:rsid w:val="00507CDF"/>
    <w:rsid w:val="00510651"/>
    <w:rsid w:val="00510E40"/>
    <w:rsid w:val="00511002"/>
    <w:rsid w:val="00511476"/>
    <w:rsid w:val="0051167C"/>
    <w:rsid w:val="00511935"/>
    <w:rsid w:val="0051199C"/>
    <w:rsid w:val="005120F7"/>
    <w:rsid w:val="00512417"/>
    <w:rsid w:val="00512BEA"/>
    <w:rsid w:val="00512EB1"/>
    <w:rsid w:val="005132BB"/>
    <w:rsid w:val="005136EE"/>
    <w:rsid w:val="005138F1"/>
    <w:rsid w:val="00513F20"/>
    <w:rsid w:val="00514221"/>
    <w:rsid w:val="005146A6"/>
    <w:rsid w:val="0051489D"/>
    <w:rsid w:val="00514BA6"/>
    <w:rsid w:val="00514D07"/>
    <w:rsid w:val="00514F9A"/>
    <w:rsid w:val="00515497"/>
    <w:rsid w:val="00515634"/>
    <w:rsid w:val="00515678"/>
    <w:rsid w:val="00515A30"/>
    <w:rsid w:val="00515EFA"/>
    <w:rsid w:val="00516912"/>
    <w:rsid w:val="00516A59"/>
    <w:rsid w:val="00516AE3"/>
    <w:rsid w:val="00516B72"/>
    <w:rsid w:val="00516C56"/>
    <w:rsid w:val="005172AF"/>
    <w:rsid w:val="005174D7"/>
    <w:rsid w:val="005176AD"/>
    <w:rsid w:val="00517C90"/>
    <w:rsid w:val="00517DB3"/>
    <w:rsid w:val="00517DE3"/>
    <w:rsid w:val="00517E81"/>
    <w:rsid w:val="00517FC5"/>
    <w:rsid w:val="00520549"/>
    <w:rsid w:val="00520FF5"/>
    <w:rsid w:val="005210E7"/>
    <w:rsid w:val="00521BEE"/>
    <w:rsid w:val="00522125"/>
    <w:rsid w:val="005223AE"/>
    <w:rsid w:val="00522956"/>
    <w:rsid w:val="005235C3"/>
    <w:rsid w:val="005238FF"/>
    <w:rsid w:val="00523C79"/>
    <w:rsid w:val="00523EE8"/>
    <w:rsid w:val="00523FB8"/>
    <w:rsid w:val="005243F9"/>
    <w:rsid w:val="00524DFA"/>
    <w:rsid w:val="00524F19"/>
    <w:rsid w:val="00525150"/>
    <w:rsid w:val="00525671"/>
    <w:rsid w:val="00525A92"/>
    <w:rsid w:val="00525AEF"/>
    <w:rsid w:val="00525DCC"/>
    <w:rsid w:val="00526591"/>
    <w:rsid w:val="0052666C"/>
    <w:rsid w:val="005268D5"/>
    <w:rsid w:val="005269B8"/>
    <w:rsid w:val="00526BAE"/>
    <w:rsid w:val="005270DA"/>
    <w:rsid w:val="00527278"/>
    <w:rsid w:val="00527295"/>
    <w:rsid w:val="0052761F"/>
    <w:rsid w:val="005279F1"/>
    <w:rsid w:val="00527B5E"/>
    <w:rsid w:val="00527F8E"/>
    <w:rsid w:val="005301B6"/>
    <w:rsid w:val="00530556"/>
    <w:rsid w:val="00530BF6"/>
    <w:rsid w:val="00530D5A"/>
    <w:rsid w:val="00531102"/>
    <w:rsid w:val="0053154F"/>
    <w:rsid w:val="005318E5"/>
    <w:rsid w:val="00531ACA"/>
    <w:rsid w:val="00531D71"/>
    <w:rsid w:val="00531E31"/>
    <w:rsid w:val="0053283D"/>
    <w:rsid w:val="0053290A"/>
    <w:rsid w:val="00532AA5"/>
    <w:rsid w:val="00532B8D"/>
    <w:rsid w:val="00532BCB"/>
    <w:rsid w:val="00532D13"/>
    <w:rsid w:val="00532DA2"/>
    <w:rsid w:val="00533518"/>
    <w:rsid w:val="00533781"/>
    <w:rsid w:val="00533AA6"/>
    <w:rsid w:val="00533C8B"/>
    <w:rsid w:val="00533F0C"/>
    <w:rsid w:val="005344A1"/>
    <w:rsid w:val="0053492C"/>
    <w:rsid w:val="00534BE2"/>
    <w:rsid w:val="00534E6B"/>
    <w:rsid w:val="0053537A"/>
    <w:rsid w:val="005358D4"/>
    <w:rsid w:val="00535942"/>
    <w:rsid w:val="005359B1"/>
    <w:rsid w:val="00535A15"/>
    <w:rsid w:val="00536A90"/>
    <w:rsid w:val="00536AF2"/>
    <w:rsid w:val="0053703A"/>
    <w:rsid w:val="00537252"/>
    <w:rsid w:val="00537420"/>
    <w:rsid w:val="00537507"/>
    <w:rsid w:val="00537617"/>
    <w:rsid w:val="00537C72"/>
    <w:rsid w:val="00537E92"/>
    <w:rsid w:val="00537FBE"/>
    <w:rsid w:val="0054005C"/>
    <w:rsid w:val="0054014B"/>
    <w:rsid w:val="005403A7"/>
    <w:rsid w:val="0054050C"/>
    <w:rsid w:val="00540650"/>
    <w:rsid w:val="00540904"/>
    <w:rsid w:val="005410D7"/>
    <w:rsid w:val="00541227"/>
    <w:rsid w:val="0054125D"/>
    <w:rsid w:val="00541B73"/>
    <w:rsid w:val="005423B0"/>
    <w:rsid w:val="00542448"/>
    <w:rsid w:val="00542483"/>
    <w:rsid w:val="0054263A"/>
    <w:rsid w:val="00542DC5"/>
    <w:rsid w:val="00542DDE"/>
    <w:rsid w:val="005436DE"/>
    <w:rsid w:val="00543D4B"/>
    <w:rsid w:val="00543E26"/>
    <w:rsid w:val="00543F27"/>
    <w:rsid w:val="00544621"/>
    <w:rsid w:val="00544685"/>
    <w:rsid w:val="00544A65"/>
    <w:rsid w:val="005458DC"/>
    <w:rsid w:val="00545F36"/>
    <w:rsid w:val="005461D0"/>
    <w:rsid w:val="005461F3"/>
    <w:rsid w:val="00546341"/>
    <w:rsid w:val="00546661"/>
    <w:rsid w:val="00546724"/>
    <w:rsid w:val="00547423"/>
    <w:rsid w:val="00547492"/>
    <w:rsid w:val="005477C8"/>
    <w:rsid w:val="005477E5"/>
    <w:rsid w:val="0054798E"/>
    <w:rsid w:val="00547DE7"/>
    <w:rsid w:val="00547E80"/>
    <w:rsid w:val="00550218"/>
    <w:rsid w:val="00550330"/>
    <w:rsid w:val="00550830"/>
    <w:rsid w:val="00551211"/>
    <w:rsid w:val="005513A5"/>
    <w:rsid w:val="005518B7"/>
    <w:rsid w:val="0055198D"/>
    <w:rsid w:val="00551999"/>
    <w:rsid w:val="00551A32"/>
    <w:rsid w:val="00551BCE"/>
    <w:rsid w:val="00551C88"/>
    <w:rsid w:val="00551EF7"/>
    <w:rsid w:val="00551FA6"/>
    <w:rsid w:val="00551FDF"/>
    <w:rsid w:val="005520AC"/>
    <w:rsid w:val="005522A3"/>
    <w:rsid w:val="00552877"/>
    <w:rsid w:val="00552891"/>
    <w:rsid w:val="00552A7F"/>
    <w:rsid w:val="00552A88"/>
    <w:rsid w:val="00552C85"/>
    <w:rsid w:val="00552E23"/>
    <w:rsid w:val="005537C5"/>
    <w:rsid w:val="005538FB"/>
    <w:rsid w:val="00553CA0"/>
    <w:rsid w:val="00553CDA"/>
    <w:rsid w:val="00553D3C"/>
    <w:rsid w:val="00554689"/>
    <w:rsid w:val="0055499C"/>
    <w:rsid w:val="00554A81"/>
    <w:rsid w:val="00554D6A"/>
    <w:rsid w:val="0055542C"/>
    <w:rsid w:val="0055550F"/>
    <w:rsid w:val="005560B3"/>
    <w:rsid w:val="005562D0"/>
    <w:rsid w:val="005566F8"/>
    <w:rsid w:val="0055691B"/>
    <w:rsid w:val="00556BA4"/>
    <w:rsid w:val="00556BCD"/>
    <w:rsid w:val="00556C78"/>
    <w:rsid w:val="00556E58"/>
    <w:rsid w:val="00556E95"/>
    <w:rsid w:val="00557292"/>
    <w:rsid w:val="0055753B"/>
    <w:rsid w:val="005575AD"/>
    <w:rsid w:val="005579E2"/>
    <w:rsid w:val="00557E29"/>
    <w:rsid w:val="00557E4D"/>
    <w:rsid w:val="00557EA7"/>
    <w:rsid w:val="00557EFF"/>
    <w:rsid w:val="0056027C"/>
    <w:rsid w:val="0056057C"/>
    <w:rsid w:val="00560951"/>
    <w:rsid w:val="00560CAE"/>
    <w:rsid w:val="00560F05"/>
    <w:rsid w:val="00560F8B"/>
    <w:rsid w:val="00561077"/>
    <w:rsid w:val="00561568"/>
    <w:rsid w:val="005617DA"/>
    <w:rsid w:val="00561CFD"/>
    <w:rsid w:val="00561F67"/>
    <w:rsid w:val="00562063"/>
    <w:rsid w:val="005620B6"/>
    <w:rsid w:val="005620B7"/>
    <w:rsid w:val="00562537"/>
    <w:rsid w:val="00562603"/>
    <w:rsid w:val="0056281D"/>
    <w:rsid w:val="00562D74"/>
    <w:rsid w:val="00562DA0"/>
    <w:rsid w:val="00562E80"/>
    <w:rsid w:val="00563313"/>
    <w:rsid w:val="00563476"/>
    <w:rsid w:val="00563539"/>
    <w:rsid w:val="00563851"/>
    <w:rsid w:val="00563A0E"/>
    <w:rsid w:val="00563C85"/>
    <w:rsid w:val="00563EA1"/>
    <w:rsid w:val="00563FD6"/>
    <w:rsid w:val="00563FEA"/>
    <w:rsid w:val="00564048"/>
    <w:rsid w:val="00564510"/>
    <w:rsid w:val="0056481E"/>
    <w:rsid w:val="00564CE7"/>
    <w:rsid w:val="005650A6"/>
    <w:rsid w:val="00565316"/>
    <w:rsid w:val="00565776"/>
    <w:rsid w:val="005659EE"/>
    <w:rsid w:val="00565BF3"/>
    <w:rsid w:val="00565DF3"/>
    <w:rsid w:val="00565F35"/>
    <w:rsid w:val="00566121"/>
    <w:rsid w:val="005664B0"/>
    <w:rsid w:val="0056658C"/>
    <w:rsid w:val="005665DC"/>
    <w:rsid w:val="00566BF9"/>
    <w:rsid w:val="00567691"/>
    <w:rsid w:val="00567813"/>
    <w:rsid w:val="00567821"/>
    <w:rsid w:val="00567CEE"/>
    <w:rsid w:val="00567DDB"/>
    <w:rsid w:val="00570025"/>
    <w:rsid w:val="00570064"/>
    <w:rsid w:val="00570195"/>
    <w:rsid w:val="005703D0"/>
    <w:rsid w:val="00570E0B"/>
    <w:rsid w:val="005710C0"/>
    <w:rsid w:val="0057110D"/>
    <w:rsid w:val="00571404"/>
    <w:rsid w:val="0057160E"/>
    <w:rsid w:val="0057202F"/>
    <w:rsid w:val="00572698"/>
    <w:rsid w:val="00572C78"/>
    <w:rsid w:val="00572D10"/>
    <w:rsid w:val="005730C2"/>
    <w:rsid w:val="00573152"/>
    <w:rsid w:val="0057332C"/>
    <w:rsid w:val="00573473"/>
    <w:rsid w:val="005734D6"/>
    <w:rsid w:val="00573600"/>
    <w:rsid w:val="005738CB"/>
    <w:rsid w:val="00573927"/>
    <w:rsid w:val="00573A7D"/>
    <w:rsid w:val="00573DB9"/>
    <w:rsid w:val="00574364"/>
    <w:rsid w:val="0057478D"/>
    <w:rsid w:val="005750C1"/>
    <w:rsid w:val="00575118"/>
    <w:rsid w:val="005755BE"/>
    <w:rsid w:val="00575715"/>
    <w:rsid w:val="005759C8"/>
    <w:rsid w:val="005761FB"/>
    <w:rsid w:val="00576352"/>
    <w:rsid w:val="005767BB"/>
    <w:rsid w:val="00576861"/>
    <w:rsid w:val="00576AAD"/>
    <w:rsid w:val="00576FCD"/>
    <w:rsid w:val="00577C3A"/>
    <w:rsid w:val="005801E7"/>
    <w:rsid w:val="00580878"/>
    <w:rsid w:val="00580BF7"/>
    <w:rsid w:val="00581760"/>
    <w:rsid w:val="00581FE3"/>
    <w:rsid w:val="0058286F"/>
    <w:rsid w:val="00582931"/>
    <w:rsid w:val="00582B82"/>
    <w:rsid w:val="00582D14"/>
    <w:rsid w:val="00583051"/>
    <w:rsid w:val="005832CB"/>
    <w:rsid w:val="005838CF"/>
    <w:rsid w:val="00583A09"/>
    <w:rsid w:val="00583B01"/>
    <w:rsid w:val="00583B59"/>
    <w:rsid w:val="00583C91"/>
    <w:rsid w:val="00584D2E"/>
    <w:rsid w:val="00584E54"/>
    <w:rsid w:val="005850E3"/>
    <w:rsid w:val="00585394"/>
    <w:rsid w:val="005853F7"/>
    <w:rsid w:val="00585856"/>
    <w:rsid w:val="0058592D"/>
    <w:rsid w:val="0058614B"/>
    <w:rsid w:val="0058625C"/>
    <w:rsid w:val="005868CF"/>
    <w:rsid w:val="0058694C"/>
    <w:rsid w:val="0058703A"/>
    <w:rsid w:val="005873E1"/>
    <w:rsid w:val="00587973"/>
    <w:rsid w:val="00587A09"/>
    <w:rsid w:val="00587CD1"/>
    <w:rsid w:val="00587EF3"/>
    <w:rsid w:val="00590D22"/>
    <w:rsid w:val="00591101"/>
    <w:rsid w:val="00591330"/>
    <w:rsid w:val="0059185F"/>
    <w:rsid w:val="00591C97"/>
    <w:rsid w:val="0059221C"/>
    <w:rsid w:val="00592789"/>
    <w:rsid w:val="00592ADD"/>
    <w:rsid w:val="00592B69"/>
    <w:rsid w:val="00592D77"/>
    <w:rsid w:val="00592ED3"/>
    <w:rsid w:val="00592FF6"/>
    <w:rsid w:val="00593E30"/>
    <w:rsid w:val="0059406A"/>
    <w:rsid w:val="00594080"/>
    <w:rsid w:val="005940BF"/>
    <w:rsid w:val="0059426A"/>
    <w:rsid w:val="00594E4A"/>
    <w:rsid w:val="00595B5B"/>
    <w:rsid w:val="00595BED"/>
    <w:rsid w:val="00595F8C"/>
    <w:rsid w:val="00595FA4"/>
    <w:rsid w:val="00596274"/>
    <w:rsid w:val="0059638D"/>
    <w:rsid w:val="0059681A"/>
    <w:rsid w:val="00596EF4"/>
    <w:rsid w:val="00596F71"/>
    <w:rsid w:val="00597125"/>
    <w:rsid w:val="00597355"/>
    <w:rsid w:val="005974BC"/>
    <w:rsid w:val="005975AA"/>
    <w:rsid w:val="0059774B"/>
    <w:rsid w:val="00597845"/>
    <w:rsid w:val="005978E3"/>
    <w:rsid w:val="00597BD2"/>
    <w:rsid w:val="00597EE9"/>
    <w:rsid w:val="005A01A2"/>
    <w:rsid w:val="005A0762"/>
    <w:rsid w:val="005A0B22"/>
    <w:rsid w:val="005A0BA2"/>
    <w:rsid w:val="005A0DED"/>
    <w:rsid w:val="005A18EA"/>
    <w:rsid w:val="005A1BB2"/>
    <w:rsid w:val="005A1D71"/>
    <w:rsid w:val="005A1E0B"/>
    <w:rsid w:val="005A1F36"/>
    <w:rsid w:val="005A2400"/>
    <w:rsid w:val="005A2402"/>
    <w:rsid w:val="005A248C"/>
    <w:rsid w:val="005A29A7"/>
    <w:rsid w:val="005A2B46"/>
    <w:rsid w:val="005A2B72"/>
    <w:rsid w:val="005A2E9F"/>
    <w:rsid w:val="005A2F00"/>
    <w:rsid w:val="005A348F"/>
    <w:rsid w:val="005A34C3"/>
    <w:rsid w:val="005A3C3C"/>
    <w:rsid w:val="005A3D30"/>
    <w:rsid w:val="005A3E0C"/>
    <w:rsid w:val="005A424D"/>
    <w:rsid w:val="005A4968"/>
    <w:rsid w:val="005A4A7B"/>
    <w:rsid w:val="005A4EE4"/>
    <w:rsid w:val="005A4F7E"/>
    <w:rsid w:val="005A56E5"/>
    <w:rsid w:val="005A5B31"/>
    <w:rsid w:val="005A5C74"/>
    <w:rsid w:val="005A6103"/>
    <w:rsid w:val="005A6137"/>
    <w:rsid w:val="005A6A00"/>
    <w:rsid w:val="005A6E1F"/>
    <w:rsid w:val="005A7065"/>
    <w:rsid w:val="005A7AFC"/>
    <w:rsid w:val="005A7C5A"/>
    <w:rsid w:val="005A7E50"/>
    <w:rsid w:val="005B03D9"/>
    <w:rsid w:val="005B0757"/>
    <w:rsid w:val="005B0841"/>
    <w:rsid w:val="005B0AA3"/>
    <w:rsid w:val="005B0C4F"/>
    <w:rsid w:val="005B114A"/>
    <w:rsid w:val="005B1396"/>
    <w:rsid w:val="005B18B0"/>
    <w:rsid w:val="005B1A41"/>
    <w:rsid w:val="005B1D46"/>
    <w:rsid w:val="005B1E92"/>
    <w:rsid w:val="005B2205"/>
    <w:rsid w:val="005B23DA"/>
    <w:rsid w:val="005B2495"/>
    <w:rsid w:val="005B2657"/>
    <w:rsid w:val="005B27A2"/>
    <w:rsid w:val="005B2CBA"/>
    <w:rsid w:val="005B2D3F"/>
    <w:rsid w:val="005B2F74"/>
    <w:rsid w:val="005B368B"/>
    <w:rsid w:val="005B36CD"/>
    <w:rsid w:val="005B39A0"/>
    <w:rsid w:val="005B3D3B"/>
    <w:rsid w:val="005B3FD2"/>
    <w:rsid w:val="005B4098"/>
    <w:rsid w:val="005B4110"/>
    <w:rsid w:val="005B4195"/>
    <w:rsid w:val="005B4261"/>
    <w:rsid w:val="005B42CE"/>
    <w:rsid w:val="005B42DB"/>
    <w:rsid w:val="005B4322"/>
    <w:rsid w:val="005B449D"/>
    <w:rsid w:val="005B4906"/>
    <w:rsid w:val="005B4973"/>
    <w:rsid w:val="005B4B9F"/>
    <w:rsid w:val="005B4DE3"/>
    <w:rsid w:val="005B507E"/>
    <w:rsid w:val="005B514E"/>
    <w:rsid w:val="005B540E"/>
    <w:rsid w:val="005B54EA"/>
    <w:rsid w:val="005B560A"/>
    <w:rsid w:val="005B5820"/>
    <w:rsid w:val="005B58B2"/>
    <w:rsid w:val="005B628E"/>
    <w:rsid w:val="005B66BC"/>
    <w:rsid w:val="005B68E4"/>
    <w:rsid w:val="005B68F7"/>
    <w:rsid w:val="005B7279"/>
    <w:rsid w:val="005B77BE"/>
    <w:rsid w:val="005B79CA"/>
    <w:rsid w:val="005B7AF9"/>
    <w:rsid w:val="005B7F0D"/>
    <w:rsid w:val="005B7F8D"/>
    <w:rsid w:val="005C02E9"/>
    <w:rsid w:val="005C02F9"/>
    <w:rsid w:val="005C07AA"/>
    <w:rsid w:val="005C1211"/>
    <w:rsid w:val="005C1254"/>
    <w:rsid w:val="005C1273"/>
    <w:rsid w:val="005C160B"/>
    <w:rsid w:val="005C1944"/>
    <w:rsid w:val="005C28F1"/>
    <w:rsid w:val="005C29AC"/>
    <w:rsid w:val="005C2CAC"/>
    <w:rsid w:val="005C2DE7"/>
    <w:rsid w:val="005C2EB8"/>
    <w:rsid w:val="005C2FC7"/>
    <w:rsid w:val="005C32C5"/>
    <w:rsid w:val="005C36EA"/>
    <w:rsid w:val="005C3BB5"/>
    <w:rsid w:val="005C3CD4"/>
    <w:rsid w:val="005C41E8"/>
    <w:rsid w:val="005C420F"/>
    <w:rsid w:val="005C438B"/>
    <w:rsid w:val="005C49AA"/>
    <w:rsid w:val="005C4AC6"/>
    <w:rsid w:val="005C53ED"/>
    <w:rsid w:val="005C570E"/>
    <w:rsid w:val="005C5CF0"/>
    <w:rsid w:val="005C6215"/>
    <w:rsid w:val="005C6279"/>
    <w:rsid w:val="005C6513"/>
    <w:rsid w:val="005C6CC4"/>
    <w:rsid w:val="005C6CCB"/>
    <w:rsid w:val="005C7244"/>
    <w:rsid w:val="005C76DD"/>
    <w:rsid w:val="005C7BF3"/>
    <w:rsid w:val="005C7C21"/>
    <w:rsid w:val="005C7CD5"/>
    <w:rsid w:val="005C7D0E"/>
    <w:rsid w:val="005C7FD5"/>
    <w:rsid w:val="005D0947"/>
    <w:rsid w:val="005D0994"/>
    <w:rsid w:val="005D0B52"/>
    <w:rsid w:val="005D107A"/>
    <w:rsid w:val="005D10ED"/>
    <w:rsid w:val="005D1302"/>
    <w:rsid w:val="005D15D9"/>
    <w:rsid w:val="005D1829"/>
    <w:rsid w:val="005D192E"/>
    <w:rsid w:val="005D1B1E"/>
    <w:rsid w:val="005D1B6C"/>
    <w:rsid w:val="005D2391"/>
    <w:rsid w:val="005D241D"/>
    <w:rsid w:val="005D2433"/>
    <w:rsid w:val="005D28CE"/>
    <w:rsid w:val="005D2AEA"/>
    <w:rsid w:val="005D2DB1"/>
    <w:rsid w:val="005D2F55"/>
    <w:rsid w:val="005D3119"/>
    <w:rsid w:val="005D34D1"/>
    <w:rsid w:val="005D3800"/>
    <w:rsid w:val="005D3CE3"/>
    <w:rsid w:val="005D3D8B"/>
    <w:rsid w:val="005D3E1A"/>
    <w:rsid w:val="005D45CE"/>
    <w:rsid w:val="005D45F9"/>
    <w:rsid w:val="005D49E1"/>
    <w:rsid w:val="005D4AC2"/>
    <w:rsid w:val="005D4ACE"/>
    <w:rsid w:val="005D4C70"/>
    <w:rsid w:val="005D4EF0"/>
    <w:rsid w:val="005D50E9"/>
    <w:rsid w:val="005D5249"/>
    <w:rsid w:val="005D53B0"/>
    <w:rsid w:val="005D53BE"/>
    <w:rsid w:val="005D5889"/>
    <w:rsid w:val="005D5F2B"/>
    <w:rsid w:val="005D5F62"/>
    <w:rsid w:val="005D6352"/>
    <w:rsid w:val="005D635F"/>
    <w:rsid w:val="005D63D9"/>
    <w:rsid w:val="005D65A6"/>
    <w:rsid w:val="005D6651"/>
    <w:rsid w:val="005D66AE"/>
    <w:rsid w:val="005D6C35"/>
    <w:rsid w:val="005D73C2"/>
    <w:rsid w:val="005D7FB1"/>
    <w:rsid w:val="005E005C"/>
    <w:rsid w:val="005E02EE"/>
    <w:rsid w:val="005E08F8"/>
    <w:rsid w:val="005E09C5"/>
    <w:rsid w:val="005E0E35"/>
    <w:rsid w:val="005E0FAE"/>
    <w:rsid w:val="005E0FCE"/>
    <w:rsid w:val="005E13A9"/>
    <w:rsid w:val="005E17C8"/>
    <w:rsid w:val="005E1C16"/>
    <w:rsid w:val="005E1E24"/>
    <w:rsid w:val="005E21FD"/>
    <w:rsid w:val="005E23AD"/>
    <w:rsid w:val="005E2619"/>
    <w:rsid w:val="005E286E"/>
    <w:rsid w:val="005E28CB"/>
    <w:rsid w:val="005E2B20"/>
    <w:rsid w:val="005E3352"/>
    <w:rsid w:val="005E37B7"/>
    <w:rsid w:val="005E3894"/>
    <w:rsid w:val="005E3971"/>
    <w:rsid w:val="005E3A28"/>
    <w:rsid w:val="005E3BAC"/>
    <w:rsid w:val="005E3C60"/>
    <w:rsid w:val="005E3D95"/>
    <w:rsid w:val="005E3EF1"/>
    <w:rsid w:val="005E3F2F"/>
    <w:rsid w:val="005E41AA"/>
    <w:rsid w:val="005E421D"/>
    <w:rsid w:val="005E42EF"/>
    <w:rsid w:val="005E46B7"/>
    <w:rsid w:val="005E4754"/>
    <w:rsid w:val="005E5464"/>
    <w:rsid w:val="005E55F3"/>
    <w:rsid w:val="005E5918"/>
    <w:rsid w:val="005E67B8"/>
    <w:rsid w:val="005E67DA"/>
    <w:rsid w:val="005E6C26"/>
    <w:rsid w:val="005E70C0"/>
    <w:rsid w:val="005E7227"/>
    <w:rsid w:val="005E76B7"/>
    <w:rsid w:val="005E7916"/>
    <w:rsid w:val="005E7A6F"/>
    <w:rsid w:val="005E7D34"/>
    <w:rsid w:val="005E7D35"/>
    <w:rsid w:val="005F013A"/>
    <w:rsid w:val="005F01CB"/>
    <w:rsid w:val="005F0F9B"/>
    <w:rsid w:val="005F0FE9"/>
    <w:rsid w:val="005F1133"/>
    <w:rsid w:val="005F1264"/>
    <w:rsid w:val="005F1B4A"/>
    <w:rsid w:val="005F1F88"/>
    <w:rsid w:val="005F1F90"/>
    <w:rsid w:val="005F20D2"/>
    <w:rsid w:val="005F2162"/>
    <w:rsid w:val="005F21D2"/>
    <w:rsid w:val="005F2A12"/>
    <w:rsid w:val="005F2B2A"/>
    <w:rsid w:val="005F300B"/>
    <w:rsid w:val="005F3069"/>
    <w:rsid w:val="005F34A8"/>
    <w:rsid w:val="005F364A"/>
    <w:rsid w:val="005F3789"/>
    <w:rsid w:val="005F3BAD"/>
    <w:rsid w:val="005F3DC5"/>
    <w:rsid w:val="005F3ED7"/>
    <w:rsid w:val="005F3F20"/>
    <w:rsid w:val="005F4345"/>
    <w:rsid w:val="005F4392"/>
    <w:rsid w:val="005F4453"/>
    <w:rsid w:val="005F4694"/>
    <w:rsid w:val="005F4774"/>
    <w:rsid w:val="005F47A6"/>
    <w:rsid w:val="005F49F1"/>
    <w:rsid w:val="005F4A4E"/>
    <w:rsid w:val="005F4B02"/>
    <w:rsid w:val="005F4BFC"/>
    <w:rsid w:val="005F4F27"/>
    <w:rsid w:val="005F4FA8"/>
    <w:rsid w:val="005F50FE"/>
    <w:rsid w:val="005F5559"/>
    <w:rsid w:val="005F5732"/>
    <w:rsid w:val="005F57AA"/>
    <w:rsid w:val="005F58C0"/>
    <w:rsid w:val="005F5BF9"/>
    <w:rsid w:val="005F6844"/>
    <w:rsid w:val="005F7349"/>
    <w:rsid w:val="005F7532"/>
    <w:rsid w:val="0060009A"/>
    <w:rsid w:val="006003CA"/>
    <w:rsid w:val="006006C5"/>
    <w:rsid w:val="00600C53"/>
    <w:rsid w:val="00600F57"/>
    <w:rsid w:val="00601023"/>
    <w:rsid w:val="0060140B"/>
    <w:rsid w:val="006019DF"/>
    <w:rsid w:val="00601E4B"/>
    <w:rsid w:val="00602551"/>
    <w:rsid w:val="0060293D"/>
    <w:rsid w:val="00602C2D"/>
    <w:rsid w:val="00602D36"/>
    <w:rsid w:val="00602FF8"/>
    <w:rsid w:val="00603329"/>
    <w:rsid w:val="006033D7"/>
    <w:rsid w:val="00603B5D"/>
    <w:rsid w:val="00603CFD"/>
    <w:rsid w:val="0060405F"/>
    <w:rsid w:val="006043B1"/>
    <w:rsid w:val="00604405"/>
    <w:rsid w:val="00604BA5"/>
    <w:rsid w:val="00604C02"/>
    <w:rsid w:val="00604C3D"/>
    <w:rsid w:val="00604C52"/>
    <w:rsid w:val="00605148"/>
    <w:rsid w:val="0060535F"/>
    <w:rsid w:val="00605361"/>
    <w:rsid w:val="00605520"/>
    <w:rsid w:val="006061FC"/>
    <w:rsid w:val="00606841"/>
    <w:rsid w:val="00606948"/>
    <w:rsid w:val="00606BD4"/>
    <w:rsid w:val="0060703B"/>
    <w:rsid w:val="00607737"/>
    <w:rsid w:val="00607C10"/>
    <w:rsid w:val="0061025B"/>
    <w:rsid w:val="006104DD"/>
    <w:rsid w:val="0061068C"/>
    <w:rsid w:val="006109E4"/>
    <w:rsid w:val="006111D4"/>
    <w:rsid w:val="006115B9"/>
    <w:rsid w:val="006117CE"/>
    <w:rsid w:val="00611957"/>
    <w:rsid w:val="00612243"/>
    <w:rsid w:val="00612392"/>
    <w:rsid w:val="00612433"/>
    <w:rsid w:val="00612538"/>
    <w:rsid w:val="006126AF"/>
    <w:rsid w:val="0061294B"/>
    <w:rsid w:val="00612F1B"/>
    <w:rsid w:val="006132F7"/>
    <w:rsid w:val="006133D9"/>
    <w:rsid w:val="00613621"/>
    <w:rsid w:val="00613712"/>
    <w:rsid w:val="006139AC"/>
    <w:rsid w:val="00613B71"/>
    <w:rsid w:val="00613D34"/>
    <w:rsid w:val="00613F72"/>
    <w:rsid w:val="00614184"/>
    <w:rsid w:val="006141D0"/>
    <w:rsid w:val="00614716"/>
    <w:rsid w:val="006154B8"/>
    <w:rsid w:val="006155DF"/>
    <w:rsid w:val="00615625"/>
    <w:rsid w:val="00615642"/>
    <w:rsid w:val="00615719"/>
    <w:rsid w:val="006157AA"/>
    <w:rsid w:val="00615853"/>
    <w:rsid w:val="00615C76"/>
    <w:rsid w:val="00615DE0"/>
    <w:rsid w:val="00615FA5"/>
    <w:rsid w:val="00616588"/>
    <w:rsid w:val="006168A7"/>
    <w:rsid w:val="00616E0C"/>
    <w:rsid w:val="00616E2E"/>
    <w:rsid w:val="00616ED2"/>
    <w:rsid w:val="00617214"/>
    <w:rsid w:val="006174C8"/>
    <w:rsid w:val="006177A6"/>
    <w:rsid w:val="00617825"/>
    <w:rsid w:val="00617B67"/>
    <w:rsid w:val="00617C31"/>
    <w:rsid w:val="00617E2B"/>
    <w:rsid w:val="00617EC1"/>
    <w:rsid w:val="006204AC"/>
    <w:rsid w:val="0062053B"/>
    <w:rsid w:val="00620A30"/>
    <w:rsid w:val="00620B0A"/>
    <w:rsid w:val="00621357"/>
    <w:rsid w:val="0062185E"/>
    <w:rsid w:val="0062193A"/>
    <w:rsid w:val="00621A5D"/>
    <w:rsid w:val="00621CF8"/>
    <w:rsid w:val="00621DE4"/>
    <w:rsid w:val="00622D32"/>
    <w:rsid w:val="00623082"/>
    <w:rsid w:val="006230E3"/>
    <w:rsid w:val="006239D0"/>
    <w:rsid w:val="00623B64"/>
    <w:rsid w:val="00623C71"/>
    <w:rsid w:val="00623C8A"/>
    <w:rsid w:val="00624408"/>
    <w:rsid w:val="0062473C"/>
    <w:rsid w:val="006247FB"/>
    <w:rsid w:val="00624BAA"/>
    <w:rsid w:val="00624C76"/>
    <w:rsid w:val="00624E42"/>
    <w:rsid w:val="00625244"/>
    <w:rsid w:val="0062596F"/>
    <w:rsid w:val="00625EE2"/>
    <w:rsid w:val="00625FD5"/>
    <w:rsid w:val="0062605D"/>
    <w:rsid w:val="006262D4"/>
    <w:rsid w:val="0062640A"/>
    <w:rsid w:val="00626C83"/>
    <w:rsid w:val="006272E4"/>
    <w:rsid w:val="00627575"/>
    <w:rsid w:val="006275D3"/>
    <w:rsid w:val="006275DF"/>
    <w:rsid w:val="00627DEA"/>
    <w:rsid w:val="00630237"/>
    <w:rsid w:val="006307CB"/>
    <w:rsid w:val="00631619"/>
    <w:rsid w:val="006319BF"/>
    <w:rsid w:val="006319DD"/>
    <w:rsid w:val="00631CE1"/>
    <w:rsid w:val="00631CFE"/>
    <w:rsid w:val="00631D60"/>
    <w:rsid w:val="00632E90"/>
    <w:rsid w:val="00632F0B"/>
    <w:rsid w:val="006332AE"/>
    <w:rsid w:val="0063336D"/>
    <w:rsid w:val="006335F8"/>
    <w:rsid w:val="006339C8"/>
    <w:rsid w:val="00633A89"/>
    <w:rsid w:val="00633AD6"/>
    <w:rsid w:val="00633FF0"/>
    <w:rsid w:val="0063401A"/>
    <w:rsid w:val="00634096"/>
    <w:rsid w:val="0063433E"/>
    <w:rsid w:val="006344C0"/>
    <w:rsid w:val="006345D0"/>
    <w:rsid w:val="00634A78"/>
    <w:rsid w:val="00635166"/>
    <w:rsid w:val="006358E9"/>
    <w:rsid w:val="00635F13"/>
    <w:rsid w:val="006362C1"/>
    <w:rsid w:val="0063635F"/>
    <w:rsid w:val="00636650"/>
    <w:rsid w:val="00636F44"/>
    <w:rsid w:val="0063743F"/>
    <w:rsid w:val="0063777C"/>
    <w:rsid w:val="00637F68"/>
    <w:rsid w:val="00640044"/>
    <w:rsid w:val="006403B4"/>
    <w:rsid w:val="0064072B"/>
    <w:rsid w:val="00640E36"/>
    <w:rsid w:val="006410AF"/>
    <w:rsid w:val="00641295"/>
    <w:rsid w:val="006414D7"/>
    <w:rsid w:val="00641547"/>
    <w:rsid w:val="00641C7A"/>
    <w:rsid w:val="00641C82"/>
    <w:rsid w:val="00642312"/>
    <w:rsid w:val="00642327"/>
    <w:rsid w:val="0064237D"/>
    <w:rsid w:val="00642536"/>
    <w:rsid w:val="006428F6"/>
    <w:rsid w:val="00642BA4"/>
    <w:rsid w:val="006430EA"/>
    <w:rsid w:val="0064333A"/>
    <w:rsid w:val="0064365E"/>
    <w:rsid w:val="006436A4"/>
    <w:rsid w:val="00643C64"/>
    <w:rsid w:val="00644295"/>
    <w:rsid w:val="00644300"/>
    <w:rsid w:val="0064436E"/>
    <w:rsid w:val="00644DE4"/>
    <w:rsid w:val="00644E76"/>
    <w:rsid w:val="00645331"/>
    <w:rsid w:val="006455AD"/>
    <w:rsid w:val="00645675"/>
    <w:rsid w:val="00645B07"/>
    <w:rsid w:val="00645C99"/>
    <w:rsid w:val="00646128"/>
    <w:rsid w:val="00646205"/>
    <w:rsid w:val="0064643E"/>
    <w:rsid w:val="00646838"/>
    <w:rsid w:val="00646BC0"/>
    <w:rsid w:val="00646D57"/>
    <w:rsid w:val="00647261"/>
    <w:rsid w:val="0064738A"/>
    <w:rsid w:val="006474ED"/>
    <w:rsid w:val="00647BF5"/>
    <w:rsid w:val="00650206"/>
    <w:rsid w:val="0065035E"/>
    <w:rsid w:val="00650449"/>
    <w:rsid w:val="0065057D"/>
    <w:rsid w:val="006508AA"/>
    <w:rsid w:val="0065095F"/>
    <w:rsid w:val="00650F44"/>
    <w:rsid w:val="00651385"/>
    <w:rsid w:val="00651542"/>
    <w:rsid w:val="006515F1"/>
    <w:rsid w:val="00651759"/>
    <w:rsid w:val="00651855"/>
    <w:rsid w:val="0065216F"/>
    <w:rsid w:val="00652675"/>
    <w:rsid w:val="00652907"/>
    <w:rsid w:val="006529C2"/>
    <w:rsid w:val="00652A48"/>
    <w:rsid w:val="00652C15"/>
    <w:rsid w:val="006530B2"/>
    <w:rsid w:val="00653608"/>
    <w:rsid w:val="00653783"/>
    <w:rsid w:val="00653907"/>
    <w:rsid w:val="00653A74"/>
    <w:rsid w:val="00653DB5"/>
    <w:rsid w:val="00654061"/>
    <w:rsid w:val="0065428C"/>
    <w:rsid w:val="00654307"/>
    <w:rsid w:val="00654978"/>
    <w:rsid w:val="006549B7"/>
    <w:rsid w:val="006549B8"/>
    <w:rsid w:val="006552A1"/>
    <w:rsid w:val="0065547B"/>
    <w:rsid w:val="00655B30"/>
    <w:rsid w:val="00655BD2"/>
    <w:rsid w:val="00655E46"/>
    <w:rsid w:val="006566FE"/>
    <w:rsid w:val="006567CF"/>
    <w:rsid w:val="006568B5"/>
    <w:rsid w:val="00657023"/>
    <w:rsid w:val="0065703E"/>
    <w:rsid w:val="0065707F"/>
    <w:rsid w:val="006571C3"/>
    <w:rsid w:val="006571E4"/>
    <w:rsid w:val="00657715"/>
    <w:rsid w:val="006578AD"/>
    <w:rsid w:val="00657966"/>
    <w:rsid w:val="00657977"/>
    <w:rsid w:val="00657A39"/>
    <w:rsid w:val="00660006"/>
    <w:rsid w:val="006602CD"/>
    <w:rsid w:val="006605FA"/>
    <w:rsid w:val="00660704"/>
    <w:rsid w:val="006607EB"/>
    <w:rsid w:val="00660D38"/>
    <w:rsid w:val="00660FDA"/>
    <w:rsid w:val="006612E2"/>
    <w:rsid w:val="00661999"/>
    <w:rsid w:val="00661C89"/>
    <w:rsid w:val="00661EBB"/>
    <w:rsid w:val="00661F94"/>
    <w:rsid w:val="006624BD"/>
    <w:rsid w:val="00662651"/>
    <w:rsid w:val="00662738"/>
    <w:rsid w:val="00662C76"/>
    <w:rsid w:val="006631E6"/>
    <w:rsid w:val="006633AF"/>
    <w:rsid w:val="006633F1"/>
    <w:rsid w:val="00663832"/>
    <w:rsid w:val="00663B4B"/>
    <w:rsid w:val="00663C45"/>
    <w:rsid w:val="00664595"/>
    <w:rsid w:val="00665106"/>
    <w:rsid w:val="006651C0"/>
    <w:rsid w:val="00665444"/>
    <w:rsid w:val="006655BB"/>
    <w:rsid w:val="00666565"/>
    <w:rsid w:val="00666B2F"/>
    <w:rsid w:val="00666BB6"/>
    <w:rsid w:val="00667410"/>
    <w:rsid w:val="00667538"/>
    <w:rsid w:val="006675F0"/>
    <w:rsid w:val="006676EF"/>
    <w:rsid w:val="00667808"/>
    <w:rsid w:val="006678A8"/>
    <w:rsid w:val="00670038"/>
    <w:rsid w:val="006702B1"/>
    <w:rsid w:val="00670405"/>
    <w:rsid w:val="006704F7"/>
    <w:rsid w:val="0067095E"/>
    <w:rsid w:val="00670B15"/>
    <w:rsid w:val="00670DAF"/>
    <w:rsid w:val="00671093"/>
    <w:rsid w:val="0067132C"/>
    <w:rsid w:val="006719C2"/>
    <w:rsid w:val="00671A28"/>
    <w:rsid w:val="00671A8E"/>
    <w:rsid w:val="00671B51"/>
    <w:rsid w:val="00671BE8"/>
    <w:rsid w:val="00671DBB"/>
    <w:rsid w:val="00671FF9"/>
    <w:rsid w:val="006721C4"/>
    <w:rsid w:val="0067233D"/>
    <w:rsid w:val="006725C8"/>
    <w:rsid w:val="00672746"/>
    <w:rsid w:val="00672755"/>
    <w:rsid w:val="006729F0"/>
    <w:rsid w:val="00672E31"/>
    <w:rsid w:val="00672E88"/>
    <w:rsid w:val="006734DC"/>
    <w:rsid w:val="0067374E"/>
    <w:rsid w:val="00673A83"/>
    <w:rsid w:val="00673B8E"/>
    <w:rsid w:val="00673E66"/>
    <w:rsid w:val="00674350"/>
    <w:rsid w:val="0067496A"/>
    <w:rsid w:val="00674FB4"/>
    <w:rsid w:val="00674FD1"/>
    <w:rsid w:val="00675065"/>
    <w:rsid w:val="00675226"/>
    <w:rsid w:val="00675977"/>
    <w:rsid w:val="00675A5E"/>
    <w:rsid w:val="00675B83"/>
    <w:rsid w:val="00676070"/>
    <w:rsid w:val="00676259"/>
    <w:rsid w:val="00676993"/>
    <w:rsid w:val="006769C3"/>
    <w:rsid w:val="00677322"/>
    <w:rsid w:val="00677395"/>
    <w:rsid w:val="00677434"/>
    <w:rsid w:val="00677436"/>
    <w:rsid w:val="00677F63"/>
    <w:rsid w:val="00677FE3"/>
    <w:rsid w:val="00680000"/>
    <w:rsid w:val="00680205"/>
    <w:rsid w:val="00680489"/>
    <w:rsid w:val="00680575"/>
    <w:rsid w:val="0068058F"/>
    <w:rsid w:val="0068091C"/>
    <w:rsid w:val="00680B78"/>
    <w:rsid w:val="00680DFD"/>
    <w:rsid w:val="00680EDA"/>
    <w:rsid w:val="00680FD3"/>
    <w:rsid w:val="006811D2"/>
    <w:rsid w:val="00681836"/>
    <w:rsid w:val="00681C58"/>
    <w:rsid w:val="00681E36"/>
    <w:rsid w:val="00682139"/>
    <w:rsid w:val="006821E0"/>
    <w:rsid w:val="006822EE"/>
    <w:rsid w:val="0068234C"/>
    <w:rsid w:val="006823E0"/>
    <w:rsid w:val="00682494"/>
    <w:rsid w:val="0068254B"/>
    <w:rsid w:val="0068260E"/>
    <w:rsid w:val="0068269A"/>
    <w:rsid w:val="00682EE8"/>
    <w:rsid w:val="0068300E"/>
    <w:rsid w:val="006833DF"/>
    <w:rsid w:val="00683757"/>
    <w:rsid w:val="0068392A"/>
    <w:rsid w:val="00683B73"/>
    <w:rsid w:val="00684141"/>
    <w:rsid w:val="00684231"/>
    <w:rsid w:val="00684846"/>
    <w:rsid w:val="00684969"/>
    <w:rsid w:val="00684D9B"/>
    <w:rsid w:val="00685992"/>
    <w:rsid w:val="0068601B"/>
    <w:rsid w:val="00686358"/>
    <w:rsid w:val="006864DF"/>
    <w:rsid w:val="006867A7"/>
    <w:rsid w:val="00686CB9"/>
    <w:rsid w:val="00686DF8"/>
    <w:rsid w:val="00687025"/>
    <w:rsid w:val="00687158"/>
    <w:rsid w:val="00687CE2"/>
    <w:rsid w:val="00687D19"/>
    <w:rsid w:val="00690259"/>
    <w:rsid w:val="00690563"/>
    <w:rsid w:val="00690750"/>
    <w:rsid w:val="00690A9D"/>
    <w:rsid w:val="00690B99"/>
    <w:rsid w:val="00690F37"/>
    <w:rsid w:val="0069153E"/>
    <w:rsid w:val="0069155E"/>
    <w:rsid w:val="0069190B"/>
    <w:rsid w:val="006919EA"/>
    <w:rsid w:val="00691C4B"/>
    <w:rsid w:val="00691C83"/>
    <w:rsid w:val="00691DB5"/>
    <w:rsid w:val="00692619"/>
    <w:rsid w:val="00692657"/>
    <w:rsid w:val="00692B3B"/>
    <w:rsid w:val="00693360"/>
    <w:rsid w:val="00693368"/>
    <w:rsid w:val="00693408"/>
    <w:rsid w:val="00693418"/>
    <w:rsid w:val="00693442"/>
    <w:rsid w:val="0069418F"/>
    <w:rsid w:val="0069433A"/>
    <w:rsid w:val="006950E9"/>
    <w:rsid w:val="0069555D"/>
    <w:rsid w:val="0069583D"/>
    <w:rsid w:val="00695911"/>
    <w:rsid w:val="00696191"/>
    <w:rsid w:val="00696226"/>
    <w:rsid w:val="00696448"/>
    <w:rsid w:val="0069649D"/>
    <w:rsid w:val="006966B2"/>
    <w:rsid w:val="00696902"/>
    <w:rsid w:val="00696D86"/>
    <w:rsid w:val="00696DD1"/>
    <w:rsid w:val="00696DE7"/>
    <w:rsid w:val="00696FF7"/>
    <w:rsid w:val="0069715C"/>
    <w:rsid w:val="006974EE"/>
    <w:rsid w:val="00697993"/>
    <w:rsid w:val="00697E09"/>
    <w:rsid w:val="006A01E6"/>
    <w:rsid w:val="006A0408"/>
    <w:rsid w:val="006A0483"/>
    <w:rsid w:val="006A075A"/>
    <w:rsid w:val="006A0A8C"/>
    <w:rsid w:val="006A0ADC"/>
    <w:rsid w:val="006A0B06"/>
    <w:rsid w:val="006A0BC7"/>
    <w:rsid w:val="006A0C81"/>
    <w:rsid w:val="006A0D6B"/>
    <w:rsid w:val="006A105D"/>
    <w:rsid w:val="006A1144"/>
    <w:rsid w:val="006A1212"/>
    <w:rsid w:val="006A1378"/>
    <w:rsid w:val="006A1A83"/>
    <w:rsid w:val="006A1D2C"/>
    <w:rsid w:val="006A23AB"/>
    <w:rsid w:val="006A2ADC"/>
    <w:rsid w:val="006A2BB3"/>
    <w:rsid w:val="006A2C4A"/>
    <w:rsid w:val="006A2D48"/>
    <w:rsid w:val="006A3419"/>
    <w:rsid w:val="006A35DD"/>
    <w:rsid w:val="006A3720"/>
    <w:rsid w:val="006A45FF"/>
    <w:rsid w:val="006A4C88"/>
    <w:rsid w:val="006A4D25"/>
    <w:rsid w:val="006A4DEB"/>
    <w:rsid w:val="006A4EC6"/>
    <w:rsid w:val="006A518B"/>
    <w:rsid w:val="006A5286"/>
    <w:rsid w:val="006A5548"/>
    <w:rsid w:val="006A5693"/>
    <w:rsid w:val="006A5756"/>
    <w:rsid w:val="006A5796"/>
    <w:rsid w:val="006A5F47"/>
    <w:rsid w:val="006A601D"/>
    <w:rsid w:val="006A61BB"/>
    <w:rsid w:val="006A6BEF"/>
    <w:rsid w:val="006A6EE8"/>
    <w:rsid w:val="006A7000"/>
    <w:rsid w:val="006A7146"/>
    <w:rsid w:val="006A7624"/>
    <w:rsid w:val="006A76D4"/>
    <w:rsid w:val="006B0337"/>
    <w:rsid w:val="006B05B5"/>
    <w:rsid w:val="006B063B"/>
    <w:rsid w:val="006B0667"/>
    <w:rsid w:val="006B08C0"/>
    <w:rsid w:val="006B0997"/>
    <w:rsid w:val="006B0FC9"/>
    <w:rsid w:val="006B167C"/>
    <w:rsid w:val="006B17E0"/>
    <w:rsid w:val="006B1D34"/>
    <w:rsid w:val="006B22CB"/>
    <w:rsid w:val="006B23A9"/>
    <w:rsid w:val="006B29D0"/>
    <w:rsid w:val="006B2A97"/>
    <w:rsid w:val="006B2D20"/>
    <w:rsid w:val="006B30A8"/>
    <w:rsid w:val="006B3709"/>
    <w:rsid w:val="006B39AE"/>
    <w:rsid w:val="006B3A5A"/>
    <w:rsid w:val="006B3C9C"/>
    <w:rsid w:val="006B3E41"/>
    <w:rsid w:val="006B3EB6"/>
    <w:rsid w:val="006B3F3E"/>
    <w:rsid w:val="006B4535"/>
    <w:rsid w:val="006B46C4"/>
    <w:rsid w:val="006B4FED"/>
    <w:rsid w:val="006B512A"/>
    <w:rsid w:val="006B54A8"/>
    <w:rsid w:val="006B5797"/>
    <w:rsid w:val="006B5A54"/>
    <w:rsid w:val="006B5E1C"/>
    <w:rsid w:val="006B5F26"/>
    <w:rsid w:val="006B5F7B"/>
    <w:rsid w:val="006B61D7"/>
    <w:rsid w:val="006B65F2"/>
    <w:rsid w:val="006B6862"/>
    <w:rsid w:val="006B6877"/>
    <w:rsid w:val="006B6B38"/>
    <w:rsid w:val="006B6DE3"/>
    <w:rsid w:val="006B7030"/>
    <w:rsid w:val="006B7099"/>
    <w:rsid w:val="006B7349"/>
    <w:rsid w:val="006B743F"/>
    <w:rsid w:val="006B7876"/>
    <w:rsid w:val="006B7CED"/>
    <w:rsid w:val="006B7D3A"/>
    <w:rsid w:val="006B7D3D"/>
    <w:rsid w:val="006B7F10"/>
    <w:rsid w:val="006C002F"/>
    <w:rsid w:val="006C01B5"/>
    <w:rsid w:val="006C027F"/>
    <w:rsid w:val="006C0634"/>
    <w:rsid w:val="006C06AF"/>
    <w:rsid w:val="006C0C1B"/>
    <w:rsid w:val="006C0EA1"/>
    <w:rsid w:val="006C0FC2"/>
    <w:rsid w:val="006C153C"/>
    <w:rsid w:val="006C18A9"/>
    <w:rsid w:val="006C1D72"/>
    <w:rsid w:val="006C1FC8"/>
    <w:rsid w:val="006C24CB"/>
    <w:rsid w:val="006C2798"/>
    <w:rsid w:val="006C2922"/>
    <w:rsid w:val="006C2A86"/>
    <w:rsid w:val="006C2B25"/>
    <w:rsid w:val="006C2D00"/>
    <w:rsid w:val="006C3016"/>
    <w:rsid w:val="006C30CE"/>
    <w:rsid w:val="006C340E"/>
    <w:rsid w:val="006C35E2"/>
    <w:rsid w:val="006C3716"/>
    <w:rsid w:val="006C37A5"/>
    <w:rsid w:val="006C3BF7"/>
    <w:rsid w:val="006C3D4B"/>
    <w:rsid w:val="006C3DD9"/>
    <w:rsid w:val="006C3E6A"/>
    <w:rsid w:val="006C42D9"/>
    <w:rsid w:val="006C4BDA"/>
    <w:rsid w:val="006C4F52"/>
    <w:rsid w:val="006C5216"/>
    <w:rsid w:val="006C5280"/>
    <w:rsid w:val="006C5291"/>
    <w:rsid w:val="006C5332"/>
    <w:rsid w:val="006C54D6"/>
    <w:rsid w:val="006C5ECA"/>
    <w:rsid w:val="006C661D"/>
    <w:rsid w:val="006C6F7F"/>
    <w:rsid w:val="006C7686"/>
    <w:rsid w:val="006C7A87"/>
    <w:rsid w:val="006C7EB9"/>
    <w:rsid w:val="006D0105"/>
    <w:rsid w:val="006D0394"/>
    <w:rsid w:val="006D0B54"/>
    <w:rsid w:val="006D0CDB"/>
    <w:rsid w:val="006D0F74"/>
    <w:rsid w:val="006D1465"/>
    <w:rsid w:val="006D163A"/>
    <w:rsid w:val="006D1731"/>
    <w:rsid w:val="006D175C"/>
    <w:rsid w:val="006D17DE"/>
    <w:rsid w:val="006D1C41"/>
    <w:rsid w:val="006D27B8"/>
    <w:rsid w:val="006D2938"/>
    <w:rsid w:val="006D3207"/>
    <w:rsid w:val="006D321A"/>
    <w:rsid w:val="006D3322"/>
    <w:rsid w:val="006D343B"/>
    <w:rsid w:val="006D3AA1"/>
    <w:rsid w:val="006D3E44"/>
    <w:rsid w:val="006D4121"/>
    <w:rsid w:val="006D4422"/>
    <w:rsid w:val="006D45B0"/>
    <w:rsid w:val="006D49D7"/>
    <w:rsid w:val="006D4CAD"/>
    <w:rsid w:val="006D4DE3"/>
    <w:rsid w:val="006D4DE6"/>
    <w:rsid w:val="006D5052"/>
    <w:rsid w:val="006D5097"/>
    <w:rsid w:val="006D5181"/>
    <w:rsid w:val="006D56A8"/>
    <w:rsid w:val="006D5B00"/>
    <w:rsid w:val="006D5BF7"/>
    <w:rsid w:val="006D60C0"/>
    <w:rsid w:val="006D6128"/>
    <w:rsid w:val="006D62A5"/>
    <w:rsid w:val="006D65B6"/>
    <w:rsid w:val="006D69AA"/>
    <w:rsid w:val="006D6A3A"/>
    <w:rsid w:val="006D6AD9"/>
    <w:rsid w:val="006D6B61"/>
    <w:rsid w:val="006D6C67"/>
    <w:rsid w:val="006D6CAC"/>
    <w:rsid w:val="006D6D75"/>
    <w:rsid w:val="006D6F37"/>
    <w:rsid w:val="006D6FED"/>
    <w:rsid w:val="006E020C"/>
    <w:rsid w:val="006E0372"/>
    <w:rsid w:val="006E1501"/>
    <w:rsid w:val="006E1AB7"/>
    <w:rsid w:val="006E1CE1"/>
    <w:rsid w:val="006E214B"/>
    <w:rsid w:val="006E2725"/>
    <w:rsid w:val="006E2C68"/>
    <w:rsid w:val="006E31ED"/>
    <w:rsid w:val="006E358C"/>
    <w:rsid w:val="006E3DA6"/>
    <w:rsid w:val="006E3EA4"/>
    <w:rsid w:val="006E3FE1"/>
    <w:rsid w:val="006E4208"/>
    <w:rsid w:val="006E469D"/>
    <w:rsid w:val="006E4928"/>
    <w:rsid w:val="006E4956"/>
    <w:rsid w:val="006E4967"/>
    <w:rsid w:val="006E4969"/>
    <w:rsid w:val="006E4AB2"/>
    <w:rsid w:val="006E4B0D"/>
    <w:rsid w:val="006E4CE1"/>
    <w:rsid w:val="006E4F9F"/>
    <w:rsid w:val="006E550A"/>
    <w:rsid w:val="006E564C"/>
    <w:rsid w:val="006E5E77"/>
    <w:rsid w:val="006E65E7"/>
    <w:rsid w:val="006E682C"/>
    <w:rsid w:val="006E6BFF"/>
    <w:rsid w:val="006E6CEF"/>
    <w:rsid w:val="006E6F26"/>
    <w:rsid w:val="006E6FE4"/>
    <w:rsid w:val="006E70B9"/>
    <w:rsid w:val="006E7832"/>
    <w:rsid w:val="006E7B10"/>
    <w:rsid w:val="006E7CE2"/>
    <w:rsid w:val="006E7E6E"/>
    <w:rsid w:val="006E7F67"/>
    <w:rsid w:val="006F016E"/>
    <w:rsid w:val="006F0272"/>
    <w:rsid w:val="006F041D"/>
    <w:rsid w:val="006F0627"/>
    <w:rsid w:val="006F0E77"/>
    <w:rsid w:val="006F1989"/>
    <w:rsid w:val="006F19AB"/>
    <w:rsid w:val="006F1B7D"/>
    <w:rsid w:val="006F1CAD"/>
    <w:rsid w:val="006F1E1D"/>
    <w:rsid w:val="006F1FD1"/>
    <w:rsid w:val="006F22E5"/>
    <w:rsid w:val="006F22F7"/>
    <w:rsid w:val="006F2388"/>
    <w:rsid w:val="006F2C86"/>
    <w:rsid w:val="006F2E52"/>
    <w:rsid w:val="006F2FBB"/>
    <w:rsid w:val="006F308D"/>
    <w:rsid w:val="006F31EF"/>
    <w:rsid w:val="006F3261"/>
    <w:rsid w:val="006F32BE"/>
    <w:rsid w:val="006F3BE0"/>
    <w:rsid w:val="006F3C1A"/>
    <w:rsid w:val="006F3FFA"/>
    <w:rsid w:val="006F40E0"/>
    <w:rsid w:val="006F41FD"/>
    <w:rsid w:val="006F4412"/>
    <w:rsid w:val="006F44BB"/>
    <w:rsid w:val="006F4B2F"/>
    <w:rsid w:val="006F55AE"/>
    <w:rsid w:val="006F5808"/>
    <w:rsid w:val="006F59BF"/>
    <w:rsid w:val="006F59FC"/>
    <w:rsid w:val="006F5AB7"/>
    <w:rsid w:val="006F5B07"/>
    <w:rsid w:val="006F5DB1"/>
    <w:rsid w:val="006F6357"/>
    <w:rsid w:val="006F66FF"/>
    <w:rsid w:val="006F67A6"/>
    <w:rsid w:val="006F69E8"/>
    <w:rsid w:val="006F6D87"/>
    <w:rsid w:val="006F6D8B"/>
    <w:rsid w:val="006F6F1B"/>
    <w:rsid w:val="006F7027"/>
    <w:rsid w:val="006F7114"/>
    <w:rsid w:val="006F75E8"/>
    <w:rsid w:val="006F773C"/>
    <w:rsid w:val="006F7786"/>
    <w:rsid w:val="006F78E9"/>
    <w:rsid w:val="006F7AF4"/>
    <w:rsid w:val="00700342"/>
    <w:rsid w:val="0070073B"/>
    <w:rsid w:val="007008F1"/>
    <w:rsid w:val="00700D53"/>
    <w:rsid w:val="00700DCE"/>
    <w:rsid w:val="00700FF8"/>
    <w:rsid w:val="0070118C"/>
    <w:rsid w:val="00701370"/>
    <w:rsid w:val="007015EA"/>
    <w:rsid w:val="00701762"/>
    <w:rsid w:val="00701FA5"/>
    <w:rsid w:val="00702160"/>
    <w:rsid w:val="0070272E"/>
    <w:rsid w:val="0070278E"/>
    <w:rsid w:val="00702CFD"/>
    <w:rsid w:val="0070316A"/>
    <w:rsid w:val="00703BA8"/>
    <w:rsid w:val="00703BF5"/>
    <w:rsid w:val="00703CCE"/>
    <w:rsid w:val="00703D11"/>
    <w:rsid w:val="00703D42"/>
    <w:rsid w:val="0070423C"/>
    <w:rsid w:val="00704930"/>
    <w:rsid w:val="00704DBA"/>
    <w:rsid w:val="00704DFF"/>
    <w:rsid w:val="00704EE0"/>
    <w:rsid w:val="0070510C"/>
    <w:rsid w:val="007051B1"/>
    <w:rsid w:val="00705446"/>
    <w:rsid w:val="00705577"/>
    <w:rsid w:val="007058B4"/>
    <w:rsid w:val="00705AA0"/>
    <w:rsid w:val="00705F7F"/>
    <w:rsid w:val="007060AA"/>
    <w:rsid w:val="00706835"/>
    <w:rsid w:val="0070684A"/>
    <w:rsid w:val="007069E7"/>
    <w:rsid w:val="00706CF7"/>
    <w:rsid w:val="00706D34"/>
    <w:rsid w:val="00707475"/>
    <w:rsid w:val="00707592"/>
    <w:rsid w:val="007078F5"/>
    <w:rsid w:val="00707CA3"/>
    <w:rsid w:val="00707CC8"/>
    <w:rsid w:val="00707D00"/>
    <w:rsid w:val="00707D52"/>
    <w:rsid w:val="00710045"/>
    <w:rsid w:val="0071028B"/>
    <w:rsid w:val="00710645"/>
    <w:rsid w:val="00710681"/>
    <w:rsid w:val="00710B1D"/>
    <w:rsid w:val="0071116F"/>
    <w:rsid w:val="007112A1"/>
    <w:rsid w:val="00711358"/>
    <w:rsid w:val="007115B9"/>
    <w:rsid w:val="00711670"/>
    <w:rsid w:val="007119E3"/>
    <w:rsid w:val="0071219C"/>
    <w:rsid w:val="00712554"/>
    <w:rsid w:val="00712B87"/>
    <w:rsid w:val="007134EC"/>
    <w:rsid w:val="00713845"/>
    <w:rsid w:val="00713AA4"/>
    <w:rsid w:val="00713DAE"/>
    <w:rsid w:val="00713EF0"/>
    <w:rsid w:val="0071448E"/>
    <w:rsid w:val="00714A2D"/>
    <w:rsid w:val="00714D90"/>
    <w:rsid w:val="00715136"/>
    <w:rsid w:val="0071536F"/>
    <w:rsid w:val="00715A87"/>
    <w:rsid w:val="00715EEE"/>
    <w:rsid w:val="007161B7"/>
    <w:rsid w:val="00716356"/>
    <w:rsid w:val="007163D6"/>
    <w:rsid w:val="007168D8"/>
    <w:rsid w:val="00716908"/>
    <w:rsid w:val="00716AC7"/>
    <w:rsid w:val="00716AF9"/>
    <w:rsid w:val="00716EF1"/>
    <w:rsid w:val="00716F82"/>
    <w:rsid w:val="007170A5"/>
    <w:rsid w:val="007171F1"/>
    <w:rsid w:val="00717206"/>
    <w:rsid w:val="00717238"/>
    <w:rsid w:val="00717731"/>
    <w:rsid w:val="0071782E"/>
    <w:rsid w:val="00717DEF"/>
    <w:rsid w:val="00717E78"/>
    <w:rsid w:val="00717F3F"/>
    <w:rsid w:val="00720378"/>
    <w:rsid w:val="00720ABB"/>
    <w:rsid w:val="00720BAE"/>
    <w:rsid w:val="00720E00"/>
    <w:rsid w:val="00720E4E"/>
    <w:rsid w:val="00720F94"/>
    <w:rsid w:val="00721342"/>
    <w:rsid w:val="007214F5"/>
    <w:rsid w:val="0072150C"/>
    <w:rsid w:val="007218AE"/>
    <w:rsid w:val="00721F29"/>
    <w:rsid w:val="00721FCE"/>
    <w:rsid w:val="0072217B"/>
    <w:rsid w:val="0072239D"/>
    <w:rsid w:val="00722674"/>
    <w:rsid w:val="007227CD"/>
    <w:rsid w:val="00722A8E"/>
    <w:rsid w:val="00722DC3"/>
    <w:rsid w:val="00722DE3"/>
    <w:rsid w:val="00723361"/>
    <w:rsid w:val="00723A2E"/>
    <w:rsid w:val="00723D17"/>
    <w:rsid w:val="00723D54"/>
    <w:rsid w:val="00723DFE"/>
    <w:rsid w:val="00723FC2"/>
    <w:rsid w:val="0072424D"/>
    <w:rsid w:val="00724732"/>
    <w:rsid w:val="00724B49"/>
    <w:rsid w:val="00724B78"/>
    <w:rsid w:val="00724F3A"/>
    <w:rsid w:val="00724F59"/>
    <w:rsid w:val="00725258"/>
    <w:rsid w:val="0072533A"/>
    <w:rsid w:val="007256E4"/>
    <w:rsid w:val="007259B5"/>
    <w:rsid w:val="00725D30"/>
    <w:rsid w:val="00726034"/>
    <w:rsid w:val="007260F1"/>
    <w:rsid w:val="00726460"/>
    <w:rsid w:val="0072680D"/>
    <w:rsid w:val="00726B1B"/>
    <w:rsid w:val="00726C59"/>
    <w:rsid w:val="00726D70"/>
    <w:rsid w:val="007272C3"/>
    <w:rsid w:val="0072766D"/>
    <w:rsid w:val="0072792C"/>
    <w:rsid w:val="00727BEA"/>
    <w:rsid w:val="00727CE2"/>
    <w:rsid w:val="0073008B"/>
    <w:rsid w:val="00730499"/>
    <w:rsid w:val="0073091B"/>
    <w:rsid w:val="00730C82"/>
    <w:rsid w:val="00730D7A"/>
    <w:rsid w:val="0073110C"/>
    <w:rsid w:val="00731168"/>
    <w:rsid w:val="007313F1"/>
    <w:rsid w:val="007316E1"/>
    <w:rsid w:val="00731993"/>
    <w:rsid w:val="00731E98"/>
    <w:rsid w:val="00732079"/>
    <w:rsid w:val="00732087"/>
    <w:rsid w:val="00732390"/>
    <w:rsid w:val="007323DF"/>
    <w:rsid w:val="00732863"/>
    <w:rsid w:val="00732A86"/>
    <w:rsid w:val="00732CF1"/>
    <w:rsid w:val="00732E0D"/>
    <w:rsid w:val="00733617"/>
    <w:rsid w:val="00733ED7"/>
    <w:rsid w:val="00734346"/>
    <w:rsid w:val="007343F6"/>
    <w:rsid w:val="00734B6D"/>
    <w:rsid w:val="00734C84"/>
    <w:rsid w:val="00734E33"/>
    <w:rsid w:val="007350DF"/>
    <w:rsid w:val="00735147"/>
    <w:rsid w:val="00735582"/>
    <w:rsid w:val="00735617"/>
    <w:rsid w:val="00735A3B"/>
    <w:rsid w:val="00735A9F"/>
    <w:rsid w:val="00735B12"/>
    <w:rsid w:val="00735BB7"/>
    <w:rsid w:val="00735F3A"/>
    <w:rsid w:val="00735FDD"/>
    <w:rsid w:val="007361BB"/>
    <w:rsid w:val="0073682D"/>
    <w:rsid w:val="007369E9"/>
    <w:rsid w:val="007371D3"/>
    <w:rsid w:val="007371F8"/>
    <w:rsid w:val="0073721C"/>
    <w:rsid w:val="00737408"/>
    <w:rsid w:val="007374CB"/>
    <w:rsid w:val="007374E6"/>
    <w:rsid w:val="007379E8"/>
    <w:rsid w:val="00737C7D"/>
    <w:rsid w:val="00737EAA"/>
    <w:rsid w:val="007404D5"/>
    <w:rsid w:val="007405C7"/>
    <w:rsid w:val="00740815"/>
    <w:rsid w:val="00740881"/>
    <w:rsid w:val="00740F1E"/>
    <w:rsid w:val="00740FD3"/>
    <w:rsid w:val="0074108B"/>
    <w:rsid w:val="007410CE"/>
    <w:rsid w:val="0074111F"/>
    <w:rsid w:val="00741505"/>
    <w:rsid w:val="0074164D"/>
    <w:rsid w:val="007417DC"/>
    <w:rsid w:val="00742138"/>
    <w:rsid w:val="00742153"/>
    <w:rsid w:val="007422A8"/>
    <w:rsid w:val="0074236C"/>
    <w:rsid w:val="00742488"/>
    <w:rsid w:val="0074261E"/>
    <w:rsid w:val="007426C5"/>
    <w:rsid w:val="00743FC3"/>
    <w:rsid w:val="00744578"/>
    <w:rsid w:val="007447AD"/>
    <w:rsid w:val="0074533A"/>
    <w:rsid w:val="007456E8"/>
    <w:rsid w:val="00745A89"/>
    <w:rsid w:val="00745DDD"/>
    <w:rsid w:val="00745FEC"/>
    <w:rsid w:val="00746720"/>
    <w:rsid w:val="0074676B"/>
    <w:rsid w:val="00746823"/>
    <w:rsid w:val="00746AFD"/>
    <w:rsid w:val="00746D39"/>
    <w:rsid w:val="00746DF8"/>
    <w:rsid w:val="00746F14"/>
    <w:rsid w:val="00747427"/>
    <w:rsid w:val="0074770D"/>
    <w:rsid w:val="00747A61"/>
    <w:rsid w:val="00747CD6"/>
    <w:rsid w:val="00747D04"/>
    <w:rsid w:val="00750A4E"/>
    <w:rsid w:val="00750C3F"/>
    <w:rsid w:val="00750CCA"/>
    <w:rsid w:val="00750DD9"/>
    <w:rsid w:val="00750FA4"/>
    <w:rsid w:val="007510FD"/>
    <w:rsid w:val="00751219"/>
    <w:rsid w:val="00751408"/>
    <w:rsid w:val="0075173A"/>
    <w:rsid w:val="007518BF"/>
    <w:rsid w:val="00751B10"/>
    <w:rsid w:val="00751D55"/>
    <w:rsid w:val="00751E2E"/>
    <w:rsid w:val="0075204A"/>
    <w:rsid w:val="00752167"/>
    <w:rsid w:val="007521C9"/>
    <w:rsid w:val="00752239"/>
    <w:rsid w:val="00752321"/>
    <w:rsid w:val="0075256D"/>
    <w:rsid w:val="00752A95"/>
    <w:rsid w:val="00752AB0"/>
    <w:rsid w:val="00752B8B"/>
    <w:rsid w:val="00753095"/>
    <w:rsid w:val="007530F2"/>
    <w:rsid w:val="0075318A"/>
    <w:rsid w:val="0075397A"/>
    <w:rsid w:val="00753A5F"/>
    <w:rsid w:val="00753AC3"/>
    <w:rsid w:val="00753D11"/>
    <w:rsid w:val="00753E95"/>
    <w:rsid w:val="007542D7"/>
    <w:rsid w:val="007544B8"/>
    <w:rsid w:val="00754551"/>
    <w:rsid w:val="007549D0"/>
    <w:rsid w:val="00754A0E"/>
    <w:rsid w:val="00754D14"/>
    <w:rsid w:val="00755303"/>
    <w:rsid w:val="007555B0"/>
    <w:rsid w:val="00755667"/>
    <w:rsid w:val="00755921"/>
    <w:rsid w:val="007559D1"/>
    <w:rsid w:val="00756013"/>
    <w:rsid w:val="007560F3"/>
    <w:rsid w:val="0075660C"/>
    <w:rsid w:val="0075668C"/>
    <w:rsid w:val="00756BDD"/>
    <w:rsid w:val="00756FD8"/>
    <w:rsid w:val="0075732A"/>
    <w:rsid w:val="0075738E"/>
    <w:rsid w:val="007575D4"/>
    <w:rsid w:val="007602E7"/>
    <w:rsid w:val="0076075C"/>
    <w:rsid w:val="0076092B"/>
    <w:rsid w:val="00760D69"/>
    <w:rsid w:val="007611F8"/>
    <w:rsid w:val="00761CF0"/>
    <w:rsid w:val="00761D6D"/>
    <w:rsid w:val="00761EBF"/>
    <w:rsid w:val="00761FBD"/>
    <w:rsid w:val="00761FC4"/>
    <w:rsid w:val="007620B7"/>
    <w:rsid w:val="00762798"/>
    <w:rsid w:val="00762920"/>
    <w:rsid w:val="00762AF6"/>
    <w:rsid w:val="00762B8D"/>
    <w:rsid w:val="007630E9"/>
    <w:rsid w:val="00763660"/>
    <w:rsid w:val="0076391D"/>
    <w:rsid w:val="00763A69"/>
    <w:rsid w:val="00763CA5"/>
    <w:rsid w:val="00763E56"/>
    <w:rsid w:val="007640AF"/>
    <w:rsid w:val="00764159"/>
    <w:rsid w:val="007641CB"/>
    <w:rsid w:val="00764565"/>
    <w:rsid w:val="007648F4"/>
    <w:rsid w:val="00764958"/>
    <w:rsid w:val="00764CEB"/>
    <w:rsid w:val="00765852"/>
    <w:rsid w:val="007658A6"/>
    <w:rsid w:val="00765A5B"/>
    <w:rsid w:val="00765AB0"/>
    <w:rsid w:val="00765E00"/>
    <w:rsid w:val="00766024"/>
    <w:rsid w:val="007660DE"/>
    <w:rsid w:val="00766676"/>
    <w:rsid w:val="007667B1"/>
    <w:rsid w:val="0076681A"/>
    <w:rsid w:val="00766953"/>
    <w:rsid w:val="00766A14"/>
    <w:rsid w:val="00766DCE"/>
    <w:rsid w:val="00766F05"/>
    <w:rsid w:val="007674FA"/>
    <w:rsid w:val="00767819"/>
    <w:rsid w:val="00767A8B"/>
    <w:rsid w:val="00767B07"/>
    <w:rsid w:val="00767F9C"/>
    <w:rsid w:val="007704EB"/>
    <w:rsid w:val="007705C8"/>
    <w:rsid w:val="00770A55"/>
    <w:rsid w:val="00770A69"/>
    <w:rsid w:val="00770FFC"/>
    <w:rsid w:val="007714C5"/>
    <w:rsid w:val="00771A7D"/>
    <w:rsid w:val="00771DED"/>
    <w:rsid w:val="00771E1D"/>
    <w:rsid w:val="007721EE"/>
    <w:rsid w:val="0077275C"/>
    <w:rsid w:val="00772AA3"/>
    <w:rsid w:val="00772CA4"/>
    <w:rsid w:val="0077321C"/>
    <w:rsid w:val="007736DF"/>
    <w:rsid w:val="00773AC7"/>
    <w:rsid w:val="00773C14"/>
    <w:rsid w:val="0077441D"/>
    <w:rsid w:val="00774581"/>
    <w:rsid w:val="0077461C"/>
    <w:rsid w:val="0077480B"/>
    <w:rsid w:val="00774A3A"/>
    <w:rsid w:val="00775146"/>
    <w:rsid w:val="00775511"/>
    <w:rsid w:val="007758F8"/>
    <w:rsid w:val="00776ED2"/>
    <w:rsid w:val="00776F1B"/>
    <w:rsid w:val="007770E9"/>
    <w:rsid w:val="00777300"/>
    <w:rsid w:val="007773AE"/>
    <w:rsid w:val="007801C8"/>
    <w:rsid w:val="00780345"/>
    <w:rsid w:val="00780934"/>
    <w:rsid w:val="00780C11"/>
    <w:rsid w:val="00780E8F"/>
    <w:rsid w:val="00780FCC"/>
    <w:rsid w:val="0078111A"/>
    <w:rsid w:val="00781AA8"/>
    <w:rsid w:val="00781C79"/>
    <w:rsid w:val="00781D21"/>
    <w:rsid w:val="00781D44"/>
    <w:rsid w:val="0078212E"/>
    <w:rsid w:val="00782185"/>
    <w:rsid w:val="007823F2"/>
    <w:rsid w:val="00783294"/>
    <w:rsid w:val="00783414"/>
    <w:rsid w:val="0078399A"/>
    <w:rsid w:val="00783A36"/>
    <w:rsid w:val="00783E41"/>
    <w:rsid w:val="00783F93"/>
    <w:rsid w:val="00784098"/>
    <w:rsid w:val="00784980"/>
    <w:rsid w:val="00784A28"/>
    <w:rsid w:val="0078515B"/>
    <w:rsid w:val="007856FE"/>
    <w:rsid w:val="007857F9"/>
    <w:rsid w:val="00785B5E"/>
    <w:rsid w:val="00785F7F"/>
    <w:rsid w:val="007860A8"/>
    <w:rsid w:val="007863A4"/>
    <w:rsid w:val="00786837"/>
    <w:rsid w:val="00786A01"/>
    <w:rsid w:val="00786A78"/>
    <w:rsid w:val="00786ACB"/>
    <w:rsid w:val="007874A1"/>
    <w:rsid w:val="00787545"/>
    <w:rsid w:val="0078756C"/>
    <w:rsid w:val="00787913"/>
    <w:rsid w:val="00787B48"/>
    <w:rsid w:val="00787D27"/>
    <w:rsid w:val="00787F60"/>
    <w:rsid w:val="007901A1"/>
    <w:rsid w:val="007908A3"/>
    <w:rsid w:val="00790C7A"/>
    <w:rsid w:val="00790FAB"/>
    <w:rsid w:val="00791630"/>
    <w:rsid w:val="00791636"/>
    <w:rsid w:val="00791A38"/>
    <w:rsid w:val="00791DC1"/>
    <w:rsid w:val="007920D8"/>
    <w:rsid w:val="00792E28"/>
    <w:rsid w:val="0079302A"/>
    <w:rsid w:val="0079458A"/>
    <w:rsid w:val="00794738"/>
    <w:rsid w:val="00794752"/>
    <w:rsid w:val="007947BB"/>
    <w:rsid w:val="007947E6"/>
    <w:rsid w:val="00794F35"/>
    <w:rsid w:val="00794FAE"/>
    <w:rsid w:val="007950F8"/>
    <w:rsid w:val="007951F6"/>
    <w:rsid w:val="007954F5"/>
    <w:rsid w:val="007957CA"/>
    <w:rsid w:val="0079596E"/>
    <w:rsid w:val="00795A57"/>
    <w:rsid w:val="00795AE8"/>
    <w:rsid w:val="00796052"/>
    <w:rsid w:val="007961C1"/>
    <w:rsid w:val="00796B34"/>
    <w:rsid w:val="007973E9"/>
    <w:rsid w:val="0079760E"/>
    <w:rsid w:val="00797674"/>
    <w:rsid w:val="00797A95"/>
    <w:rsid w:val="00797D17"/>
    <w:rsid w:val="007A015D"/>
    <w:rsid w:val="007A01EE"/>
    <w:rsid w:val="007A0421"/>
    <w:rsid w:val="007A042D"/>
    <w:rsid w:val="007A04EA"/>
    <w:rsid w:val="007A0540"/>
    <w:rsid w:val="007A11BE"/>
    <w:rsid w:val="007A160B"/>
    <w:rsid w:val="007A163D"/>
    <w:rsid w:val="007A16B7"/>
    <w:rsid w:val="007A174A"/>
    <w:rsid w:val="007A19E6"/>
    <w:rsid w:val="007A1C6C"/>
    <w:rsid w:val="007A210C"/>
    <w:rsid w:val="007A2771"/>
    <w:rsid w:val="007A2AE0"/>
    <w:rsid w:val="007A2C9C"/>
    <w:rsid w:val="007A2E3E"/>
    <w:rsid w:val="007A3166"/>
    <w:rsid w:val="007A31BC"/>
    <w:rsid w:val="007A3203"/>
    <w:rsid w:val="007A32EC"/>
    <w:rsid w:val="007A3BE8"/>
    <w:rsid w:val="007A3E58"/>
    <w:rsid w:val="007A45C1"/>
    <w:rsid w:val="007A4AC3"/>
    <w:rsid w:val="007A4B52"/>
    <w:rsid w:val="007A4B98"/>
    <w:rsid w:val="007A4BA2"/>
    <w:rsid w:val="007A4E0A"/>
    <w:rsid w:val="007A504C"/>
    <w:rsid w:val="007A50A0"/>
    <w:rsid w:val="007A5108"/>
    <w:rsid w:val="007A55F1"/>
    <w:rsid w:val="007A5782"/>
    <w:rsid w:val="007A5814"/>
    <w:rsid w:val="007A5DB4"/>
    <w:rsid w:val="007A5EDE"/>
    <w:rsid w:val="007A61FF"/>
    <w:rsid w:val="007A639A"/>
    <w:rsid w:val="007A6B4D"/>
    <w:rsid w:val="007A70CD"/>
    <w:rsid w:val="007A7113"/>
    <w:rsid w:val="007A71A5"/>
    <w:rsid w:val="007A7440"/>
    <w:rsid w:val="007A7837"/>
    <w:rsid w:val="007B00DF"/>
    <w:rsid w:val="007B0949"/>
    <w:rsid w:val="007B0D09"/>
    <w:rsid w:val="007B0ED7"/>
    <w:rsid w:val="007B11A9"/>
    <w:rsid w:val="007B1748"/>
    <w:rsid w:val="007B1757"/>
    <w:rsid w:val="007B1AFC"/>
    <w:rsid w:val="007B1E07"/>
    <w:rsid w:val="007B1E82"/>
    <w:rsid w:val="007B1F09"/>
    <w:rsid w:val="007B23C0"/>
    <w:rsid w:val="007B246E"/>
    <w:rsid w:val="007B2581"/>
    <w:rsid w:val="007B2706"/>
    <w:rsid w:val="007B285B"/>
    <w:rsid w:val="007B2915"/>
    <w:rsid w:val="007B2FA8"/>
    <w:rsid w:val="007B333C"/>
    <w:rsid w:val="007B3510"/>
    <w:rsid w:val="007B3700"/>
    <w:rsid w:val="007B38D1"/>
    <w:rsid w:val="007B3C0F"/>
    <w:rsid w:val="007B3D74"/>
    <w:rsid w:val="007B3DB3"/>
    <w:rsid w:val="007B3F33"/>
    <w:rsid w:val="007B3F92"/>
    <w:rsid w:val="007B4913"/>
    <w:rsid w:val="007B4B70"/>
    <w:rsid w:val="007B508C"/>
    <w:rsid w:val="007B51BA"/>
    <w:rsid w:val="007B553C"/>
    <w:rsid w:val="007B5BFD"/>
    <w:rsid w:val="007B5E1D"/>
    <w:rsid w:val="007B5F80"/>
    <w:rsid w:val="007B6029"/>
    <w:rsid w:val="007B646D"/>
    <w:rsid w:val="007B6513"/>
    <w:rsid w:val="007B6C60"/>
    <w:rsid w:val="007B6C8A"/>
    <w:rsid w:val="007B71C9"/>
    <w:rsid w:val="007B7367"/>
    <w:rsid w:val="007B7874"/>
    <w:rsid w:val="007B7DC2"/>
    <w:rsid w:val="007B7F82"/>
    <w:rsid w:val="007C005B"/>
    <w:rsid w:val="007C070E"/>
    <w:rsid w:val="007C0786"/>
    <w:rsid w:val="007C0B5F"/>
    <w:rsid w:val="007C0B93"/>
    <w:rsid w:val="007C0C04"/>
    <w:rsid w:val="007C12A9"/>
    <w:rsid w:val="007C150E"/>
    <w:rsid w:val="007C2009"/>
    <w:rsid w:val="007C21AE"/>
    <w:rsid w:val="007C237B"/>
    <w:rsid w:val="007C310C"/>
    <w:rsid w:val="007C315D"/>
    <w:rsid w:val="007C3323"/>
    <w:rsid w:val="007C3347"/>
    <w:rsid w:val="007C3687"/>
    <w:rsid w:val="007C385A"/>
    <w:rsid w:val="007C396E"/>
    <w:rsid w:val="007C3E2B"/>
    <w:rsid w:val="007C3FDC"/>
    <w:rsid w:val="007C4047"/>
    <w:rsid w:val="007C47EF"/>
    <w:rsid w:val="007C49CF"/>
    <w:rsid w:val="007C4BEB"/>
    <w:rsid w:val="007C4C9C"/>
    <w:rsid w:val="007C508B"/>
    <w:rsid w:val="007C51C7"/>
    <w:rsid w:val="007C526A"/>
    <w:rsid w:val="007C538A"/>
    <w:rsid w:val="007C5AC2"/>
    <w:rsid w:val="007C5D03"/>
    <w:rsid w:val="007C69A2"/>
    <w:rsid w:val="007C69B9"/>
    <w:rsid w:val="007C69F4"/>
    <w:rsid w:val="007C6DD3"/>
    <w:rsid w:val="007C711C"/>
    <w:rsid w:val="007C7613"/>
    <w:rsid w:val="007C7785"/>
    <w:rsid w:val="007C7B25"/>
    <w:rsid w:val="007C7FA8"/>
    <w:rsid w:val="007C7FB9"/>
    <w:rsid w:val="007D0101"/>
    <w:rsid w:val="007D0608"/>
    <w:rsid w:val="007D0BD8"/>
    <w:rsid w:val="007D1340"/>
    <w:rsid w:val="007D1536"/>
    <w:rsid w:val="007D15C1"/>
    <w:rsid w:val="007D19C1"/>
    <w:rsid w:val="007D2038"/>
    <w:rsid w:val="007D2264"/>
    <w:rsid w:val="007D24B0"/>
    <w:rsid w:val="007D2579"/>
    <w:rsid w:val="007D27C6"/>
    <w:rsid w:val="007D2F08"/>
    <w:rsid w:val="007D2F96"/>
    <w:rsid w:val="007D325A"/>
    <w:rsid w:val="007D328D"/>
    <w:rsid w:val="007D39CE"/>
    <w:rsid w:val="007D3DA4"/>
    <w:rsid w:val="007D4550"/>
    <w:rsid w:val="007D465B"/>
    <w:rsid w:val="007D471E"/>
    <w:rsid w:val="007D4B73"/>
    <w:rsid w:val="007D5531"/>
    <w:rsid w:val="007D56CB"/>
    <w:rsid w:val="007D56E9"/>
    <w:rsid w:val="007D5C03"/>
    <w:rsid w:val="007D5D6A"/>
    <w:rsid w:val="007D5F65"/>
    <w:rsid w:val="007D63B5"/>
    <w:rsid w:val="007D69E5"/>
    <w:rsid w:val="007D6CDA"/>
    <w:rsid w:val="007D6E10"/>
    <w:rsid w:val="007D730B"/>
    <w:rsid w:val="007D73ED"/>
    <w:rsid w:val="007D75D7"/>
    <w:rsid w:val="007D7698"/>
    <w:rsid w:val="007D7AE3"/>
    <w:rsid w:val="007D7BE5"/>
    <w:rsid w:val="007D7E6E"/>
    <w:rsid w:val="007E0046"/>
    <w:rsid w:val="007E0869"/>
    <w:rsid w:val="007E08E1"/>
    <w:rsid w:val="007E0A5D"/>
    <w:rsid w:val="007E0D3B"/>
    <w:rsid w:val="007E1220"/>
    <w:rsid w:val="007E1271"/>
    <w:rsid w:val="007E14BD"/>
    <w:rsid w:val="007E14BE"/>
    <w:rsid w:val="007E159B"/>
    <w:rsid w:val="007E1766"/>
    <w:rsid w:val="007E17E9"/>
    <w:rsid w:val="007E19CF"/>
    <w:rsid w:val="007E1F0A"/>
    <w:rsid w:val="007E2156"/>
    <w:rsid w:val="007E258E"/>
    <w:rsid w:val="007E29CC"/>
    <w:rsid w:val="007E2B4F"/>
    <w:rsid w:val="007E2C0B"/>
    <w:rsid w:val="007E2CAA"/>
    <w:rsid w:val="007E2CCC"/>
    <w:rsid w:val="007E3333"/>
    <w:rsid w:val="007E3420"/>
    <w:rsid w:val="007E34E0"/>
    <w:rsid w:val="007E3774"/>
    <w:rsid w:val="007E3B0D"/>
    <w:rsid w:val="007E3C6D"/>
    <w:rsid w:val="007E3DC4"/>
    <w:rsid w:val="007E43F2"/>
    <w:rsid w:val="007E45F6"/>
    <w:rsid w:val="007E4B35"/>
    <w:rsid w:val="007E4FCF"/>
    <w:rsid w:val="007E50F3"/>
    <w:rsid w:val="007E5391"/>
    <w:rsid w:val="007E5706"/>
    <w:rsid w:val="007E5E62"/>
    <w:rsid w:val="007E6551"/>
    <w:rsid w:val="007E686F"/>
    <w:rsid w:val="007E6CEF"/>
    <w:rsid w:val="007E719C"/>
    <w:rsid w:val="007E734E"/>
    <w:rsid w:val="007E75A3"/>
    <w:rsid w:val="007E76DA"/>
    <w:rsid w:val="007E79A5"/>
    <w:rsid w:val="007E7B61"/>
    <w:rsid w:val="007F0083"/>
    <w:rsid w:val="007F02DD"/>
    <w:rsid w:val="007F047C"/>
    <w:rsid w:val="007F080F"/>
    <w:rsid w:val="007F0911"/>
    <w:rsid w:val="007F0DB1"/>
    <w:rsid w:val="007F0E64"/>
    <w:rsid w:val="007F0EAC"/>
    <w:rsid w:val="007F106C"/>
    <w:rsid w:val="007F11D8"/>
    <w:rsid w:val="007F13D5"/>
    <w:rsid w:val="007F1A46"/>
    <w:rsid w:val="007F1C01"/>
    <w:rsid w:val="007F1C9A"/>
    <w:rsid w:val="007F1ECE"/>
    <w:rsid w:val="007F1F19"/>
    <w:rsid w:val="007F229E"/>
    <w:rsid w:val="007F28BD"/>
    <w:rsid w:val="007F298D"/>
    <w:rsid w:val="007F2CAF"/>
    <w:rsid w:val="007F30CD"/>
    <w:rsid w:val="007F3231"/>
    <w:rsid w:val="007F364C"/>
    <w:rsid w:val="007F3709"/>
    <w:rsid w:val="007F42A4"/>
    <w:rsid w:val="007F4499"/>
    <w:rsid w:val="007F4DDC"/>
    <w:rsid w:val="007F5257"/>
    <w:rsid w:val="007F5816"/>
    <w:rsid w:val="007F5A6E"/>
    <w:rsid w:val="007F613F"/>
    <w:rsid w:val="007F6C80"/>
    <w:rsid w:val="007F6DC8"/>
    <w:rsid w:val="007F6F20"/>
    <w:rsid w:val="007F741C"/>
    <w:rsid w:val="007F7850"/>
    <w:rsid w:val="007F78EC"/>
    <w:rsid w:val="007F7960"/>
    <w:rsid w:val="007F7D74"/>
    <w:rsid w:val="007F7F9B"/>
    <w:rsid w:val="008001C9"/>
    <w:rsid w:val="008005F2"/>
    <w:rsid w:val="0080060B"/>
    <w:rsid w:val="00800C23"/>
    <w:rsid w:val="00800C5F"/>
    <w:rsid w:val="00800CBC"/>
    <w:rsid w:val="00800E39"/>
    <w:rsid w:val="00800EB2"/>
    <w:rsid w:val="00800ED5"/>
    <w:rsid w:val="008010CD"/>
    <w:rsid w:val="0080141D"/>
    <w:rsid w:val="00801728"/>
    <w:rsid w:val="008017A0"/>
    <w:rsid w:val="008018D2"/>
    <w:rsid w:val="00801B6C"/>
    <w:rsid w:val="00801DE7"/>
    <w:rsid w:val="008021B7"/>
    <w:rsid w:val="00802217"/>
    <w:rsid w:val="008026DC"/>
    <w:rsid w:val="008027CA"/>
    <w:rsid w:val="0080299E"/>
    <w:rsid w:val="00802BD3"/>
    <w:rsid w:val="00802CE1"/>
    <w:rsid w:val="00802FA5"/>
    <w:rsid w:val="008032E0"/>
    <w:rsid w:val="0080357F"/>
    <w:rsid w:val="008039CA"/>
    <w:rsid w:val="00803C8D"/>
    <w:rsid w:val="00803CBE"/>
    <w:rsid w:val="00803EA3"/>
    <w:rsid w:val="0080437C"/>
    <w:rsid w:val="008043C1"/>
    <w:rsid w:val="008045E4"/>
    <w:rsid w:val="008047F5"/>
    <w:rsid w:val="0080498B"/>
    <w:rsid w:val="00804AA9"/>
    <w:rsid w:val="00804CEE"/>
    <w:rsid w:val="00805075"/>
    <w:rsid w:val="00805421"/>
    <w:rsid w:val="008055BE"/>
    <w:rsid w:val="00805983"/>
    <w:rsid w:val="00805ACC"/>
    <w:rsid w:val="00805BFB"/>
    <w:rsid w:val="00805C32"/>
    <w:rsid w:val="00805CEF"/>
    <w:rsid w:val="00805D3D"/>
    <w:rsid w:val="00805DD5"/>
    <w:rsid w:val="00805F0C"/>
    <w:rsid w:val="0080642F"/>
    <w:rsid w:val="00806561"/>
    <w:rsid w:val="00806BD2"/>
    <w:rsid w:val="008070CD"/>
    <w:rsid w:val="00807643"/>
    <w:rsid w:val="008078D1"/>
    <w:rsid w:val="00807AC3"/>
    <w:rsid w:val="00807B32"/>
    <w:rsid w:val="00807C17"/>
    <w:rsid w:val="00807C2A"/>
    <w:rsid w:val="0081045E"/>
    <w:rsid w:val="008107ED"/>
    <w:rsid w:val="00810C54"/>
    <w:rsid w:val="00810E06"/>
    <w:rsid w:val="00810F89"/>
    <w:rsid w:val="00811029"/>
    <w:rsid w:val="00811382"/>
    <w:rsid w:val="00811496"/>
    <w:rsid w:val="008116D1"/>
    <w:rsid w:val="00811702"/>
    <w:rsid w:val="00811842"/>
    <w:rsid w:val="0081184B"/>
    <w:rsid w:val="00811857"/>
    <w:rsid w:val="0081190D"/>
    <w:rsid w:val="00811D7B"/>
    <w:rsid w:val="008127DB"/>
    <w:rsid w:val="00812B43"/>
    <w:rsid w:val="008130CC"/>
    <w:rsid w:val="00813495"/>
    <w:rsid w:val="00813FF1"/>
    <w:rsid w:val="00814761"/>
    <w:rsid w:val="00814A56"/>
    <w:rsid w:val="00814D1B"/>
    <w:rsid w:val="00815142"/>
    <w:rsid w:val="008153CC"/>
    <w:rsid w:val="0081563B"/>
    <w:rsid w:val="008159A8"/>
    <w:rsid w:val="00815B54"/>
    <w:rsid w:val="0081648D"/>
    <w:rsid w:val="00816CF6"/>
    <w:rsid w:val="00816EC1"/>
    <w:rsid w:val="008170B6"/>
    <w:rsid w:val="0081729A"/>
    <w:rsid w:val="008175AC"/>
    <w:rsid w:val="00817CB8"/>
    <w:rsid w:val="00817E2E"/>
    <w:rsid w:val="008204C5"/>
    <w:rsid w:val="00820692"/>
    <w:rsid w:val="00820844"/>
    <w:rsid w:val="0082085B"/>
    <w:rsid w:val="00820F2C"/>
    <w:rsid w:val="00821120"/>
    <w:rsid w:val="00821159"/>
    <w:rsid w:val="0082117C"/>
    <w:rsid w:val="008216BE"/>
    <w:rsid w:val="008216CD"/>
    <w:rsid w:val="00821824"/>
    <w:rsid w:val="00821D0A"/>
    <w:rsid w:val="00821E40"/>
    <w:rsid w:val="00821E5D"/>
    <w:rsid w:val="00821EA5"/>
    <w:rsid w:val="00821EE3"/>
    <w:rsid w:val="00822069"/>
    <w:rsid w:val="008221EF"/>
    <w:rsid w:val="0082222F"/>
    <w:rsid w:val="0082226E"/>
    <w:rsid w:val="00822502"/>
    <w:rsid w:val="00822AD9"/>
    <w:rsid w:val="008234C1"/>
    <w:rsid w:val="00823533"/>
    <w:rsid w:val="008235B5"/>
    <w:rsid w:val="008237D6"/>
    <w:rsid w:val="00823851"/>
    <w:rsid w:val="0082387C"/>
    <w:rsid w:val="00823C10"/>
    <w:rsid w:val="00823CC6"/>
    <w:rsid w:val="00823D79"/>
    <w:rsid w:val="00824038"/>
    <w:rsid w:val="00824152"/>
    <w:rsid w:val="0082450A"/>
    <w:rsid w:val="0082468F"/>
    <w:rsid w:val="00824801"/>
    <w:rsid w:val="0082514C"/>
    <w:rsid w:val="008253B4"/>
    <w:rsid w:val="00825D31"/>
    <w:rsid w:val="00825F71"/>
    <w:rsid w:val="00826041"/>
    <w:rsid w:val="00826189"/>
    <w:rsid w:val="008266F8"/>
    <w:rsid w:val="00826882"/>
    <w:rsid w:val="00826D77"/>
    <w:rsid w:val="00826F6C"/>
    <w:rsid w:val="008270C5"/>
    <w:rsid w:val="00827387"/>
    <w:rsid w:val="0082749E"/>
    <w:rsid w:val="0082778C"/>
    <w:rsid w:val="00827ABF"/>
    <w:rsid w:val="00827C72"/>
    <w:rsid w:val="00827D2D"/>
    <w:rsid w:val="00827E29"/>
    <w:rsid w:val="00827F3F"/>
    <w:rsid w:val="00830576"/>
    <w:rsid w:val="00830665"/>
    <w:rsid w:val="00830781"/>
    <w:rsid w:val="008307EE"/>
    <w:rsid w:val="00830E1D"/>
    <w:rsid w:val="00830FC9"/>
    <w:rsid w:val="0083173B"/>
    <w:rsid w:val="008317B6"/>
    <w:rsid w:val="008317E6"/>
    <w:rsid w:val="00831BAC"/>
    <w:rsid w:val="00832439"/>
    <w:rsid w:val="00832646"/>
    <w:rsid w:val="00832849"/>
    <w:rsid w:val="00832BA7"/>
    <w:rsid w:val="00832CD8"/>
    <w:rsid w:val="0083309B"/>
    <w:rsid w:val="008332F5"/>
    <w:rsid w:val="008333D8"/>
    <w:rsid w:val="00833AE5"/>
    <w:rsid w:val="00833AE9"/>
    <w:rsid w:val="00833C8A"/>
    <w:rsid w:val="00833E90"/>
    <w:rsid w:val="0083413B"/>
    <w:rsid w:val="0083470B"/>
    <w:rsid w:val="00834980"/>
    <w:rsid w:val="00834A99"/>
    <w:rsid w:val="00834F9F"/>
    <w:rsid w:val="00834FDB"/>
    <w:rsid w:val="0083518E"/>
    <w:rsid w:val="00835273"/>
    <w:rsid w:val="0083534C"/>
    <w:rsid w:val="008356DB"/>
    <w:rsid w:val="0083578C"/>
    <w:rsid w:val="008358B2"/>
    <w:rsid w:val="00836068"/>
    <w:rsid w:val="00836A5B"/>
    <w:rsid w:val="00836B1A"/>
    <w:rsid w:val="00836BDF"/>
    <w:rsid w:val="00836D58"/>
    <w:rsid w:val="00837003"/>
    <w:rsid w:val="008373FC"/>
    <w:rsid w:val="008377D6"/>
    <w:rsid w:val="00837B39"/>
    <w:rsid w:val="008400E9"/>
    <w:rsid w:val="008403FB"/>
    <w:rsid w:val="00840638"/>
    <w:rsid w:val="008408C5"/>
    <w:rsid w:val="00840EAE"/>
    <w:rsid w:val="008411B6"/>
    <w:rsid w:val="008413DC"/>
    <w:rsid w:val="0084150A"/>
    <w:rsid w:val="00841549"/>
    <w:rsid w:val="00841A05"/>
    <w:rsid w:val="0084224B"/>
    <w:rsid w:val="008424C5"/>
    <w:rsid w:val="008426CB"/>
    <w:rsid w:val="008427AA"/>
    <w:rsid w:val="00842B9A"/>
    <w:rsid w:val="00842E00"/>
    <w:rsid w:val="00842F1B"/>
    <w:rsid w:val="008431EB"/>
    <w:rsid w:val="00843473"/>
    <w:rsid w:val="00844129"/>
    <w:rsid w:val="0084426F"/>
    <w:rsid w:val="00844317"/>
    <w:rsid w:val="0084498A"/>
    <w:rsid w:val="00844C86"/>
    <w:rsid w:val="00845484"/>
    <w:rsid w:val="00845667"/>
    <w:rsid w:val="0084597A"/>
    <w:rsid w:val="00845B08"/>
    <w:rsid w:val="00845D0F"/>
    <w:rsid w:val="00845DD5"/>
    <w:rsid w:val="00845EC4"/>
    <w:rsid w:val="0084622A"/>
    <w:rsid w:val="00846324"/>
    <w:rsid w:val="0084684A"/>
    <w:rsid w:val="008469D4"/>
    <w:rsid w:val="008471C2"/>
    <w:rsid w:val="00847239"/>
    <w:rsid w:val="008479AF"/>
    <w:rsid w:val="00847EBF"/>
    <w:rsid w:val="00850A5F"/>
    <w:rsid w:val="00850C79"/>
    <w:rsid w:val="00850CD0"/>
    <w:rsid w:val="00850E12"/>
    <w:rsid w:val="00851027"/>
    <w:rsid w:val="00851293"/>
    <w:rsid w:val="00851675"/>
    <w:rsid w:val="0085171B"/>
    <w:rsid w:val="008518CA"/>
    <w:rsid w:val="00851BB7"/>
    <w:rsid w:val="00851C4A"/>
    <w:rsid w:val="00853266"/>
    <w:rsid w:val="008549E0"/>
    <w:rsid w:val="00854E95"/>
    <w:rsid w:val="00854F1B"/>
    <w:rsid w:val="00854F3E"/>
    <w:rsid w:val="008552BC"/>
    <w:rsid w:val="008555BA"/>
    <w:rsid w:val="00855830"/>
    <w:rsid w:val="00856704"/>
    <w:rsid w:val="00856B1D"/>
    <w:rsid w:val="00856EDA"/>
    <w:rsid w:val="00856F40"/>
    <w:rsid w:val="00857161"/>
    <w:rsid w:val="00860404"/>
    <w:rsid w:val="00860562"/>
    <w:rsid w:val="00860AE2"/>
    <w:rsid w:val="00860B7E"/>
    <w:rsid w:val="00860D33"/>
    <w:rsid w:val="0086119F"/>
    <w:rsid w:val="008614DA"/>
    <w:rsid w:val="00861B68"/>
    <w:rsid w:val="00861EBA"/>
    <w:rsid w:val="008622D0"/>
    <w:rsid w:val="008628CD"/>
    <w:rsid w:val="00862902"/>
    <w:rsid w:val="0086309C"/>
    <w:rsid w:val="0086309E"/>
    <w:rsid w:val="00863107"/>
    <w:rsid w:val="0086322A"/>
    <w:rsid w:val="00863319"/>
    <w:rsid w:val="00863504"/>
    <w:rsid w:val="00863C74"/>
    <w:rsid w:val="00863E5B"/>
    <w:rsid w:val="00863E93"/>
    <w:rsid w:val="00863EB6"/>
    <w:rsid w:val="008642E3"/>
    <w:rsid w:val="008644F8"/>
    <w:rsid w:val="00864B40"/>
    <w:rsid w:val="00865036"/>
    <w:rsid w:val="0086515A"/>
    <w:rsid w:val="008651CA"/>
    <w:rsid w:val="00865679"/>
    <w:rsid w:val="0086574D"/>
    <w:rsid w:val="008659B7"/>
    <w:rsid w:val="00865B03"/>
    <w:rsid w:val="00865DBA"/>
    <w:rsid w:val="008664F5"/>
    <w:rsid w:val="008665D0"/>
    <w:rsid w:val="00866781"/>
    <w:rsid w:val="008667D2"/>
    <w:rsid w:val="00866877"/>
    <w:rsid w:val="00866A4E"/>
    <w:rsid w:val="00866CA6"/>
    <w:rsid w:val="00867240"/>
    <w:rsid w:val="00867A36"/>
    <w:rsid w:val="00867ECE"/>
    <w:rsid w:val="00867F45"/>
    <w:rsid w:val="008703B4"/>
    <w:rsid w:val="008703B8"/>
    <w:rsid w:val="008703D8"/>
    <w:rsid w:val="0087046B"/>
    <w:rsid w:val="008708AF"/>
    <w:rsid w:val="008710BF"/>
    <w:rsid w:val="008711BC"/>
    <w:rsid w:val="008717DA"/>
    <w:rsid w:val="00871C51"/>
    <w:rsid w:val="00871FC1"/>
    <w:rsid w:val="00871FC8"/>
    <w:rsid w:val="008726E0"/>
    <w:rsid w:val="00872741"/>
    <w:rsid w:val="00872AE7"/>
    <w:rsid w:val="00872B6C"/>
    <w:rsid w:val="00872BCC"/>
    <w:rsid w:val="00872BD6"/>
    <w:rsid w:val="00873518"/>
    <w:rsid w:val="00873601"/>
    <w:rsid w:val="00873C25"/>
    <w:rsid w:val="00873C36"/>
    <w:rsid w:val="0087413F"/>
    <w:rsid w:val="008748D9"/>
    <w:rsid w:val="00874A16"/>
    <w:rsid w:val="00874AA3"/>
    <w:rsid w:val="00874D45"/>
    <w:rsid w:val="00874E6E"/>
    <w:rsid w:val="00874E83"/>
    <w:rsid w:val="00875250"/>
    <w:rsid w:val="0087526D"/>
    <w:rsid w:val="0087564F"/>
    <w:rsid w:val="00875727"/>
    <w:rsid w:val="00875992"/>
    <w:rsid w:val="00875CA2"/>
    <w:rsid w:val="00876087"/>
    <w:rsid w:val="0087647B"/>
    <w:rsid w:val="00876A4C"/>
    <w:rsid w:val="0087752C"/>
    <w:rsid w:val="008776D7"/>
    <w:rsid w:val="00877E0A"/>
    <w:rsid w:val="0088002B"/>
    <w:rsid w:val="008804E3"/>
    <w:rsid w:val="008806D1"/>
    <w:rsid w:val="00880B68"/>
    <w:rsid w:val="00880C13"/>
    <w:rsid w:val="00880C60"/>
    <w:rsid w:val="00880F5E"/>
    <w:rsid w:val="00881296"/>
    <w:rsid w:val="0088154D"/>
    <w:rsid w:val="0088175E"/>
    <w:rsid w:val="0088200C"/>
    <w:rsid w:val="00882119"/>
    <w:rsid w:val="0088217E"/>
    <w:rsid w:val="0088237A"/>
    <w:rsid w:val="00882543"/>
    <w:rsid w:val="00882D4E"/>
    <w:rsid w:val="00882FED"/>
    <w:rsid w:val="008832DF"/>
    <w:rsid w:val="0088351C"/>
    <w:rsid w:val="00883829"/>
    <w:rsid w:val="00883968"/>
    <w:rsid w:val="008839F1"/>
    <w:rsid w:val="0088415F"/>
    <w:rsid w:val="0088420F"/>
    <w:rsid w:val="00884504"/>
    <w:rsid w:val="00884A7A"/>
    <w:rsid w:val="00884D5D"/>
    <w:rsid w:val="0088513E"/>
    <w:rsid w:val="008851FB"/>
    <w:rsid w:val="0088597B"/>
    <w:rsid w:val="00885F64"/>
    <w:rsid w:val="00886173"/>
    <w:rsid w:val="0088629F"/>
    <w:rsid w:val="00886392"/>
    <w:rsid w:val="0088661A"/>
    <w:rsid w:val="008870C3"/>
    <w:rsid w:val="00887242"/>
    <w:rsid w:val="0088755B"/>
    <w:rsid w:val="008878F1"/>
    <w:rsid w:val="00887934"/>
    <w:rsid w:val="00887C8F"/>
    <w:rsid w:val="00887DE1"/>
    <w:rsid w:val="008900C1"/>
    <w:rsid w:val="00890124"/>
    <w:rsid w:val="0089023F"/>
    <w:rsid w:val="0089030B"/>
    <w:rsid w:val="00890404"/>
    <w:rsid w:val="008905DA"/>
    <w:rsid w:val="00890A22"/>
    <w:rsid w:val="00890A55"/>
    <w:rsid w:val="00890ABA"/>
    <w:rsid w:val="00890DD2"/>
    <w:rsid w:val="00891C71"/>
    <w:rsid w:val="00891D29"/>
    <w:rsid w:val="00891D76"/>
    <w:rsid w:val="00891F61"/>
    <w:rsid w:val="00891F8F"/>
    <w:rsid w:val="00892137"/>
    <w:rsid w:val="00892209"/>
    <w:rsid w:val="008922BF"/>
    <w:rsid w:val="00892323"/>
    <w:rsid w:val="008925EF"/>
    <w:rsid w:val="00892719"/>
    <w:rsid w:val="008927F5"/>
    <w:rsid w:val="0089282B"/>
    <w:rsid w:val="00892838"/>
    <w:rsid w:val="00892967"/>
    <w:rsid w:val="008929D7"/>
    <w:rsid w:val="00892A06"/>
    <w:rsid w:val="00892A4C"/>
    <w:rsid w:val="00892A74"/>
    <w:rsid w:val="0089315D"/>
    <w:rsid w:val="00893215"/>
    <w:rsid w:val="008933F4"/>
    <w:rsid w:val="0089355D"/>
    <w:rsid w:val="008937BF"/>
    <w:rsid w:val="00893949"/>
    <w:rsid w:val="00893990"/>
    <w:rsid w:val="008939CF"/>
    <w:rsid w:val="00893BAB"/>
    <w:rsid w:val="00893C45"/>
    <w:rsid w:val="00893DE9"/>
    <w:rsid w:val="00893EB8"/>
    <w:rsid w:val="00893FC9"/>
    <w:rsid w:val="00894121"/>
    <w:rsid w:val="00894157"/>
    <w:rsid w:val="008942E2"/>
    <w:rsid w:val="008943D5"/>
    <w:rsid w:val="0089472F"/>
    <w:rsid w:val="0089485A"/>
    <w:rsid w:val="00894AC1"/>
    <w:rsid w:val="00894C4A"/>
    <w:rsid w:val="008951A0"/>
    <w:rsid w:val="008952D7"/>
    <w:rsid w:val="00895752"/>
    <w:rsid w:val="0089582F"/>
    <w:rsid w:val="00896225"/>
    <w:rsid w:val="00896257"/>
    <w:rsid w:val="00896467"/>
    <w:rsid w:val="00896EAC"/>
    <w:rsid w:val="00896F03"/>
    <w:rsid w:val="00897159"/>
    <w:rsid w:val="0089734B"/>
    <w:rsid w:val="008974C0"/>
    <w:rsid w:val="008977F1"/>
    <w:rsid w:val="00897CE4"/>
    <w:rsid w:val="00897DE8"/>
    <w:rsid w:val="008A00B5"/>
    <w:rsid w:val="008A0138"/>
    <w:rsid w:val="008A025F"/>
    <w:rsid w:val="008A03C7"/>
    <w:rsid w:val="008A090A"/>
    <w:rsid w:val="008A0D57"/>
    <w:rsid w:val="008A1171"/>
    <w:rsid w:val="008A13CF"/>
    <w:rsid w:val="008A163B"/>
    <w:rsid w:val="008A1726"/>
    <w:rsid w:val="008A1903"/>
    <w:rsid w:val="008A19D1"/>
    <w:rsid w:val="008A20B8"/>
    <w:rsid w:val="008A23C5"/>
    <w:rsid w:val="008A2BBE"/>
    <w:rsid w:val="008A2C3E"/>
    <w:rsid w:val="008A300E"/>
    <w:rsid w:val="008A3132"/>
    <w:rsid w:val="008A34E1"/>
    <w:rsid w:val="008A35F4"/>
    <w:rsid w:val="008A3937"/>
    <w:rsid w:val="008A40EF"/>
    <w:rsid w:val="008A41C5"/>
    <w:rsid w:val="008A4556"/>
    <w:rsid w:val="008A46CA"/>
    <w:rsid w:val="008A4965"/>
    <w:rsid w:val="008A4B30"/>
    <w:rsid w:val="008A4E6C"/>
    <w:rsid w:val="008A57C8"/>
    <w:rsid w:val="008A610D"/>
    <w:rsid w:val="008A623A"/>
    <w:rsid w:val="008A6696"/>
    <w:rsid w:val="008A6AED"/>
    <w:rsid w:val="008A6E6E"/>
    <w:rsid w:val="008A73A5"/>
    <w:rsid w:val="008A76C4"/>
    <w:rsid w:val="008A7D3B"/>
    <w:rsid w:val="008B012D"/>
    <w:rsid w:val="008B0318"/>
    <w:rsid w:val="008B04AB"/>
    <w:rsid w:val="008B0559"/>
    <w:rsid w:val="008B0582"/>
    <w:rsid w:val="008B05BF"/>
    <w:rsid w:val="008B072B"/>
    <w:rsid w:val="008B090A"/>
    <w:rsid w:val="008B0A6E"/>
    <w:rsid w:val="008B0BA6"/>
    <w:rsid w:val="008B0C6F"/>
    <w:rsid w:val="008B0CB4"/>
    <w:rsid w:val="008B0E99"/>
    <w:rsid w:val="008B0E9E"/>
    <w:rsid w:val="008B151F"/>
    <w:rsid w:val="008B168E"/>
    <w:rsid w:val="008B1D95"/>
    <w:rsid w:val="008B2089"/>
    <w:rsid w:val="008B20BB"/>
    <w:rsid w:val="008B2324"/>
    <w:rsid w:val="008B2B3B"/>
    <w:rsid w:val="008B2DD8"/>
    <w:rsid w:val="008B2E4A"/>
    <w:rsid w:val="008B2EA6"/>
    <w:rsid w:val="008B310A"/>
    <w:rsid w:val="008B380C"/>
    <w:rsid w:val="008B3E89"/>
    <w:rsid w:val="008B4384"/>
    <w:rsid w:val="008B4961"/>
    <w:rsid w:val="008B4A66"/>
    <w:rsid w:val="008B4DF0"/>
    <w:rsid w:val="008B5593"/>
    <w:rsid w:val="008B5636"/>
    <w:rsid w:val="008B5ED7"/>
    <w:rsid w:val="008B61FF"/>
    <w:rsid w:val="008B65A5"/>
    <w:rsid w:val="008B6B17"/>
    <w:rsid w:val="008B6CF8"/>
    <w:rsid w:val="008B7392"/>
    <w:rsid w:val="008B73D6"/>
    <w:rsid w:val="008B786B"/>
    <w:rsid w:val="008B7A58"/>
    <w:rsid w:val="008B7C07"/>
    <w:rsid w:val="008C01D7"/>
    <w:rsid w:val="008C01DC"/>
    <w:rsid w:val="008C01E8"/>
    <w:rsid w:val="008C08CA"/>
    <w:rsid w:val="008C0B36"/>
    <w:rsid w:val="008C1935"/>
    <w:rsid w:val="008C1DE2"/>
    <w:rsid w:val="008C1F46"/>
    <w:rsid w:val="008C1FB3"/>
    <w:rsid w:val="008C21C8"/>
    <w:rsid w:val="008C23F7"/>
    <w:rsid w:val="008C2413"/>
    <w:rsid w:val="008C2449"/>
    <w:rsid w:val="008C2896"/>
    <w:rsid w:val="008C2D5E"/>
    <w:rsid w:val="008C2E99"/>
    <w:rsid w:val="008C2FFB"/>
    <w:rsid w:val="008C3639"/>
    <w:rsid w:val="008C3642"/>
    <w:rsid w:val="008C415C"/>
    <w:rsid w:val="008C427A"/>
    <w:rsid w:val="008C4356"/>
    <w:rsid w:val="008C4565"/>
    <w:rsid w:val="008C499C"/>
    <w:rsid w:val="008C4F1B"/>
    <w:rsid w:val="008C5202"/>
    <w:rsid w:val="008C53CD"/>
    <w:rsid w:val="008C5444"/>
    <w:rsid w:val="008C5A1E"/>
    <w:rsid w:val="008C60E6"/>
    <w:rsid w:val="008C6279"/>
    <w:rsid w:val="008C62CF"/>
    <w:rsid w:val="008C639F"/>
    <w:rsid w:val="008C65FD"/>
    <w:rsid w:val="008C71B0"/>
    <w:rsid w:val="008C7216"/>
    <w:rsid w:val="008C7360"/>
    <w:rsid w:val="008C736A"/>
    <w:rsid w:val="008C73FC"/>
    <w:rsid w:val="008C74AE"/>
    <w:rsid w:val="008C771F"/>
    <w:rsid w:val="008C7883"/>
    <w:rsid w:val="008C7927"/>
    <w:rsid w:val="008C7CDD"/>
    <w:rsid w:val="008C7F71"/>
    <w:rsid w:val="008D0323"/>
    <w:rsid w:val="008D0527"/>
    <w:rsid w:val="008D085B"/>
    <w:rsid w:val="008D087A"/>
    <w:rsid w:val="008D1043"/>
    <w:rsid w:val="008D195A"/>
    <w:rsid w:val="008D19E7"/>
    <w:rsid w:val="008D1D3B"/>
    <w:rsid w:val="008D214F"/>
    <w:rsid w:val="008D24CD"/>
    <w:rsid w:val="008D2698"/>
    <w:rsid w:val="008D26CE"/>
    <w:rsid w:val="008D28B5"/>
    <w:rsid w:val="008D2CAF"/>
    <w:rsid w:val="008D2DE5"/>
    <w:rsid w:val="008D3507"/>
    <w:rsid w:val="008D36E2"/>
    <w:rsid w:val="008D39A3"/>
    <w:rsid w:val="008D3DC4"/>
    <w:rsid w:val="008D3E0C"/>
    <w:rsid w:val="008D4130"/>
    <w:rsid w:val="008D42C5"/>
    <w:rsid w:val="008D4392"/>
    <w:rsid w:val="008D475F"/>
    <w:rsid w:val="008D484D"/>
    <w:rsid w:val="008D4AEF"/>
    <w:rsid w:val="008D4D64"/>
    <w:rsid w:val="008D4E15"/>
    <w:rsid w:val="008D4F0F"/>
    <w:rsid w:val="008D509E"/>
    <w:rsid w:val="008D52F4"/>
    <w:rsid w:val="008D560D"/>
    <w:rsid w:val="008D5804"/>
    <w:rsid w:val="008D5C50"/>
    <w:rsid w:val="008D5F13"/>
    <w:rsid w:val="008D61B7"/>
    <w:rsid w:val="008D6853"/>
    <w:rsid w:val="008D6BFF"/>
    <w:rsid w:val="008D6E8E"/>
    <w:rsid w:val="008D6EE6"/>
    <w:rsid w:val="008D700C"/>
    <w:rsid w:val="008D7154"/>
    <w:rsid w:val="008D72A9"/>
    <w:rsid w:val="008D7632"/>
    <w:rsid w:val="008D798D"/>
    <w:rsid w:val="008D7B20"/>
    <w:rsid w:val="008D7D96"/>
    <w:rsid w:val="008D7E3B"/>
    <w:rsid w:val="008D7F03"/>
    <w:rsid w:val="008E0103"/>
    <w:rsid w:val="008E047D"/>
    <w:rsid w:val="008E0644"/>
    <w:rsid w:val="008E1014"/>
    <w:rsid w:val="008E1651"/>
    <w:rsid w:val="008E16E9"/>
    <w:rsid w:val="008E18E4"/>
    <w:rsid w:val="008E192A"/>
    <w:rsid w:val="008E1D93"/>
    <w:rsid w:val="008E1DC1"/>
    <w:rsid w:val="008E1E89"/>
    <w:rsid w:val="008E24E8"/>
    <w:rsid w:val="008E255A"/>
    <w:rsid w:val="008E27AA"/>
    <w:rsid w:val="008E2C55"/>
    <w:rsid w:val="008E2DB1"/>
    <w:rsid w:val="008E2EA9"/>
    <w:rsid w:val="008E3291"/>
    <w:rsid w:val="008E405A"/>
    <w:rsid w:val="008E433E"/>
    <w:rsid w:val="008E4802"/>
    <w:rsid w:val="008E4A38"/>
    <w:rsid w:val="008E4B77"/>
    <w:rsid w:val="008E4F59"/>
    <w:rsid w:val="008E4F61"/>
    <w:rsid w:val="008E5513"/>
    <w:rsid w:val="008E623F"/>
    <w:rsid w:val="008E6268"/>
    <w:rsid w:val="008E6294"/>
    <w:rsid w:val="008E6945"/>
    <w:rsid w:val="008E695D"/>
    <w:rsid w:val="008E6CD8"/>
    <w:rsid w:val="008E7A94"/>
    <w:rsid w:val="008E7C72"/>
    <w:rsid w:val="008F039B"/>
    <w:rsid w:val="008F03F6"/>
    <w:rsid w:val="008F05DF"/>
    <w:rsid w:val="008F0DFE"/>
    <w:rsid w:val="008F0E8D"/>
    <w:rsid w:val="008F15D7"/>
    <w:rsid w:val="008F186E"/>
    <w:rsid w:val="008F1A3D"/>
    <w:rsid w:val="008F1C77"/>
    <w:rsid w:val="008F296C"/>
    <w:rsid w:val="008F2F0E"/>
    <w:rsid w:val="008F2F39"/>
    <w:rsid w:val="008F2F7C"/>
    <w:rsid w:val="008F34A4"/>
    <w:rsid w:val="008F358B"/>
    <w:rsid w:val="008F3663"/>
    <w:rsid w:val="008F374F"/>
    <w:rsid w:val="008F3DA9"/>
    <w:rsid w:val="008F40DE"/>
    <w:rsid w:val="008F4153"/>
    <w:rsid w:val="008F445B"/>
    <w:rsid w:val="008F47E6"/>
    <w:rsid w:val="008F49D1"/>
    <w:rsid w:val="008F4C7B"/>
    <w:rsid w:val="008F4F84"/>
    <w:rsid w:val="008F50D6"/>
    <w:rsid w:val="008F5522"/>
    <w:rsid w:val="008F55CB"/>
    <w:rsid w:val="008F5684"/>
    <w:rsid w:val="008F57B6"/>
    <w:rsid w:val="008F5B45"/>
    <w:rsid w:val="008F655D"/>
    <w:rsid w:val="008F6B8D"/>
    <w:rsid w:val="008F6BB9"/>
    <w:rsid w:val="008F71E0"/>
    <w:rsid w:val="008F7983"/>
    <w:rsid w:val="008F79D6"/>
    <w:rsid w:val="008F7B02"/>
    <w:rsid w:val="008F7C32"/>
    <w:rsid w:val="008F7D05"/>
    <w:rsid w:val="008F7DB9"/>
    <w:rsid w:val="008F7E87"/>
    <w:rsid w:val="00900152"/>
    <w:rsid w:val="00900BB3"/>
    <w:rsid w:val="00900E34"/>
    <w:rsid w:val="00900FDE"/>
    <w:rsid w:val="00901083"/>
    <w:rsid w:val="00901F04"/>
    <w:rsid w:val="009021F2"/>
    <w:rsid w:val="00902484"/>
    <w:rsid w:val="009025A1"/>
    <w:rsid w:val="009026BB"/>
    <w:rsid w:val="009027EE"/>
    <w:rsid w:val="0090292A"/>
    <w:rsid w:val="00902965"/>
    <w:rsid w:val="009029DE"/>
    <w:rsid w:val="00902C8B"/>
    <w:rsid w:val="00902CE3"/>
    <w:rsid w:val="00903381"/>
    <w:rsid w:val="009033FA"/>
    <w:rsid w:val="009037CE"/>
    <w:rsid w:val="009038EA"/>
    <w:rsid w:val="00904215"/>
    <w:rsid w:val="009043D6"/>
    <w:rsid w:val="009046FB"/>
    <w:rsid w:val="00904DFC"/>
    <w:rsid w:val="00905B62"/>
    <w:rsid w:val="009068E4"/>
    <w:rsid w:val="00906AF0"/>
    <w:rsid w:val="00906CE6"/>
    <w:rsid w:val="00906F0E"/>
    <w:rsid w:val="00906FDA"/>
    <w:rsid w:val="00907431"/>
    <w:rsid w:val="009075C0"/>
    <w:rsid w:val="009075EF"/>
    <w:rsid w:val="009076C1"/>
    <w:rsid w:val="00907778"/>
    <w:rsid w:val="00907C03"/>
    <w:rsid w:val="00907CD3"/>
    <w:rsid w:val="00907ECC"/>
    <w:rsid w:val="00907FC4"/>
    <w:rsid w:val="009105B0"/>
    <w:rsid w:val="00910641"/>
    <w:rsid w:val="00910C0D"/>
    <w:rsid w:val="00910C8D"/>
    <w:rsid w:val="00910D4C"/>
    <w:rsid w:val="00910D98"/>
    <w:rsid w:val="009113A8"/>
    <w:rsid w:val="00911A92"/>
    <w:rsid w:val="00911EC0"/>
    <w:rsid w:val="009121F3"/>
    <w:rsid w:val="00912562"/>
    <w:rsid w:val="009127FE"/>
    <w:rsid w:val="0091290C"/>
    <w:rsid w:val="0091364E"/>
    <w:rsid w:val="00913845"/>
    <w:rsid w:val="00913867"/>
    <w:rsid w:val="00913986"/>
    <w:rsid w:val="00913B92"/>
    <w:rsid w:val="00913CF1"/>
    <w:rsid w:val="00913DD8"/>
    <w:rsid w:val="00913FA8"/>
    <w:rsid w:val="00914031"/>
    <w:rsid w:val="0091438A"/>
    <w:rsid w:val="00914572"/>
    <w:rsid w:val="00914649"/>
    <w:rsid w:val="009149A5"/>
    <w:rsid w:val="00914A1A"/>
    <w:rsid w:val="00914EAD"/>
    <w:rsid w:val="00914FB5"/>
    <w:rsid w:val="00915611"/>
    <w:rsid w:val="0091582B"/>
    <w:rsid w:val="009159BB"/>
    <w:rsid w:val="00915AA7"/>
    <w:rsid w:val="00915B80"/>
    <w:rsid w:val="0091601A"/>
    <w:rsid w:val="0091603E"/>
    <w:rsid w:val="00916154"/>
    <w:rsid w:val="0091621B"/>
    <w:rsid w:val="0091643D"/>
    <w:rsid w:val="00916836"/>
    <w:rsid w:val="0091694F"/>
    <w:rsid w:val="00916A90"/>
    <w:rsid w:val="00916B2B"/>
    <w:rsid w:val="00916CDF"/>
    <w:rsid w:val="00916EF2"/>
    <w:rsid w:val="00917532"/>
    <w:rsid w:val="0091754D"/>
    <w:rsid w:val="00917755"/>
    <w:rsid w:val="00917A1B"/>
    <w:rsid w:val="00917B9C"/>
    <w:rsid w:val="00917E51"/>
    <w:rsid w:val="00917EA3"/>
    <w:rsid w:val="009203AA"/>
    <w:rsid w:val="00920627"/>
    <w:rsid w:val="0092077B"/>
    <w:rsid w:val="0092084C"/>
    <w:rsid w:val="00920AC7"/>
    <w:rsid w:val="00920C9F"/>
    <w:rsid w:val="00920F67"/>
    <w:rsid w:val="00921316"/>
    <w:rsid w:val="00921A33"/>
    <w:rsid w:val="00921B64"/>
    <w:rsid w:val="00921CCD"/>
    <w:rsid w:val="00921D38"/>
    <w:rsid w:val="00922DCC"/>
    <w:rsid w:val="00922E86"/>
    <w:rsid w:val="00922F5F"/>
    <w:rsid w:val="009230E5"/>
    <w:rsid w:val="009235AA"/>
    <w:rsid w:val="009235F9"/>
    <w:rsid w:val="0092360A"/>
    <w:rsid w:val="00923729"/>
    <w:rsid w:val="00923CCB"/>
    <w:rsid w:val="00924106"/>
    <w:rsid w:val="009243CD"/>
    <w:rsid w:val="00924C8A"/>
    <w:rsid w:val="00924EC0"/>
    <w:rsid w:val="00924F93"/>
    <w:rsid w:val="00924FAB"/>
    <w:rsid w:val="009252A6"/>
    <w:rsid w:val="009253B5"/>
    <w:rsid w:val="00925419"/>
    <w:rsid w:val="009257BD"/>
    <w:rsid w:val="009257D8"/>
    <w:rsid w:val="00925C83"/>
    <w:rsid w:val="00925D78"/>
    <w:rsid w:val="00925DD1"/>
    <w:rsid w:val="00925E03"/>
    <w:rsid w:val="00925E11"/>
    <w:rsid w:val="00925FB5"/>
    <w:rsid w:val="00926BDC"/>
    <w:rsid w:val="00926CF9"/>
    <w:rsid w:val="00926D0D"/>
    <w:rsid w:val="00927165"/>
    <w:rsid w:val="009271EA"/>
    <w:rsid w:val="00927245"/>
    <w:rsid w:val="00927AE5"/>
    <w:rsid w:val="00927E99"/>
    <w:rsid w:val="009304F4"/>
    <w:rsid w:val="00930739"/>
    <w:rsid w:val="00931163"/>
    <w:rsid w:val="009317FB"/>
    <w:rsid w:val="00931836"/>
    <w:rsid w:val="009321FB"/>
    <w:rsid w:val="0093284B"/>
    <w:rsid w:val="00932A7D"/>
    <w:rsid w:val="0093329B"/>
    <w:rsid w:val="0093363C"/>
    <w:rsid w:val="0093395D"/>
    <w:rsid w:val="00933AAF"/>
    <w:rsid w:val="00933B6F"/>
    <w:rsid w:val="00933C4B"/>
    <w:rsid w:val="00933ECA"/>
    <w:rsid w:val="00933F93"/>
    <w:rsid w:val="009347A1"/>
    <w:rsid w:val="00934DFA"/>
    <w:rsid w:val="00934E05"/>
    <w:rsid w:val="009350A4"/>
    <w:rsid w:val="00935B8A"/>
    <w:rsid w:val="00935B90"/>
    <w:rsid w:val="00936334"/>
    <w:rsid w:val="009368F9"/>
    <w:rsid w:val="00936D9D"/>
    <w:rsid w:val="009374A5"/>
    <w:rsid w:val="009376E5"/>
    <w:rsid w:val="009377EF"/>
    <w:rsid w:val="00937C34"/>
    <w:rsid w:val="00937F56"/>
    <w:rsid w:val="0094012C"/>
    <w:rsid w:val="00940372"/>
    <w:rsid w:val="00940517"/>
    <w:rsid w:val="0094059C"/>
    <w:rsid w:val="00940735"/>
    <w:rsid w:val="00940776"/>
    <w:rsid w:val="009407F1"/>
    <w:rsid w:val="00940DA1"/>
    <w:rsid w:val="009412F4"/>
    <w:rsid w:val="00941E31"/>
    <w:rsid w:val="0094237E"/>
    <w:rsid w:val="0094246E"/>
    <w:rsid w:val="009424B5"/>
    <w:rsid w:val="009427B1"/>
    <w:rsid w:val="00942C68"/>
    <w:rsid w:val="00942E3B"/>
    <w:rsid w:val="009432CC"/>
    <w:rsid w:val="009437A3"/>
    <w:rsid w:val="0094398B"/>
    <w:rsid w:val="009439D3"/>
    <w:rsid w:val="00943A72"/>
    <w:rsid w:val="00943CC3"/>
    <w:rsid w:val="00943FF3"/>
    <w:rsid w:val="0094401A"/>
    <w:rsid w:val="00944A72"/>
    <w:rsid w:val="00944F46"/>
    <w:rsid w:val="00945AB9"/>
    <w:rsid w:val="00945E56"/>
    <w:rsid w:val="00946AB0"/>
    <w:rsid w:val="00946B9D"/>
    <w:rsid w:val="00946D22"/>
    <w:rsid w:val="00946EA3"/>
    <w:rsid w:val="00947535"/>
    <w:rsid w:val="00947AD2"/>
    <w:rsid w:val="00947E3A"/>
    <w:rsid w:val="0095003B"/>
    <w:rsid w:val="009500A2"/>
    <w:rsid w:val="00950319"/>
    <w:rsid w:val="0095036E"/>
    <w:rsid w:val="0095060D"/>
    <w:rsid w:val="00950984"/>
    <w:rsid w:val="00950EF5"/>
    <w:rsid w:val="009510BF"/>
    <w:rsid w:val="00951285"/>
    <w:rsid w:val="0095169F"/>
    <w:rsid w:val="00951962"/>
    <w:rsid w:val="009519B2"/>
    <w:rsid w:val="009519F8"/>
    <w:rsid w:val="00952171"/>
    <w:rsid w:val="00952233"/>
    <w:rsid w:val="00952ACB"/>
    <w:rsid w:val="00952D7D"/>
    <w:rsid w:val="00952D83"/>
    <w:rsid w:val="00952E2B"/>
    <w:rsid w:val="00953256"/>
    <w:rsid w:val="00953789"/>
    <w:rsid w:val="00953E30"/>
    <w:rsid w:val="00954099"/>
    <w:rsid w:val="009547CF"/>
    <w:rsid w:val="00954903"/>
    <w:rsid w:val="00954BA2"/>
    <w:rsid w:val="00954DFC"/>
    <w:rsid w:val="0095523F"/>
    <w:rsid w:val="0095558C"/>
    <w:rsid w:val="009557E7"/>
    <w:rsid w:val="00955906"/>
    <w:rsid w:val="00955B15"/>
    <w:rsid w:val="00955C10"/>
    <w:rsid w:val="00955C8C"/>
    <w:rsid w:val="009561DA"/>
    <w:rsid w:val="00956250"/>
    <w:rsid w:val="0095686A"/>
    <w:rsid w:val="00956A1E"/>
    <w:rsid w:val="00956CC2"/>
    <w:rsid w:val="009574F6"/>
    <w:rsid w:val="00957777"/>
    <w:rsid w:val="00957A13"/>
    <w:rsid w:val="00957A31"/>
    <w:rsid w:val="00957B52"/>
    <w:rsid w:val="00957EE2"/>
    <w:rsid w:val="00960476"/>
    <w:rsid w:val="00961115"/>
    <w:rsid w:val="00961826"/>
    <w:rsid w:val="00961D02"/>
    <w:rsid w:val="00961E4C"/>
    <w:rsid w:val="00962062"/>
    <w:rsid w:val="0096218A"/>
    <w:rsid w:val="00962724"/>
    <w:rsid w:val="009627E0"/>
    <w:rsid w:val="00962943"/>
    <w:rsid w:val="009629F0"/>
    <w:rsid w:val="00962B5A"/>
    <w:rsid w:val="00962EC9"/>
    <w:rsid w:val="00963137"/>
    <w:rsid w:val="009631C5"/>
    <w:rsid w:val="0096333E"/>
    <w:rsid w:val="00963424"/>
    <w:rsid w:val="00963567"/>
    <w:rsid w:val="0096373A"/>
    <w:rsid w:val="00963924"/>
    <w:rsid w:val="00963F8D"/>
    <w:rsid w:val="00964381"/>
    <w:rsid w:val="0096452D"/>
    <w:rsid w:val="00964860"/>
    <w:rsid w:val="00964A48"/>
    <w:rsid w:val="00964CC9"/>
    <w:rsid w:val="00964EA4"/>
    <w:rsid w:val="009656C8"/>
    <w:rsid w:val="00966223"/>
    <w:rsid w:val="009668D4"/>
    <w:rsid w:val="00966909"/>
    <w:rsid w:val="00966F87"/>
    <w:rsid w:val="00966F99"/>
    <w:rsid w:val="00967064"/>
    <w:rsid w:val="009670CF"/>
    <w:rsid w:val="0096743A"/>
    <w:rsid w:val="0096760B"/>
    <w:rsid w:val="00967B11"/>
    <w:rsid w:val="009700D3"/>
    <w:rsid w:val="0097031E"/>
    <w:rsid w:val="0097044B"/>
    <w:rsid w:val="009707D0"/>
    <w:rsid w:val="00970AEB"/>
    <w:rsid w:val="00970DF8"/>
    <w:rsid w:val="009710E8"/>
    <w:rsid w:val="0097190C"/>
    <w:rsid w:val="00971DC4"/>
    <w:rsid w:val="009720AA"/>
    <w:rsid w:val="009720B8"/>
    <w:rsid w:val="00972B71"/>
    <w:rsid w:val="00972DB0"/>
    <w:rsid w:val="0097302E"/>
    <w:rsid w:val="0097318B"/>
    <w:rsid w:val="00973320"/>
    <w:rsid w:val="00973637"/>
    <w:rsid w:val="009737C5"/>
    <w:rsid w:val="00973EBC"/>
    <w:rsid w:val="00974060"/>
    <w:rsid w:val="00974406"/>
    <w:rsid w:val="00974BB3"/>
    <w:rsid w:val="00974CA5"/>
    <w:rsid w:val="00974E8E"/>
    <w:rsid w:val="0097513F"/>
    <w:rsid w:val="0097557C"/>
    <w:rsid w:val="00975CDA"/>
    <w:rsid w:val="00975CF8"/>
    <w:rsid w:val="00975FA9"/>
    <w:rsid w:val="0097617B"/>
    <w:rsid w:val="0097657B"/>
    <w:rsid w:val="00976967"/>
    <w:rsid w:val="00976D75"/>
    <w:rsid w:val="00977010"/>
    <w:rsid w:val="0097789D"/>
    <w:rsid w:val="00977906"/>
    <w:rsid w:val="00977F2B"/>
    <w:rsid w:val="0098016F"/>
    <w:rsid w:val="009801B5"/>
    <w:rsid w:val="009802D8"/>
    <w:rsid w:val="00980607"/>
    <w:rsid w:val="009806CD"/>
    <w:rsid w:val="00980705"/>
    <w:rsid w:val="00980B3A"/>
    <w:rsid w:val="00980B3D"/>
    <w:rsid w:val="00980C86"/>
    <w:rsid w:val="00980D9B"/>
    <w:rsid w:val="00980E05"/>
    <w:rsid w:val="009810A3"/>
    <w:rsid w:val="0098134A"/>
    <w:rsid w:val="00981500"/>
    <w:rsid w:val="0098188B"/>
    <w:rsid w:val="00981955"/>
    <w:rsid w:val="00981A44"/>
    <w:rsid w:val="00981B12"/>
    <w:rsid w:val="00981C04"/>
    <w:rsid w:val="00981D80"/>
    <w:rsid w:val="00981E12"/>
    <w:rsid w:val="009820C0"/>
    <w:rsid w:val="0098253D"/>
    <w:rsid w:val="00982681"/>
    <w:rsid w:val="009826CD"/>
    <w:rsid w:val="0098285D"/>
    <w:rsid w:val="0098287E"/>
    <w:rsid w:val="009828C1"/>
    <w:rsid w:val="00982A22"/>
    <w:rsid w:val="00982DD9"/>
    <w:rsid w:val="0098334E"/>
    <w:rsid w:val="00983399"/>
    <w:rsid w:val="009834BB"/>
    <w:rsid w:val="0098357E"/>
    <w:rsid w:val="00983874"/>
    <w:rsid w:val="00983C0F"/>
    <w:rsid w:val="00983CB9"/>
    <w:rsid w:val="0098455D"/>
    <w:rsid w:val="00984A20"/>
    <w:rsid w:val="00984C77"/>
    <w:rsid w:val="00984FEE"/>
    <w:rsid w:val="009850F0"/>
    <w:rsid w:val="0098583A"/>
    <w:rsid w:val="00985906"/>
    <w:rsid w:val="00985958"/>
    <w:rsid w:val="00985A19"/>
    <w:rsid w:val="00985E06"/>
    <w:rsid w:val="0098613D"/>
    <w:rsid w:val="009865BF"/>
    <w:rsid w:val="00986A4E"/>
    <w:rsid w:val="00986F16"/>
    <w:rsid w:val="00986F61"/>
    <w:rsid w:val="00987555"/>
    <w:rsid w:val="00987776"/>
    <w:rsid w:val="0098784B"/>
    <w:rsid w:val="00987A6C"/>
    <w:rsid w:val="00987E38"/>
    <w:rsid w:val="009900D3"/>
    <w:rsid w:val="0099032C"/>
    <w:rsid w:val="00990464"/>
    <w:rsid w:val="0099053F"/>
    <w:rsid w:val="00990735"/>
    <w:rsid w:val="00990BE4"/>
    <w:rsid w:val="00990F8C"/>
    <w:rsid w:val="009910C2"/>
    <w:rsid w:val="00991119"/>
    <w:rsid w:val="00991766"/>
    <w:rsid w:val="00991EE1"/>
    <w:rsid w:val="00991FA2"/>
    <w:rsid w:val="0099225C"/>
    <w:rsid w:val="00992293"/>
    <w:rsid w:val="009926F5"/>
    <w:rsid w:val="00992895"/>
    <w:rsid w:val="00992A03"/>
    <w:rsid w:val="00992CDC"/>
    <w:rsid w:val="00992FBA"/>
    <w:rsid w:val="00993011"/>
    <w:rsid w:val="00993A4D"/>
    <w:rsid w:val="00993B2C"/>
    <w:rsid w:val="00993B84"/>
    <w:rsid w:val="00993BF0"/>
    <w:rsid w:val="00993C4F"/>
    <w:rsid w:val="00993E4B"/>
    <w:rsid w:val="00993F99"/>
    <w:rsid w:val="00994307"/>
    <w:rsid w:val="00994E84"/>
    <w:rsid w:val="00995515"/>
    <w:rsid w:val="0099561A"/>
    <w:rsid w:val="00995748"/>
    <w:rsid w:val="009957C2"/>
    <w:rsid w:val="00995BA4"/>
    <w:rsid w:val="0099612D"/>
    <w:rsid w:val="009964DD"/>
    <w:rsid w:val="00996553"/>
    <w:rsid w:val="009965F6"/>
    <w:rsid w:val="00996ACB"/>
    <w:rsid w:val="00996BD7"/>
    <w:rsid w:val="00996DDC"/>
    <w:rsid w:val="00996FC2"/>
    <w:rsid w:val="00997BFC"/>
    <w:rsid w:val="009A015C"/>
    <w:rsid w:val="009A026D"/>
    <w:rsid w:val="009A0816"/>
    <w:rsid w:val="009A09C8"/>
    <w:rsid w:val="009A09F0"/>
    <w:rsid w:val="009A0AA7"/>
    <w:rsid w:val="009A1008"/>
    <w:rsid w:val="009A10F7"/>
    <w:rsid w:val="009A1157"/>
    <w:rsid w:val="009A11F0"/>
    <w:rsid w:val="009A1545"/>
    <w:rsid w:val="009A1744"/>
    <w:rsid w:val="009A199A"/>
    <w:rsid w:val="009A1BD6"/>
    <w:rsid w:val="009A1D58"/>
    <w:rsid w:val="009A22C8"/>
    <w:rsid w:val="009A278C"/>
    <w:rsid w:val="009A27B4"/>
    <w:rsid w:val="009A2AEB"/>
    <w:rsid w:val="009A2D19"/>
    <w:rsid w:val="009A3157"/>
    <w:rsid w:val="009A3463"/>
    <w:rsid w:val="009A34E0"/>
    <w:rsid w:val="009A365D"/>
    <w:rsid w:val="009A386A"/>
    <w:rsid w:val="009A39D4"/>
    <w:rsid w:val="009A3B71"/>
    <w:rsid w:val="009A46C9"/>
    <w:rsid w:val="009A4AE4"/>
    <w:rsid w:val="009A4E7C"/>
    <w:rsid w:val="009A5153"/>
    <w:rsid w:val="009A5320"/>
    <w:rsid w:val="009A5900"/>
    <w:rsid w:val="009A5DDE"/>
    <w:rsid w:val="009A6709"/>
    <w:rsid w:val="009A67A4"/>
    <w:rsid w:val="009A6AE8"/>
    <w:rsid w:val="009A6D0A"/>
    <w:rsid w:val="009A6EF2"/>
    <w:rsid w:val="009A7264"/>
    <w:rsid w:val="009A7270"/>
    <w:rsid w:val="009A72AF"/>
    <w:rsid w:val="009A75EA"/>
    <w:rsid w:val="009A7635"/>
    <w:rsid w:val="009A7761"/>
    <w:rsid w:val="009A79AC"/>
    <w:rsid w:val="009A7EE3"/>
    <w:rsid w:val="009B061E"/>
    <w:rsid w:val="009B0A1A"/>
    <w:rsid w:val="009B1025"/>
    <w:rsid w:val="009B1164"/>
    <w:rsid w:val="009B13B3"/>
    <w:rsid w:val="009B1481"/>
    <w:rsid w:val="009B1DC1"/>
    <w:rsid w:val="009B1E9F"/>
    <w:rsid w:val="009B2004"/>
    <w:rsid w:val="009B2297"/>
    <w:rsid w:val="009B2445"/>
    <w:rsid w:val="009B260F"/>
    <w:rsid w:val="009B2982"/>
    <w:rsid w:val="009B2B70"/>
    <w:rsid w:val="009B2E73"/>
    <w:rsid w:val="009B31C4"/>
    <w:rsid w:val="009B3D1D"/>
    <w:rsid w:val="009B3E70"/>
    <w:rsid w:val="009B3EE1"/>
    <w:rsid w:val="009B4004"/>
    <w:rsid w:val="009B422A"/>
    <w:rsid w:val="009B42B9"/>
    <w:rsid w:val="009B469D"/>
    <w:rsid w:val="009B46A1"/>
    <w:rsid w:val="009B47F5"/>
    <w:rsid w:val="009B4969"/>
    <w:rsid w:val="009B5117"/>
    <w:rsid w:val="009B579D"/>
    <w:rsid w:val="009B58E1"/>
    <w:rsid w:val="009B5C87"/>
    <w:rsid w:val="009B5CD5"/>
    <w:rsid w:val="009B62AB"/>
    <w:rsid w:val="009B67AE"/>
    <w:rsid w:val="009B6BFD"/>
    <w:rsid w:val="009B6CC1"/>
    <w:rsid w:val="009B6F71"/>
    <w:rsid w:val="009B7267"/>
    <w:rsid w:val="009B7315"/>
    <w:rsid w:val="009B7439"/>
    <w:rsid w:val="009B7656"/>
    <w:rsid w:val="009B76D1"/>
    <w:rsid w:val="009B7FB4"/>
    <w:rsid w:val="009C02B0"/>
    <w:rsid w:val="009C09B9"/>
    <w:rsid w:val="009C0C79"/>
    <w:rsid w:val="009C1001"/>
    <w:rsid w:val="009C1384"/>
    <w:rsid w:val="009C16A2"/>
    <w:rsid w:val="009C16AC"/>
    <w:rsid w:val="009C16DA"/>
    <w:rsid w:val="009C1F75"/>
    <w:rsid w:val="009C231B"/>
    <w:rsid w:val="009C27B5"/>
    <w:rsid w:val="009C28AE"/>
    <w:rsid w:val="009C28DE"/>
    <w:rsid w:val="009C3484"/>
    <w:rsid w:val="009C351B"/>
    <w:rsid w:val="009C3771"/>
    <w:rsid w:val="009C38B3"/>
    <w:rsid w:val="009C39CF"/>
    <w:rsid w:val="009C3A5B"/>
    <w:rsid w:val="009C3C35"/>
    <w:rsid w:val="009C3CEB"/>
    <w:rsid w:val="009C3F3D"/>
    <w:rsid w:val="009C4216"/>
    <w:rsid w:val="009C4353"/>
    <w:rsid w:val="009C47FC"/>
    <w:rsid w:val="009C5628"/>
    <w:rsid w:val="009C61BD"/>
    <w:rsid w:val="009C65B6"/>
    <w:rsid w:val="009C6D7A"/>
    <w:rsid w:val="009C6DD8"/>
    <w:rsid w:val="009C6FCD"/>
    <w:rsid w:val="009C7548"/>
    <w:rsid w:val="009C78E1"/>
    <w:rsid w:val="009C79DB"/>
    <w:rsid w:val="009C7BCB"/>
    <w:rsid w:val="009C7CA0"/>
    <w:rsid w:val="009D0819"/>
    <w:rsid w:val="009D0C66"/>
    <w:rsid w:val="009D0F65"/>
    <w:rsid w:val="009D0FC5"/>
    <w:rsid w:val="009D127D"/>
    <w:rsid w:val="009D14BA"/>
    <w:rsid w:val="009D165D"/>
    <w:rsid w:val="009D16E9"/>
    <w:rsid w:val="009D22E5"/>
    <w:rsid w:val="009D2538"/>
    <w:rsid w:val="009D2866"/>
    <w:rsid w:val="009D2993"/>
    <w:rsid w:val="009D29E9"/>
    <w:rsid w:val="009D29F4"/>
    <w:rsid w:val="009D301D"/>
    <w:rsid w:val="009D3024"/>
    <w:rsid w:val="009D3C3E"/>
    <w:rsid w:val="009D3FDD"/>
    <w:rsid w:val="009D406E"/>
    <w:rsid w:val="009D446C"/>
    <w:rsid w:val="009D4602"/>
    <w:rsid w:val="009D4658"/>
    <w:rsid w:val="009D4A04"/>
    <w:rsid w:val="009D4B90"/>
    <w:rsid w:val="009D4D3E"/>
    <w:rsid w:val="009D50AE"/>
    <w:rsid w:val="009D5126"/>
    <w:rsid w:val="009D5287"/>
    <w:rsid w:val="009D54F6"/>
    <w:rsid w:val="009D551A"/>
    <w:rsid w:val="009D5E8E"/>
    <w:rsid w:val="009D5F22"/>
    <w:rsid w:val="009D5F4A"/>
    <w:rsid w:val="009D6020"/>
    <w:rsid w:val="009D60B4"/>
    <w:rsid w:val="009D6137"/>
    <w:rsid w:val="009D6139"/>
    <w:rsid w:val="009D6542"/>
    <w:rsid w:val="009D6E00"/>
    <w:rsid w:val="009D6F41"/>
    <w:rsid w:val="009D768B"/>
    <w:rsid w:val="009D7BDE"/>
    <w:rsid w:val="009D7C51"/>
    <w:rsid w:val="009D7F57"/>
    <w:rsid w:val="009E02FA"/>
    <w:rsid w:val="009E0521"/>
    <w:rsid w:val="009E059A"/>
    <w:rsid w:val="009E0A74"/>
    <w:rsid w:val="009E0B1A"/>
    <w:rsid w:val="009E0DCF"/>
    <w:rsid w:val="009E0FCD"/>
    <w:rsid w:val="009E155B"/>
    <w:rsid w:val="009E17A5"/>
    <w:rsid w:val="009E194F"/>
    <w:rsid w:val="009E20A6"/>
    <w:rsid w:val="009E20E0"/>
    <w:rsid w:val="009E2114"/>
    <w:rsid w:val="009E266A"/>
    <w:rsid w:val="009E26CF"/>
    <w:rsid w:val="009E2F95"/>
    <w:rsid w:val="009E3988"/>
    <w:rsid w:val="009E3CF9"/>
    <w:rsid w:val="009E3EF1"/>
    <w:rsid w:val="009E44DB"/>
    <w:rsid w:val="009E454B"/>
    <w:rsid w:val="009E4681"/>
    <w:rsid w:val="009E46FF"/>
    <w:rsid w:val="009E48D1"/>
    <w:rsid w:val="009E4AC2"/>
    <w:rsid w:val="009E4D7A"/>
    <w:rsid w:val="009E4FE8"/>
    <w:rsid w:val="009E508C"/>
    <w:rsid w:val="009E5545"/>
    <w:rsid w:val="009E56CC"/>
    <w:rsid w:val="009E5930"/>
    <w:rsid w:val="009E59F8"/>
    <w:rsid w:val="009E5B26"/>
    <w:rsid w:val="009E5EBB"/>
    <w:rsid w:val="009E5ED7"/>
    <w:rsid w:val="009E61B6"/>
    <w:rsid w:val="009E6208"/>
    <w:rsid w:val="009E620E"/>
    <w:rsid w:val="009E65AD"/>
    <w:rsid w:val="009E6B7A"/>
    <w:rsid w:val="009E6F2A"/>
    <w:rsid w:val="009E731A"/>
    <w:rsid w:val="009E7616"/>
    <w:rsid w:val="009E7A03"/>
    <w:rsid w:val="009E7C82"/>
    <w:rsid w:val="009E7E1E"/>
    <w:rsid w:val="009F0443"/>
    <w:rsid w:val="009F0493"/>
    <w:rsid w:val="009F057B"/>
    <w:rsid w:val="009F08D9"/>
    <w:rsid w:val="009F0C72"/>
    <w:rsid w:val="009F0DCC"/>
    <w:rsid w:val="009F0E10"/>
    <w:rsid w:val="009F13CC"/>
    <w:rsid w:val="009F1594"/>
    <w:rsid w:val="009F170C"/>
    <w:rsid w:val="009F1A1C"/>
    <w:rsid w:val="009F1E57"/>
    <w:rsid w:val="009F240B"/>
    <w:rsid w:val="009F251A"/>
    <w:rsid w:val="009F2E8B"/>
    <w:rsid w:val="009F3016"/>
    <w:rsid w:val="009F35B8"/>
    <w:rsid w:val="009F396D"/>
    <w:rsid w:val="009F3DAA"/>
    <w:rsid w:val="009F3E2D"/>
    <w:rsid w:val="009F454D"/>
    <w:rsid w:val="009F483C"/>
    <w:rsid w:val="009F4E04"/>
    <w:rsid w:val="009F4FD3"/>
    <w:rsid w:val="009F52E0"/>
    <w:rsid w:val="009F5587"/>
    <w:rsid w:val="009F5943"/>
    <w:rsid w:val="009F594A"/>
    <w:rsid w:val="009F5BE4"/>
    <w:rsid w:val="009F5F5F"/>
    <w:rsid w:val="009F62B3"/>
    <w:rsid w:val="009F652E"/>
    <w:rsid w:val="009F666F"/>
    <w:rsid w:val="009F6932"/>
    <w:rsid w:val="009F7A72"/>
    <w:rsid w:val="009F7D19"/>
    <w:rsid w:val="00A0005A"/>
    <w:rsid w:val="00A0066A"/>
    <w:rsid w:val="00A0068D"/>
    <w:rsid w:val="00A00900"/>
    <w:rsid w:val="00A0177D"/>
    <w:rsid w:val="00A01822"/>
    <w:rsid w:val="00A01894"/>
    <w:rsid w:val="00A0189C"/>
    <w:rsid w:val="00A0190E"/>
    <w:rsid w:val="00A01A6F"/>
    <w:rsid w:val="00A01F97"/>
    <w:rsid w:val="00A0216A"/>
    <w:rsid w:val="00A02607"/>
    <w:rsid w:val="00A0295E"/>
    <w:rsid w:val="00A0309B"/>
    <w:rsid w:val="00A033CD"/>
    <w:rsid w:val="00A0349F"/>
    <w:rsid w:val="00A034A1"/>
    <w:rsid w:val="00A03B2E"/>
    <w:rsid w:val="00A03D6C"/>
    <w:rsid w:val="00A0435C"/>
    <w:rsid w:val="00A04D39"/>
    <w:rsid w:val="00A04E97"/>
    <w:rsid w:val="00A04ECF"/>
    <w:rsid w:val="00A051C1"/>
    <w:rsid w:val="00A05572"/>
    <w:rsid w:val="00A05B5B"/>
    <w:rsid w:val="00A05E30"/>
    <w:rsid w:val="00A05EF6"/>
    <w:rsid w:val="00A05F12"/>
    <w:rsid w:val="00A062CF"/>
    <w:rsid w:val="00A06311"/>
    <w:rsid w:val="00A06AA5"/>
    <w:rsid w:val="00A06E88"/>
    <w:rsid w:val="00A06F7F"/>
    <w:rsid w:val="00A07113"/>
    <w:rsid w:val="00A0735A"/>
    <w:rsid w:val="00A07455"/>
    <w:rsid w:val="00A07621"/>
    <w:rsid w:val="00A07872"/>
    <w:rsid w:val="00A07F49"/>
    <w:rsid w:val="00A1009C"/>
    <w:rsid w:val="00A10259"/>
    <w:rsid w:val="00A102DC"/>
    <w:rsid w:val="00A106B6"/>
    <w:rsid w:val="00A10F08"/>
    <w:rsid w:val="00A11923"/>
    <w:rsid w:val="00A11B71"/>
    <w:rsid w:val="00A11CD1"/>
    <w:rsid w:val="00A11D3E"/>
    <w:rsid w:val="00A11E63"/>
    <w:rsid w:val="00A12A14"/>
    <w:rsid w:val="00A12A34"/>
    <w:rsid w:val="00A12D52"/>
    <w:rsid w:val="00A12DDF"/>
    <w:rsid w:val="00A12E3C"/>
    <w:rsid w:val="00A13095"/>
    <w:rsid w:val="00A131F6"/>
    <w:rsid w:val="00A1362D"/>
    <w:rsid w:val="00A13A3F"/>
    <w:rsid w:val="00A13DCC"/>
    <w:rsid w:val="00A13E14"/>
    <w:rsid w:val="00A1431C"/>
    <w:rsid w:val="00A1477C"/>
    <w:rsid w:val="00A1494A"/>
    <w:rsid w:val="00A14CD6"/>
    <w:rsid w:val="00A14DC9"/>
    <w:rsid w:val="00A14DE4"/>
    <w:rsid w:val="00A14F04"/>
    <w:rsid w:val="00A15054"/>
    <w:rsid w:val="00A1527D"/>
    <w:rsid w:val="00A153B1"/>
    <w:rsid w:val="00A155A6"/>
    <w:rsid w:val="00A1574F"/>
    <w:rsid w:val="00A15756"/>
    <w:rsid w:val="00A157D8"/>
    <w:rsid w:val="00A1598E"/>
    <w:rsid w:val="00A15F4A"/>
    <w:rsid w:val="00A1609A"/>
    <w:rsid w:val="00A161BF"/>
    <w:rsid w:val="00A16235"/>
    <w:rsid w:val="00A167EC"/>
    <w:rsid w:val="00A1689E"/>
    <w:rsid w:val="00A16C20"/>
    <w:rsid w:val="00A16E5F"/>
    <w:rsid w:val="00A17B35"/>
    <w:rsid w:val="00A17CB1"/>
    <w:rsid w:val="00A17E53"/>
    <w:rsid w:val="00A200C0"/>
    <w:rsid w:val="00A20323"/>
    <w:rsid w:val="00A20438"/>
    <w:rsid w:val="00A20B73"/>
    <w:rsid w:val="00A20BAA"/>
    <w:rsid w:val="00A20BB8"/>
    <w:rsid w:val="00A20C5F"/>
    <w:rsid w:val="00A21091"/>
    <w:rsid w:val="00A2132D"/>
    <w:rsid w:val="00A2156E"/>
    <w:rsid w:val="00A2163A"/>
    <w:rsid w:val="00A216A0"/>
    <w:rsid w:val="00A21F3F"/>
    <w:rsid w:val="00A223A8"/>
    <w:rsid w:val="00A2241E"/>
    <w:rsid w:val="00A224E9"/>
    <w:rsid w:val="00A22585"/>
    <w:rsid w:val="00A22BFE"/>
    <w:rsid w:val="00A22EF7"/>
    <w:rsid w:val="00A23010"/>
    <w:rsid w:val="00A23081"/>
    <w:rsid w:val="00A232E1"/>
    <w:rsid w:val="00A23813"/>
    <w:rsid w:val="00A238E5"/>
    <w:rsid w:val="00A23A67"/>
    <w:rsid w:val="00A23D26"/>
    <w:rsid w:val="00A23F8B"/>
    <w:rsid w:val="00A2410E"/>
    <w:rsid w:val="00A24169"/>
    <w:rsid w:val="00A24748"/>
    <w:rsid w:val="00A24C17"/>
    <w:rsid w:val="00A24CC5"/>
    <w:rsid w:val="00A250BE"/>
    <w:rsid w:val="00A250E7"/>
    <w:rsid w:val="00A25891"/>
    <w:rsid w:val="00A25D7E"/>
    <w:rsid w:val="00A25F1A"/>
    <w:rsid w:val="00A26188"/>
    <w:rsid w:val="00A26422"/>
    <w:rsid w:val="00A26A9B"/>
    <w:rsid w:val="00A26F8B"/>
    <w:rsid w:val="00A27454"/>
    <w:rsid w:val="00A277D7"/>
    <w:rsid w:val="00A278A0"/>
    <w:rsid w:val="00A2792C"/>
    <w:rsid w:val="00A27C8A"/>
    <w:rsid w:val="00A27F2A"/>
    <w:rsid w:val="00A30211"/>
    <w:rsid w:val="00A30242"/>
    <w:rsid w:val="00A30375"/>
    <w:rsid w:val="00A30C5C"/>
    <w:rsid w:val="00A30EB9"/>
    <w:rsid w:val="00A30FF6"/>
    <w:rsid w:val="00A3109D"/>
    <w:rsid w:val="00A31185"/>
    <w:rsid w:val="00A31E38"/>
    <w:rsid w:val="00A320BA"/>
    <w:rsid w:val="00A320E0"/>
    <w:rsid w:val="00A32466"/>
    <w:rsid w:val="00A324CB"/>
    <w:rsid w:val="00A32C9F"/>
    <w:rsid w:val="00A32E13"/>
    <w:rsid w:val="00A3305C"/>
    <w:rsid w:val="00A330F1"/>
    <w:rsid w:val="00A3324B"/>
    <w:rsid w:val="00A33460"/>
    <w:rsid w:val="00A3357C"/>
    <w:rsid w:val="00A33CC5"/>
    <w:rsid w:val="00A33ECB"/>
    <w:rsid w:val="00A34057"/>
    <w:rsid w:val="00A34372"/>
    <w:rsid w:val="00A346E2"/>
    <w:rsid w:val="00A347F4"/>
    <w:rsid w:val="00A34B0B"/>
    <w:rsid w:val="00A34F99"/>
    <w:rsid w:val="00A3504A"/>
    <w:rsid w:val="00A35808"/>
    <w:rsid w:val="00A358CB"/>
    <w:rsid w:val="00A35AB0"/>
    <w:rsid w:val="00A35CE5"/>
    <w:rsid w:val="00A35E4A"/>
    <w:rsid w:val="00A3611A"/>
    <w:rsid w:val="00A36236"/>
    <w:rsid w:val="00A36372"/>
    <w:rsid w:val="00A365D0"/>
    <w:rsid w:val="00A3673B"/>
    <w:rsid w:val="00A367AE"/>
    <w:rsid w:val="00A36C26"/>
    <w:rsid w:val="00A36CFD"/>
    <w:rsid w:val="00A37331"/>
    <w:rsid w:val="00A37803"/>
    <w:rsid w:val="00A37B18"/>
    <w:rsid w:val="00A37B6D"/>
    <w:rsid w:val="00A40016"/>
    <w:rsid w:val="00A4052A"/>
    <w:rsid w:val="00A40535"/>
    <w:rsid w:val="00A40680"/>
    <w:rsid w:val="00A409D9"/>
    <w:rsid w:val="00A40A78"/>
    <w:rsid w:val="00A40E95"/>
    <w:rsid w:val="00A41197"/>
    <w:rsid w:val="00A4126B"/>
    <w:rsid w:val="00A414BE"/>
    <w:rsid w:val="00A4170F"/>
    <w:rsid w:val="00A41CDF"/>
    <w:rsid w:val="00A41FED"/>
    <w:rsid w:val="00A42109"/>
    <w:rsid w:val="00A42124"/>
    <w:rsid w:val="00A4243C"/>
    <w:rsid w:val="00A427CA"/>
    <w:rsid w:val="00A428AD"/>
    <w:rsid w:val="00A4291D"/>
    <w:rsid w:val="00A42F66"/>
    <w:rsid w:val="00A430A8"/>
    <w:rsid w:val="00A4329E"/>
    <w:rsid w:val="00A432E1"/>
    <w:rsid w:val="00A4338E"/>
    <w:rsid w:val="00A433E5"/>
    <w:rsid w:val="00A4488E"/>
    <w:rsid w:val="00A44DC6"/>
    <w:rsid w:val="00A45026"/>
    <w:rsid w:val="00A45823"/>
    <w:rsid w:val="00A458BF"/>
    <w:rsid w:val="00A45998"/>
    <w:rsid w:val="00A45C8B"/>
    <w:rsid w:val="00A45CF4"/>
    <w:rsid w:val="00A462D6"/>
    <w:rsid w:val="00A46610"/>
    <w:rsid w:val="00A468D5"/>
    <w:rsid w:val="00A46C2D"/>
    <w:rsid w:val="00A46CE5"/>
    <w:rsid w:val="00A476BA"/>
    <w:rsid w:val="00A476FB"/>
    <w:rsid w:val="00A47E66"/>
    <w:rsid w:val="00A47FF7"/>
    <w:rsid w:val="00A50842"/>
    <w:rsid w:val="00A50BA9"/>
    <w:rsid w:val="00A514EE"/>
    <w:rsid w:val="00A51803"/>
    <w:rsid w:val="00A5180D"/>
    <w:rsid w:val="00A51B2E"/>
    <w:rsid w:val="00A52073"/>
    <w:rsid w:val="00A52383"/>
    <w:rsid w:val="00A52695"/>
    <w:rsid w:val="00A52C7A"/>
    <w:rsid w:val="00A53174"/>
    <w:rsid w:val="00A535E3"/>
    <w:rsid w:val="00A535E5"/>
    <w:rsid w:val="00A53748"/>
    <w:rsid w:val="00A53839"/>
    <w:rsid w:val="00A5385F"/>
    <w:rsid w:val="00A53BE6"/>
    <w:rsid w:val="00A53C1F"/>
    <w:rsid w:val="00A53CA3"/>
    <w:rsid w:val="00A53F38"/>
    <w:rsid w:val="00A54283"/>
    <w:rsid w:val="00A54419"/>
    <w:rsid w:val="00A54B04"/>
    <w:rsid w:val="00A54E63"/>
    <w:rsid w:val="00A54EFB"/>
    <w:rsid w:val="00A552BB"/>
    <w:rsid w:val="00A554E1"/>
    <w:rsid w:val="00A55752"/>
    <w:rsid w:val="00A55E47"/>
    <w:rsid w:val="00A55E73"/>
    <w:rsid w:val="00A565F0"/>
    <w:rsid w:val="00A5688C"/>
    <w:rsid w:val="00A56998"/>
    <w:rsid w:val="00A56FC9"/>
    <w:rsid w:val="00A570E2"/>
    <w:rsid w:val="00A575DA"/>
    <w:rsid w:val="00A57C6C"/>
    <w:rsid w:val="00A603EF"/>
    <w:rsid w:val="00A6081F"/>
    <w:rsid w:val="00A609F6"/>
    <w:rsid w:val="00A60C42"/>
    <w:rsid w:val="00A613DC"/>
    <w:rsid w:val="00A6157E"/>
    <w:rsid w:val="00A6176E"/>
    <w:rsid w:val="00A61A45"/>
    <w:rsid w:val="00A61E88"/>
    <w:rsid w:val="00A628CF"/>
    <w:rsid w:val="00A630C4"/>
    <w:rsid w:val="00A63515"/>
    <w:rsid w:val="00A63928"/>
    <w:rsid w:val="00A63B05"/>
    <w:rsid w:val="00A63DDB"/>
    <w:rsid w:val="00A64018"/>
    <w:rsid w:val="00A640C4"/>
    <w:rsid w:val="00A64AEB"/>
    <w:rsid w:val="00A64C38"/>
    <w:rsid w:val="00A64C78"/>
    <w:rsid w:val="00A64CDD"/>
    <w:rsid w:val="00A65296"/>
    <w:rsid w:val="00A655E0"/>
    <w:rsid w:val="00A6573D"/>
    <w:rsid w:val="00A65AE8"/>
    <w:rsid w:val="00A65FF3"/>
    <w:rsid w:val="00A6635B"/>
    <w:rsid w:val="00A663BD"/>
    <w:rsid w:val="00A66466"/>
    <w:rsid w:val="00A66581"/>
    <w:rsid w:val="00A66686"/>
    <w:rsid w:val="00A66749"/>
    <w:rsid w:val="00A669E9"/>
    <w:rsid w:val="00A66ACD"/>
    <w:rsid w:val="00A66F74"/>
    <w:rsid w:val="00A67183"/>
    <w:rsid w:val="00A67486"/>
    <w:rsid w:val="00A67A06"/>
    <w:rsid w:val="00A67B38"/>
    <w:rsid w:val="00A67BBE"/>
    <w:rsid w:val="00A7006B"/>
    <w:rsid w:val="00A7010D"/>
    <w:rsid w:val="00A701F3"/>
    <w:rsid w:val="00A702D8"/>
    <w:rsid w:val="00A707B0"/>
    <w:rsid w:val="00A708CA"/>
    <w:rsid w:val="00A7097C"/>
    <w:rsid w:val="00A70982"/>
    <w:rsid w:val="00A70C12"/>
    <w:rsid w:val="00A71194"/>
    <w:rsid w:val="00A71977"/>
    <w:rsid w:val="00A71B55"/>
    <w:rsid w:val="00A71B63"/>
    <w:rsid w:val="00A71C0D"/>
    <w:rsid w:val="00A726E0"/>
    <w:rsid w:val="00A72DCD"/>
    <w:rsid w:val="00A732DC"/>
    <w:rsid w:val="00A7337F"/>
    <w:rsid w:val="00A733FA"/>
    <w:rsid w:val="00A7357D"/>
    <w:rsid w:val="00A7357F"/>
    <w:rsid w:val="00A738E6"/>
    <w:rsid w:val="00A7394B"/>
    <w:rsid w:val="00A73C8F"/>
    <w:rsid w:val="00A73CC9"/>
    <w:rsid w:val="00A73EFE"/>
    <w:rsid w:val="00A748D8"/>
    <w:rsid w:val="00A749BE"/>
    <w:rsid w:val="00A74BAA"/>
    <w:rsid w:val="00A74BED"/>
    <w:rsid w:val="00A74C6E"/>
    <w:rsid w:val="00A74D20"/>
    <w:rsid w:val="00A74F34"/>
    <w:rsid w:val="00A75302"/>
    <w:rsid w:val="00A754EA"/>
    <w:rsid w:val="00A7552B"/>
    <w:rsid w:val="00A75820"/>
    <w:rsid w:val="00A75863"/>
    <w:rsid w:val="00A75B1F"/>
    <w:rsid w:val="00A75C76"/>
    <w:rsid w:val="00A75CFD"/>
    <w:rsid w:val="00A75F9F"/>
    <w:rsid w:val="00A76000"/>
    <w:rsid w:val="00A762BF"/>
    <w:rsid w:val="00A77107"/>
    <w:rsid w:val="00A772D1"/>
    <w:rsid w:val="00A77905"/>
    <w:rsid w:val="00A77B56"/>
    <w:rsid w:val="00A77ED8"/>
    <w:rsid w:val="00A77F77"/>
    <w:rsid w:val="00A77F99"/>
    <w:rsid w:val="00A80174"/>
    <w:rsid w:val="00A80C98"/>
    <w:rsid w:val="00A80E8A"/>
    <w:rsid w:val="00A811D4"/>
    <w:rsid w:val="00A8167B"/>
    <w:rsid w:val="00A817DD"/>
    <w:rsid w:val="00A81857"/>
    <w:rsid w:val="00A819B1"/>
    <w:rsid w:val="00A81CBA"/>
    <w:rsid w:val="00A81CF5"/>
    <w:rsid w:val="00A81E4B"/>
    <w:rsid w:val="00A820A8"/>
    <w:rsid w:val="00A8218C"/>
    <w:rsid w:val="00A82341"/>
    <w:rsid w:val="00A826F3"/>
    <w:rsid w:val="00A828F8"/>
    <w:rsid w:val="00A82C7C"/>
    <w:rsid w:val="00A82DDB"/>
    <w:rsid w:val="00A82EFB"/>
    <w:rsid w:val="00A834FA"/>
    <w:rsid w:val="00A836FD"/>
    <w:rsid w:val="00A84152"/>
    <w:rsid w:val="00A84297"/>
    <w:rsid w:val="00A84801"/>
    <w:rsid w:val="00A84A50"/>
    <w:rsid w:val="00A84B8A"/>
    <w:rsid w:val="00A84D5E"/>
    <w:rsid w:val="00A84DF6"/>
    <w:rsid w:val="00A84F4E"/>
    <w:rsid w:val="00A85886"/>
    <w:rsid w:val="00A85A6B"/>
    <w:rsid w:val="00A85C77"/>
    <w:rsid w:val="00A85D1C"/>
    <w:rsid w:val="00A85D8F"/>
    <w:rsid w:val="00A86035"/>
    <w:rsid w:val="00A86441"/>
    <w:rsid w:val="00A86864"/>
    <w:rsid w:val="00A86FE0"/>
    <w:rsid w:val="00A873E5"/>
    <w:rsid w:val="00A87889"/>
    <w:rsid w:val="00A87A1D"/>
    <w:rsid w:val="00A9010C"/>
    <w:rsid w:val="00A90161"/>
    <w:rsid w:val="00A901B4"/>
    <w:rsid w:val="00A908AF"/>
    <w:rsid w:val="00A91598"/>
    <w:rsid w:val="00A916E6"/>
    <w:rsid w:val="00A918A5"/>
    <w:rsid w:val="00A91A67"/>
    <w:rsid w:val="00A92498"/>
    <w:rsid w:val="00A92686"/>
    <w:rsid w:val="00A927C8"/>
    <w:rsid w:val="00A92AB7"/>
    <w:rsid w:val="00A93AFF"/>
    <w:rsid w:val="00A93B1C"/>
    <w:rsid w:val="00A93E0A"/>
    <w:rsid w:val="00A94154"/>
    <w:rsid w:val="00A9419B"/>
    <w:rsid w:val="00A941C7"/>
    <w:rsid w:val="00A942F6"/>
    <w:rsid w:val="00A9450D"/>
    <w:rsid w:val="00A94708"/>
    <w:rsid w:val="00A94851"/>
    <w:rsid w:val="00A948CC"/>
    <w:rsid w:val="00A950C5"/>
    <w:rsid w:val="00A9525C"/>
    <w:rsid w:val="00A95443"/>
    <w:rsid w:val="00A954B4"/>
    <w:rsid w:val="00A9556B"/>
    <w:rsid w:val="00A956F6"/>
    <w:rsid w:val="00A95919"/>
    <w:rsid w:val="00A95B17"/>
    <w:rsid w:val="00A95C14"/>
    <w:rsid w:val="00A95E86"/>
    <w:rsid w:val="00A96270"/>
    <w:rsid w:val="00A96327"/>
    <w:rsid w:val="00A965AB"/>
    <w:rsid w:val="00A96B1E"/>
    <w:rsid w:val="00A97116"/>
    <w:rsid w:val="00A97181"/>
    <w:rsid w:val="00A97685"/>
    <w:rsid w:val="00A97879"/>
    <w:rsid w:val="00A97A3D"/>
    <w:rsid w:val="00A97AFA"/>
    <w:rsid w:val="00A97D82"/>
    <w:rsid w:val="00A97FE9"/>
    <w:rsid w:val="00AA0037"/>
    <w:rsid w:val="00AA010A"/>
    <w:rsid w:val="00AA09B7"/>
    <w:rsid w:val="00AA09CE"/>
    <w:rsid w:val="00AA0C66"/>
    <w:rsid w:val="00AA105B"/>
    <w:rsid w:val="00AA1252"/>
    <w:rsid w:val="00AA13CF"/>
    <w:rsid w:val="00AA1582"/>
    <w:rsid w:val="00AA206D"/>
    <w:rsid w:val="00AA2C4F"/>
    <w:rsid w:val="00AA2FF2"/>
    <w:rsid w:val="00AA31D4"/>
    <w:rsid w:val="00AA33B4"/>
    <w:rsid w:val="00AA367F"/>
    <w:rsid w:val="00AA3822"/>
    <w:rsid w:val="00AA3C30"/>
    <w:rsid w:val="00AA3CAB"/>
    <w:rsid w:val="00AA3CE0"/>
    <w:rsid w:val="00AA3DE0"/>
    <w:rsid w:val="00AA3E2B"/>
    <w:rsid w:val="00AA4292"/>
    <w:rsid w:val="00AA4496"/>
    <w:rsid w:val="00AA4981"/>
    <w:rsid w:val="00AA4D2A"/>
    <w:rsid w:val="00AA51DF"/>
    <w:rsid w:val="00AA5503"/>
    <w:rsid w:val="00AA5547"/>
    <w:rsid w:val="00AA5964"/>
    <w:rsid w:val="00AA598C"/>
    <w:rsid w:val="00AA60A1"/>
    <w:rsid w:val="00AA63A5"/>
    <w:rsid w:val="00AA6E21"/>
    <w:rsid w:val="00AA6E28"/>
    <w:rsid w:val="00AA77F6"/>
    <w:rsid w:val="00AA7F47"/>
    <w:rsid w:val="00AB049D"/>
    <w:rsid w:val="00AB0574"/>
    <w:rsid w:val="00AB0AFA"/>
    <w:rsid w:val="00AB0C2C"/>
    <w:rsid w:val="00AB0CCF"/>
    <w:rsid w:val="00AB118F"/>
    <w:rsid w:val="00AB19D4"/>
    <w:rsid w:val="00AB1A3C"/>
    <w:rsid w:val="00AB1BEF"/>
    <w:rsid w:val="00AB1E83"/>
    <w:rsid w:val="00AB2045"/>
    <w:rsid w:val="00AB228E"/>
    <w:rsid w:val="00AB239D"/>
    <w:rsid w:val="00AB2AD2"/>
    <w:rsid w:val="00AB3237"/>
    <w:rsid w:val="00AB351F"/>
    <w:rsid w:val="00AB3712"/>
    <w:rsid w:val="00AB3BA0"/>
    <w:rsid w:val="00AB3C0C"/>
    <w:rsid w:val="00AB3C55"/>
    <w:rsid w:val="00AB3F44"/>
    <w:rsid w:val="00AB4064"/>
    <w:rsid w:val="00AB407B"/>
    <w:rsid w:val="00AB45C4"/>
    <w:rsid w:val="00AB48FE"/>
    <w:rsid w:val="00AB491B"/>
    <w:rsid w:val="00AB49FD"/>
    <w:rsid w:val="00AB4AFD"/>
    <w:rsid w:val="00AB5169"/>
    <w:rsid w:val="00AB52B9"/>
    <w:rsid w:val="00AB53D4"/>
    <w:rsid w:val="00AB593E"/>
    <w:rsid w:val="00AB5E55"/>
    <w:rsid w:val="00AB5EE8"/>
    <w:rsid w:val="00AB610C"/>
    <w:rsid w:val="00AB6465"/>
    <w:rsid w:val="00AB6682"/>
    <w:rsid w:val="00AB68D4"/>
    <w:rsid w:val="00AB6CA9"/>
    <w:rsid w:val="00AB6EA6"/>
    <w:rsid w:val="00AB7532"/>
    <w:rsid w:val="00AB7920"/>
    <w:rsid w:val="00AB7C30"/>
    <w:rsid w:val="00AB7D9E"/>
    <w:rsid w:val="00AC0332"/>
    <w:rsid w:val="00AC05FB"/>
    <w:rsid w:val="00AC0BEB"/>
    <w:rsid w:val="00AC0CFD"/>
    <w:rsid w:val="00AC0E06"/>
    <w:rsid w:val="00AC0F2D"/>
    <w:rsid w:val="00AC14C8"/>
    <w:rsid w:val="00AC161C"/>
    <w:rsid w:val="00AC190B"/>
    <w:rsid w:val="00AC1AD0"/>
    <w:rsid w:val="00AC1CDB"/>
    <w:rsid w:val="00AC2167"/>
    <w:rsid w:val="00AC2B1B"/>
    <w:rsid w:val="00AC2B6B"/>
    <w:rsid w:val="00AC2D4D"/>
    <w:rsid w:val="00AC324C"/>
    <w:rsid w:val="00AC37B5"/>
    <w:rsid w:val="00AC4126"/>
    <w:rsid w:val="00AC415F"/>
    <w:rsid w:val="00AC41A4"/>
    <w:rsid w:val="00AC43F1"/>
    <w:rsid w:val="00AC4967"/>
    <w:rsid w:val="00AC4DF7"/>
    <w:rsid w:val="00AC5019"/>
    <w:rsid w:val="00AC5873"/>
    <w:rsid w:val="00AC59DC"/>
    <w:rsid w:val="00AC6226"/>
    <w:rsid w:val="00AC674E"/>
    <w:rsid w:val="00AC6BE0"/>
    <w:rsid w:val="00AC70F8"/>
    <w:rsid w:val="00AC747B"/>
    <w:rsid w:val="00AC7526"/>
    <w:rsid w:val="00AC7745"/>
    <w:rsid w:val="00AC7781"/>
    <w:rsid w:val="00AC78F3"/>
    <w:rsid w:val="00AC7E2E"/>
    <w:rsid w:val="00AD03AA"/>
    <w:rsid w:val="00AD0C83"/>
    <w:rsid w:val="00AD1240"/>
    <w:rsid w:val="00AD13E4"/>
    <w:rsid w:val="00AD1635"/>
    <w:rsid w:val="00AD1760"/>
    <w:rsid w:val="00AD1809"/>
    <w:rsid w:val="00AD1928"/>
    <w:rsid w:val="00AD195D"/>
    <w:rsid w:val="00AD1A52"/>
    <w:rsid w:val="00AD226D"/>
    <w:rsid w:val="00AD26B0"/>
    <w:rsid w:val="00AD27FA"/>
    <w:rsid w:val="00AD2B92"/>
    <w:rsid w:val="00AD2BFB"/>
    <w:rsid w:val="00AD3041"/>
    <w:rsid w:val="00AD39CC"/>
    <w:rsid w:val="00AD39F6"/>
    <w:rsid w:val="00AD436B"/>
    <w:rsid w:val="00AD4389"/>
    <w:rsid w:val="00AD43C4"/>
    <w:rsid w:val="00AD4508"/>
    <w:rsid w:val="00AD45CC"/>
    <w:rsid w:val="00AD470E"/>
    <w:rsid w:val="00AD4EF8"/>
    <w:rsid w:val="00AD506D"/>
    <w:rsid w:val="00AD507A"/>
    <w:rsid w:val="00AD5E56"/>
    <w:rsid w:val="00AD5FCE"/>
    <w:rsid w:val="00AD64BD"/>
    <w:rsid w:val="00AD6812"/>
    <w:rsid w:val="00AD6985"/>
    <w:rsid w:val="00AD6AB9"/>
    <w:rsid w:val="00AD6B44"/>
    <w:rsid w:val="00AD6BDE"/>
    <w:rsid w:val="00AD6E16"/>
    <w:rsid w:val="00AD7056"/>
    <w:rsid w:val="00AD723E"/>
    <w:rsid w:val="00AD74F0"/>
    <w:rsid w:val="00AD7FDB"/>
    <w:rsid w:val="00AE03A5"/>
    <w:rsid w:val="00AE0574"/>
    <w:rsid w:val="00AE0A77"/>
    <w:rsid w:val="00AE0F0F"/>
    <w:rsid w:val="00AE12E5"/>
    <w:rsid w:val="00AE1394"/>
    <w:rsid w:val="00AE18C8"/>
    <w:rsid w:val="00AE261C"/>
    <w:rsid w:val="00AE262E"/>
    <w:rsid w:val="00AE2711"/>
    <w:rsid w:val="00AE2E8E"/>
    <w:rsid w:val="00AE3551"/>
    <w:rsid w:val="00AE3808"/>
    <w:rsid w:val="00AE3945"/>
    <w:rsid w:val="00AE3C9E"/>
    <w:rsid w:val="00AE3DB7"/>
    <w:rsid w:val="00AE43B6"/>
    <w:rsid w:val="00AE45B1"/>
    <w:rsid w:val="00AE4758"/>
    <w:rsid w:val="00AE602F"/>
    <w:rsid w:val="00AE60EE"/>
    <w:rsid w:val="00AE6CE6"/>
    <w:rsid w:val="00AE6D88"/>
    <w:rsid w:val="00AE7C60"/>
    <w:rsid w:val="00AE7CCB"/>
    <w:rsid w:val="00AF02D6"/>
    <w:rsid w:val="00AF09F1"/>
    <w:rsid w:val="00AF0B75"/>
    <w:rsid w:val="00AF0D57"/>
    <w:rsid w:val="00AF1170"/>
    <w:rsid w:val="00AF12A9"/>
    <w:rsid w:val="00AF16E8"/>
    <w:rsid w:val="00AF1CBD"/>
    <w:rsid w:val="00AF218B"/>
    <w:rsid w:val="00AF2230"/>
    <w:rsid w:val="00AF2453"/>
    <w:rsid w:val="00AF253F"/>
    <w:rsid w:val="00AF29EB"/>
    <w:rsid w:val="00AF2FCC"/>
    <w:rsid w:val="00AF32A8"/>
    <w:rsid w:val="00AF3337"/>
    <w:rsid w:val="00AF33AA"/>
    <w:rsid w:val="00AF34DC"/>
    <w:rsid w:val="00AF37BB"/>
    <w:rsid w:val="00AF3F38"/>
    <w:rsid w:val="00AF40CE"/>
    <w:rsid w:val="00AF46F9"/>
    <w:rsid w:val="00AF4CE7"/>
    <w:rsid w:val="00AF52BE"/>
    <w:rsid w:val="00AF5B63"/>
    <w:rsid w:val="00AF6243"/>
    <w:rsid w:val="00AF627A"/>
    <w:rsid w:val="00AF67D8"/>
    <w:rsid w:val="00AF69F3"/>
    <w:rsid w:val="00AF6CD6"/>
    <w:rsid w:val="00AF6D0B"/>
    <w:rsid w:val="00AF7286"/>
    <w:rsid w:val="00AF740C"/>
    <w:rsid w:val="00AF756B"/>
    <w:rsid w:val="00AF792B"/>
    <w:rsid w:val="00AF79EE"/>
    <w:rsid w:val="00AF7C81"/>
    <w:rsid w:val="00AF7F98"/>
    <w:rsid w:val="00B00114"/>
    <w:rsid w:val="00B00370"/>
    <w:rsid w:val="00B003CC"/>
    <w:rsid w:val="00B003FD"/>
    <w:rsid w:val="00B006A4"/>
    <w:rsid w:val="00B007A7"/>
    <w:rsid w:val="00B00FB3"/>
    <w:rsid w:val="00B010CB"/>
    <w:rsid w:val="00B012D0"/>
    <w:rsid w:val="00B014EF"/>
    <w:rsid w:val="00B01632"/>
    <w:rsid w:val="00B016D8"/>
    <w:rsid w:val="00B01931"/>
    <w:rsid w:val="00B019D0"/>
    <w:rsid w:val="00B01A60"/>
    <w:rsid w:val="00B01AF8"/>
    <w:rsid w:val="00B01B9E"/>
    <w:rsid w:val="00B01D4A"/>
    <w:rsid w:val="00B01DB3"/>
    <w:rsid w:val="00B01F10"/>
    <w:rsid w:val="00B02096"/>
    <w:rsid w:val="00B0218E"/>
    <w:rsid w:val="00B022D7"/>
    <w:rsid w:val="00B023E0"/>
    <w:rsid w:val="00B02754"/>
    <w:rsid w:val="00B02EA4"/>
    <w:rsid w:val="00B033C8"/>
    <w:rsid w:val="00B03471"/>
    <w:rsid w:val="00B03712"/>
    <w:rsid w:val="00B03A86"/>
    <w:rsid w:val="00B03DC2"/>
    <w:rsid w:val="00B03E2A"/>
    <w:rsid w:val="00B04299"/>
    <w:rsid w:val="00B04336"/>
    <w:rsid w:val="00B04421"/>
    <w:rsid w:val="00B04A0A"/>
    <w:rsid w:val="00B04C11"/>
    <w:rsid w:val="00B050BA"/>
    <w:rsid w:val="00B050C7"/>
    <w:rsid w:val="00B0544D"/>
    <w:rsid w:val="00B05535"/>
    <w:rsid w:val="00B05738"/>
    <w:rsid w:val="00B057C8"/>
    <w:rsid w:val="00B05962"/>
    <w:rsid w:val="00B05EAC"/>
    <w:rsid w:val="00B062A2"/>
    <w:rsid w:val="00B065B0"/>
    <w:rsid w:val="00B065BC"/>
    <w:rsid w:val="00B07E69"/>
    <w:rsid w:val="00B07E78"/>
    <w:rsid w:val="00B102C0"/>
    <w:rsid w:val="00B102EF"/>
    <w:rsid w:val="00B10B74"/>
    <w:rsid w:val="00B10D57"/>
    <w:rsid w:val="00B10F3E"/>
    <w:rsid w:val="00B110CC"/>
    <w:rsid w:val="00B11412"/>
    <w:rsid w:val="00B119B8"/>
    <w:rsid w:val="00B11CFF"/>
    <w:rsid w:val="00B11F51"/>
    <w:rsid w:val="00B12096"/>
    <w:rsid w:val="00B1227C"/>
    <w:rsid w:val="00B123CB"/>
    <w:rsid w:val="00B1260E"/>
    <w:rsid w:val="00B12DC7"/>
    <w:rsid w:val="00B12E78"/>
    <w:rsid w:val="00B12F03"/>
    <w:rsid w:val="00B12F54"/>
    <w:rsid w:val="00B134A3"/>
    <w:rsid w:val="00B136BB"/>
    <w:rsid w:val="00B13CFA"/>
    <w:rsid w:val="00B13DA7"/>
    <w:rsid w:val="00B13E9E"/>
    <w:rsid w:val="00B142C6"/>
    <w:rsid w:val="00B14654"/>
    <w:rsid w:val="00B14A39"/>
    <w:rsid w:val="00B14F0D"/>
    <w:rsid w:val="00B14F35"/>
    <w:rsid w:val="00B15123"/>
    <w:rsid w:val="00B15438"/>
    <w:rsid w:val="00B154C2"/>
    <w:rsid w:val="00B1556D"/>
    <w:rsid w:val="00B1561F"/>
    <w:rsid w:val="00B15825"/>
    <w:rsid w:val="00B15C45"/>
    <w:rsid w:val="00B15CFF"/>
    <w:rsid w:val="00B15E08"/>
    <w:rsid w:val="00B16726"/>
    <w:rsid w:val="00B16E88"/>
    <w:rsid w:val="00B16EF0"/>
    <w:rsid w:val="00B170C8"/>
    <w:rsid w:val="00B1718F"/>
    <w:rsid w:val="00B17390"/>
    <w:rsid w:val="00B173D3"/>
    <w:rsid w:val="00B17589"/>
    <w:rsid w:val="00B17F7D"/>
    <w:rsid w:val="00B20583"/>
    <w:rsid w:val="00B20695"/>
    <w:rsid w:val="00B20A56"/>
    <w:rsid w:val="00B20FAF"/>
    <w:rsid w:val="00B211A7"/>
    <w:rsid w:val="00B2139B"/>
    <w:rsid w:val="00B21442"/>
    <w:rsid w:val="00B2169D"/>
    <w:rsid w:val="00B216C0"/>
    <w:rsid w:val="00B2175C"/>
    <w:rsid w:val="00B21ADD"/>
    <w:rsid w:val="00B21AFF"/>
    <w:rsid w:val="00B21F03"/>
    <w:rsid w:val="00B220D8"/>
    <w:rsid w:val="00B22292"/>
    <w:rsid w:val="00B22672"/>
    <w:rsid w:val="00B2273C"/>
    <w:rsid w:val="00B22BDF"/>
    <w:rsid w:val="00B23510"/>
    <w:rsid w:val="00B237B8"/>
    <w:rsid w:val="00B23825"/>
    <w:rsid w:val="00B2394E"/>
    <w:rsid w:val="00B240C3"/>
    <w:rsid w:val="00B2419D"/>
    <w:rsid w:val="00B246FE"/>
    <w:rsid w:val="00B24902"/>
    <w:rsid w:val="00B249B8"/>
    <w:rsid w:val="00B24CC6"/>
    <w:rsid w:val="00B24FB2"/>
    <w:rsid w:val="00B253D1"/>
    <w:rsid w:val="00B258E7"/>
    <w:rsid w:val="00B2593F"/>
    <w:rsid w:val="00B25F05"/>
    <w:rsid w:val="00B25FC5"/>
    <w:rsid w:val="00B2645E"/>
    <w:rsid w:val="00B26A47"/>
    <w:rsid w:val="00B26A74"/>
    <w:rsid w:val="00B26BB4"/>
    <w:rsid w:val="00B26C26"/>
    <w:rsid w:val="00B26DE3"/>
    <w:rsid w:val="00B26FF7"/>
    <w:rsid w:val="00B27333"/>
    <w:rsid w:val="00B27C5C"/>
    <w:rsid w:val="00B27F81"/>
    <w:rsid w:val="00B30545"/>
    <w:rsid w:val="00B307A7"/>
    <w:rsid w:val="00B30D51"/>
    <w:rsid w:val="00B31095"/>
    <w:rsid w:val="00B31234"/>
    <w:rsid w:val="00B3227B"/>
    <w:rsid w:val="00B322EC"/>
    <w:rsid w:val="00B32565"/>
    <w:rsid w:val="00B32601"/>
    <w:rsid w:val="00B327A9"/>
    <w:rsid w:val="00B3291B"/>
    <w:rsid w:val="00B3296F"/>
    <w:rsid w:val="00B32B81"/>
    <w:rsid w:val="00B32BA7"/>
    <w:rsid w:val="00B32EF0"/>
    <w:rsid w:val="00B32F81"/>
    <w:rsid w:val="00B33A6D"/>
    <w:rsid w:val="00B33C54"/>
    <w:rsid w:val="00B33E7A"/>
    <w:rsid w:val="00B33EC8"/>
    <w:rsid w:val="00B345EC"/>
    <w:rsid w:val="00B34636"/>
    <w:rsid w:val="00B346C6"/>
    <w:rsid w:val="00B34C84"/>
    <w:rsid w:val="00B35734"/>
    <w:rsid w:val="00B3582D"/>
    <w:rsid w:val="00B35BEC"/>
    <w:rsid w:val="00B35E66"/>
    <w:rsid w:val="00B36681"/>
    <w:rsid w:val="00B36C61"/>
    <w:rsid w:val="00B37982"/>
    <w:rsid w:val="00B37A75"/>
    <w:rsid w:val="00B37ECC"/>
    <w:rsid w:val="00B40048"/>
    <w:rsid w:val="00B40450"/>
    <w:rsid w:val="00B408F6"/>
    <w:rsid w:val="00B40AB6"/>
    <w:rsid w:val="00B41368"/>
    <w:rsid w:val="00B41590"/>
    <w:rsid w:val="00B4174C"/>
    <w:rsid w:val="00B42492"/>
    <w:rsid w:val="00B4337E"/>
    <w:rsid w:val="00B433EE"/>
    <w:rsid w:val="00B4363C"/>
    <w:rsid w:val="00B437BC"/>
    <w:rsid w:val="00B43808"/>
    <w:rsid w:val="00B439C6"/>
    <w:rsid w:val="00B43BDC"/>
    <w:rsid w:val="00B43C31"/>
    <w:rsid w:val="00B441EF"/>
    <w:rsid w:val="00B442F5"/>
    <w:rsid w:val="00B444F7"/>
    <w:rsid w:val="00B4503F"/>
    <w:rsid w:val="00B45104"/>
    <w:rsid w:val="00B4510C"/>
    <w:rsid w:val="00B452DB"/>
    <w:rsid w:val="00B4542F"/>
    <w:rsid w:val="00B456E8"/>
    <w:rsid w:val="00B45AD7"/>
    <w:rsid w:val="00B45ADC"/>
    <w:rsid w:val="00B463BF"/>
    <w:rsid w:val="00B46513"/>
    <w:rsid w:val="00B46577"/>
    <w:rsid w:val="00B465BD"/>
    <w:rsid w:val="00B469F1"/>
    <w:rsid w:val="00B46B39"/>
    <w:rsid w:val="00B47054"/>
    <w:rsid w:val="00B47375"/>
    <w:rsid w:val="00B4769A"/>
    <w:rsid w:val="00B4791E"/>
    <w:rsid w:val="00B50429"/>
    <w:rsid w:val="00B5042A"/>
    <w:rsid w:val="00B5066D"/>
    <w:rsid w:val="00B512AF"/>
    <w:rsid w:val="00B51396"/>
    <w:rsid w:val="00B51697"/>
    <w:rsid w:val="00B518B1"/>
    <w:rsid w:val="00B51A1A"/>
    <w:rsid w:val="00B51BFA"/>
    <w:rsid w:val="00B51FE6"/>
    <w:rsid w:val="00B521EF"/>
    <w:rsid w:val="00B523F7"/>
    <w:rsid w:val="00B528F0"/>
    <w:rsid w:val="00B52E58"/>
    <w:rsid w:val="00B52FE8"/>
    <w:rsid w:val="00B533C4"/>
    <w:rsid w:val="00B535CC"/>
    <w:rsid w:val="00B53912"/>
    <w:rsid w:val="00B53A49"/>
    <w:rsid w:val="00B53D5B"/>
    <w:rsid w:val="00B53E3A"/>
    <w:rsid w:val="00B54886"/>
    <w:rsid w:val="00B54AFC"/>
    <w:rsid w:val="00B54E9C"/>
    <w:rsid w:val="00B5512E"/>
    <w:rsid w:val="00B55304"/>
    <w:rsid w:val="00B554D2"/>
    <w:rsid w:val="00B55647"/>
    <w:rsid w:val="00B557CA"/>
    <w:rsid w:val="00B55A46"/>
    <w:rsid w:val="00B56339"/>
    <w:rsid w:val="00B563F4"/>
    <w:rsid w:val="00B5642C"/>
    <w:rsid w:val="00B5650E"/>
    <w:rsid w:val="00B5685C"/>
    <w:rsid w:val="00B56919"/>
    <w:rsid w:val="00B56A3C"/>
    <w:rsid w:val="00B5706E"/>
    <w:rsid w:val="00B57948"/>
    <w:rsid w:val="00B579BE"/>
    <w:rsid w:val="00B57A51"/>
    <w:rsid w:val="00B57AF8"/>
    <w:rsid w:val="00B60147"/>
    <w:rsid w:val="00B6025A"/>
    <w:rsid w:val="00B60545"/>
    <w:rsid w:val="00B609DD"/>
    <w:rsid w:val="00B60ABD"/>
    <w:rsid w:val="00B60CB2"/>
    <w:rsid w:val="00B60CB6"/>
    <w:rsid w:val="00B6194E"/>
    <w:rsid w:val="00B61A00"/>
    <w:rsid w:val="00B61C33"/>
    <w:rsid w:val="00B6203E"/>
    <w:rsid w:val="00B629BF"/>
    <w:rsid w:val="00B62B5D"/>
    <w:rsid w:val="00B62D56"/>
    <w:rsid w:val="00B62E7D"/>
    <w:rsid w:val="00B62ED3"/>
    <w:rsid w:val="00B62F68"/>
    <w:rsid w:val="00B63022"/>
    <w:rsid w:val="00B63267"/>
    <w:rsid w:val="00B633A7"/>
    <w:rsid w:val="00B638FB"/>
    <w:rsid w:val="00B63B5C"/>
    <w:rsid w:val="00B63D9B"/>
    <w:rsid w:val="00B64460"/>
    <w:rsid w:val="00B64627"/>
    <w:rsid w:val="00B648A0"/>
    <w:rsid w:val="00B64BB0"/>
    <w:rsid w:val="00B65A20"/>
    <w:rsid w:val="00B65E66"/>
    <w:rsid w:val="00B66472"/>
    <w:rsid w:val="00B66573"/>
    <w:rsid w:val="00B66A15"/>
    <w:rsid w:val="00B66D51"/>
    <w:rsid w:val="00B66F9F"/>
    <w:rsid w:val="00B67183"/>
    <w:rsid w:val="00B677F5"/>
    <w:rsid w:val="00B679EA"/>
    <w:rsid w:val="00B67BB5"/>
    <w:rsid w:val="00B71BAC"/>
    <w:rsid w:val="00B71D9F"/>
    <w:rsid w:val="00B7266A"/>
    <w:rsid w:val="00B72697"/>
    <w:rsid w:val="00B7272D"/>
    <w:rsid w:val="00B727C7"/>
    <w:rsid w:val="00B72A98"/>
    <w:rsid w:val="00B72B1A"/>
    <w:rsid w:val="00B72E01"/>
    <w:rsid w:val="00B72EA9"/>
    <w:rsid w:val="00B72F6C"/>
    <w:rsid w:val="00B7312D"/>
    <w:rsid w:val="00B73233"/>
    <w:rsid w:val="00B73319"/>
    <w:rsid w:val="00B737DD"/>
    <w:rsid w:val="00B73883"/>
    <w:rsid w:val="00B73ADD"/>
    <w:rsid w:val="00B73B9C"/>
    <w:rsid w:val="00B73BE9"/>
    <w:rsid w:val="00B73E44"/>
    <w:rsid w:val="00B74209"/>
    <w:rsid w:val="00B7425D"/>
    <w:rsid w:val="00B745DF"/>
    <w:rsid w:val="00B7472C"/>
    <w:rsid w:val="00B749FF"/>
    <w:rsid w:val="00B74BF7"/>
    <w:rsid w:val="00B74C13"/>
    <w:rsid w:val="00B751E4"/>
    <w:rsid w:val="00B75447"/>
    <w:rsid w:val="00B75517"/>
    <w:rsid w:val="00B755B4"/>
    <w:rsid w:val="00B75A8B"/>
    <w:rsid w:val="00B75DE7"/>
    <w:rsid w:val="00B76318"/>
    <w:rsid w:val="00B76400"/>
    <w:rsid w:val="00B7647E"/>
    <w:rsid w:val="00B76F8C"/>
    <w:rsid w:val="00B76FC0"/>
    <w:rsid w:val="00B77123"/>
    <w:rsid w:val="00B77350"/>
    <w:rsid w:val="00B77810"/>
    <w:rsid w:val="00B77E14"/>
    <w:rsid w:val="00B80001"/>
    <w:rsid w:val="00B805BA"/>
    <w:rsid w:val="00B80A59"/>
    <w:rsid w:val="00B81260"/>
    <w:rsid w:val="00B81444"/>
    <w:rsid w:val="00B8159A"/>
    <w:rsid w:val="00B82357"/>
    <w:rsid w:val="00B827FA"/>
    <w:rsid w:val="00B82895"/>
    <w:rsid w:val="00B82C34"/>
    <w:rsid w:val="00B82E62"/>
    <w:rsid w:val="00B835A7"/>
    <w:rsid w:val="00B83C24"/>
    <w:rsid w:val="00B843B0"/>
    <w:rsid w:val="00B8444B"/>
    <w:rsid w:val="00B84712"/>
    <w:rsid w:val="00B847AD"/>
    <w:rsid w:val="00B84801"/>
    <w:rsid w:val="00B84BA3"/>
    <w:rsid w:val="00B84EF2"/>
    <w:rsid w:val="00B84FB6"/>
    <w:rsid w:val="00B85288"/>
    <w:rsid w:val="00B852DE"/>
    <w:rsid w:val="00B8541A"/>
    <w:rsid w:val="00B8564D"/>
    <w:rsid w:val="00B856AB"/>
    <w:rsid w:val="00B8588D"/>
    <w:rsid w:val="00B85FA5"/>
    <w:rsid w:val="00B86A56"/>
    <w:rsid w:val="00B86B9C"/>
    <w:rsid w:val="00B87679"/>
    <w:rsid w:val="00B8773F"/>
    <w:rsid w:val="00B87773"/>
    <w:rsid w:val="00B878CB"/>
    <w:rsid w:val="00B878DA"/>
    <w:rsid w:val="00B87CC4"/>
    <w:rsid w:val="00B90237"/>
    <w:rsid w:val="00B90659"/>
    <w:rsid w:val="00B908DC"/>
    <w:rsid w:val="00B90D1A"/>
    <w:rsid w:val="00B91425"/>
    <w:rsid w:val="00B91ABA"/>
    <w:rsid w:val="00B91AE9"/>
    <w:rsid w:val="00B91F23"/>
    <w:rsid w:val="00B92193"/>
    <w:rsid w:val="00B923DF"/>
    <w:rsid w:val="00B92643"/>
    <w:rsid w:val="00B927FD"/>
    <w:rsid w:val="00B92CDE"/>
    <w:rsid w:val="00B92F34"/>
    <w:rsid w:val="00B9369F"/>
    <w:rsid w:val="00B940DD"/>
    <w:rsid w:val="00B9426B"/>
    <w:rsid w:val="00B9453C"/>
    <w:rsid w:val="00B949C6"/>
    <w:rsid w:val="00B94DE0"/>
    <w:rsid w:val="00B9520B"/>
    <w:rsid w:val="00B95569"/>
    <w:rsid w:val="00B9596D"/>
    <w:rsid w:val="00B95A81"/>
    <w:rsid w:val="00B95EC9"/>
    <w:rsid w:val="00B963C5"/>
    <w:rsid w:val="00B96717"/>
    <w:rsid w:val="00B96903"/>
    <w:rsid w:val="00B96F98"/>
    <w:rsid w:val="00B97509"/>
    <w:rsid w:val="00B977BF"/>
    <w:rsid w:val="00B97B27"/>
    <w:rsid w:val="00BA02D2"/>
    <w:rsid w:val="00BA0CD2"/>
    <w:rsid w:val="00BA0EF4"/>
    <w:rsid w:val="00BA1024"/>
    <w:rsid w:val="00BA1879"/>
    <w:rsid w:val="00BA18F1"/>
    <w:rsid w:val="00BA19DE"/>
    <w:rsid w:val="00BA1F83"/>
    <w:rsid w:val="00BA1F96"/>
    <w:rsid w:val="00BA3261"/>
    <w:rsid w:val="00BA32B6"/>
    <w:rsid w:val="00BA344C"/>
    <w:rsid w:val="00BA34DC"/>
    <w:rsid w:val="00BA3BB8"/>
    <w:rsid w:val="00BA3F15"/>
    <w:rsid w:val="00BA4309"/>
    <w:rsid w:val="00BA484B"/>
    <w:rsid w:val="00BA53F4"/>
    <w:rsid w:val="00BA5822"/>
    <w:rsid w:val="00BA5C83"/>
    <w:rsid w:val="00BA5E16"/>
    <w:rsid w:val="00BA60FB"/>
    <w:rsid w:val="00BA69F5"/>
    <w:rsid w:val="00BA6B24"/>
    <w:rsid w:val="00BA6BAB"/>
    <w:rsid w:val="00BA6E6B"/>
    <w:rsid w:val="00BA73D5"/>
    <w:rsid w:val="00BA74ED"/>
    <w:rsid w:val="00BA7733"/>
    <w:rsid w:val="00BB03C1"/>
    <w:rsid w:val="00BB03C5"/>
    <w:rsid w:val="00BB05EC"/>
    <w:rsid w:val="00BB09A4"/>
    <w:rsid w:val="00BB0B31"/>
    <w:rsid w:val="00BB0C41"/>
    <w:rsid w:val="00BB146F"/>
    <w:rsid w:val="00BB18AE"/>
    <w:rsid w:val="00BB191E"/>
    <w:rsid w:val="00BB1B21"/>
    <w:rsid w:val="00BB1BE0"/>
    <w:rsid w:val="00BB1C90"/>
    <w:rsid w:val="00BB1E75"/>
    <w:rsid w:val="00BB2733"/>
    <w:rsid w:val="00BB29E1"/>
    <w:rsid w:val="00BB2CCF"/>
    <w:rsid w:val="00BB31C7"/>
    <w:rsid w:val="00BB36A6"/>
    <w:rsid w:val="00BB3879"/>
    <w:rsid w:val="00BB39BB"/>
    <w:rsid w:val="00BB3B84"/>
    <w:rsid w:val="00BB3C28"/>
    <w:rsid w:val="00BB3CCF"/>
    <w:rsid w:val="00BB48E6"/>
    <w:rsid w:val="00BB4AC0"/>
    <w:rsid w:val="00BB4AF2"/>
    <w:rsid w:val="00BB57FD"/>
    <w:rsid w:val="00BB583D"/>
    <w:rsid w:val="00BB584A"/>
    <w:rsid w:val="00BB58E2"/>
    <w:rsid w:val="00BB5BD6"/>
    <w:rsid w:val="00BB5F75"/>
    <w:rsid w:val="00BB62A3"/>
    <w:rsid w:val="00BB71EB"/>
    <w:rsid w:val="00BB728A"/>
    <w:rsid w:val="00BB7E91"/>
    <w:rsid w:val="00BC027D"/>
    <w:rsid w:val="00BC0360"/>
    <w:rsid w:val="00BC03B4"/>
    <w:rsid w:val="00BC094C"/>
    <w:rsid w:val="00BC0A93"/>
    <w:rsid w:val="00BC1751"/>
    <w:rsid w:val="00BC188C"/>
    <w:rsid w:val="00BC1968"/>
    <w:rsid w:val="00BC1FFA"/>
    <w:rsid w:val="00BC258C"/>
    <w:rsid w:val="00BC290E"/>
    <w:rsid w:val="00BC2B89"/>
    <w:rsid w:val="00BC2D27"/>
    <w:rsid w:val="00BC30A9"/>
    <w:rsid w:val="00BC3637"/>
    <w:rsid w:val="00BC3AF1"/>
    <w:rsid w:val="00BC3D71"/>
    <w:rsid w:val="00BC3E05"/>
    <w:rsid w:val="00BC4628"/>
    <w:rsid w:val="00BC4899"/>
    <w:rsid w:val="00BC4F0A"/>
    <w:rsid w:val="00BC4F48"/>
    <w:rsid w:val="00BC4F99"/>
    <w:rsid w:val="00BC5AFA"/>
    <w:rsid w:val="00BC5C2C"/>
    <w:rsid w:val="00BC6069"/>
    <w:rsid w:val="00BC628E"/>
    <w:rsid w:val="00BC62C9"/>
    <w:rsid w:val="00BC6751"/>
    <w:rsid w:val="00BC68D4"/>
    <w:rsid w:val="00BD0133"/>
    <w:rsid w:val="00BD02EA"/>
    <w:rsid w:val="00BD066D"/>
    <w:rsid w:val="00BD1BDC"/>
    <w:rsid w:val="00BD1DA4"/>
    <w:rsid w:val="00BD1EC4"/>
    <w:rsid w:val="00BD1ED8"/>
    <w:rsid w:val="00BD2134"/>
    <w:rsid w:val="00BD22C4"/>
    <w:rsid w:val="00BD2563"/>
    <w:rsid w:val="00BD2856"/>
    <w:rsid w:val="00BD28EF"/>
    <w:rsid w:val="00BD2B63"/>
    <w:rsid w:val="00BD2ED4"/>
    <w:rsid w:val="00BD30B0"/>
    <w:rsid w:val="00BD3274"/>
    <w:rsid w:val="00BD3297"/>
    <w:rsid w:val="00BD33AF"/>
    <w:rsid w:val="00BD3B28"/>
    <w:rsid w:val="00BD3B89"/>
    <w:rsid w:val="00BD3BC5"/>
    <w:rsid w:val="00BD3DC0"/>
    <w:rsid w:val="00BD4C04"/>
    <w:rsid w:val="00BD4C4C"/>
    <w:rsid w:val="00BD4C52"/>
    <w:rsid w:val="00BD52D5"/>
    <w:rsid w:val="00BD54A7"/>
    <w:rsid w:val="00BD58C5"/>
    <w:rsid w:val="00BD5903"/>
    <w:rsid w:val="00BD5EAC"/>
    <w:rsid w:val="00BD60CB"/>
    <w:rsid w:val="00BD64AA"/>
    <w:rsid w:val="00BD6B01"/>
    <w:rsid w:val="00BD6C24"/>
    <w:rsid w:val="00BD6FA8"/>
    <w:rsid w:val="00BD7139"/>
    <w:rsid w:val="00BD761C"/>
    <w:rsid w:val="00BD76C4"/>
    <w:rsid w:val="00BE0099"/>
    <w:rsid w:val="00BE01D6"/>
    <w:rsid w:val="00BE022B"/>
    <w:rsid w:val="00BE0FEF"/>
    <w:rsid w:val="00BE13D7"/>
    <w:rsid w:val="00BE17FC"/>
    <w:rsid w:val="00BE1AFF"/>
    <w:rsid w:val="00BE1B4B"/>
    <w:rsid w:val="00BE1B66"/>
    <w:rsid w:val="00BE1EB6"/>
    <w:rsid w:val="00BE22BD"/>
    <w:rsid w:val="00BE2787"/>
    <w:rsid w:val="00BE284E"/>
    <w:rsid w:val="00BE2E55"/>
    <w:rsid w:val="00BE34A3"/>
    <w:rsid w:val="00BE34AC"/>
    <w:rsid w:val="00BE37B3"/>
    <w:rsid w:val="00BE3AA7"/>
    <w:rsid w:val="00BE3AAD"/>
    <w:rsid w:val="00BE3E60"/>
    <w:rsid w:val="00BE3E6D"/>
    <w:rsid w:val="00BE3FE3"/>
    <w:rsid w:val="00BE40D9"/>
    <w:rsid w:val="00BE40E1"/>
    <w:rsid w:val="00BE44BF"/>
    <w:rsid w:val="00BE5069"/>
    <w:rsid w:val="00BE5597"/>
    <w:rsid w:val="00BE62E0"/>
    <w:rsid w:val="00BE6504"/>
    <w:rsid w:val="00BE65E7"/>
    <w:rsid w:val="00BE66AD"/>
    <w:rsid w:val="00BE66FC"/>
    <w:rsid w:val="00BE6BF5"/>
    <w:rsid w:val="00BE7835"/>
    <w:rsid w:val="00BE7B43"/>
    <w:rsid w:val="00BE7BA0"/>
    <w:rsid w:val="00BE7E7B"/>
    <w:rsid w:val="00BE7F33"/>
    <w:rsid w:val="00BF0197"/>
    <w:rsid w:val="00BF021F"/>
    <w:rsid w:val="00BF03FA"/>
    <w:rsid w:val="00BF0BEB"/>
    <w:rsid w:val="00BF0F05"/>
    <w:rsid w:val="00BF1044"/>
    <w:rsid w:val="00BF11A1"/>
    <w:rsid w:val="00BF1252"/>
    <w:rsid w:val="00BF1265"/>
    <w:rsid w:val="00BF1782"/>
    <w:rsid w:val="00BF1AD7"/>
    <w:rsid w:val="00BF216F"/>
    <w:rsid w:val="00BF2595"/>
    <w:rsid w:val="00BF28FC"/>
    <w:rsid w:val="00BF2B36"/>
    <w:rsid w:val="00BF302F"/>
    <w:rsid w:val="00BF30DE"/>
    <w:rsid w:val="00BF3354"/>
    <w:rsid w:val="00BF33F4"/>
    <w:rsid w:val="00BF34AB"/>
    <w:rsid w:val="00BF3607"/>
    <w:rsid w:val="00BF3FCE"/>
    <w:rsid w:val="00BF40FD"/>
    <w:rsid w:val="00BF4833"/>
    <w:rsid w:val="00BF48F0"/>
    <w:rsid w:val="00BF4B21"/>
    <w:rsid w:val="00BF4D32"/>
    <w:rsid w:val="00BF4F9D"/>
    <w:rsid w:val="00BF508E"/>
    <w:rsid w:val="00BF52F2"/>
    <w:rsid w:val="00BF56EB"/>
    <w:rsid w:val="00BF61BB"/>
    <w:rsid w:val="00BF657B"/>
    <w:rsid w:val="00BF66D8"/>
    <w:rsid w:val="00BF6F6D"/>
    <w:rsid w:val="00C00115"/>
    <w:rsid w:val="00C0049C"/>
    <w:rsid w:val="00C00B6C"/>
    <w:rsid w:val="00C0108B"/>
    <w:rsid w:val="00C014ED"/>
    <w:rsid w:val="00C018E1"/>
    <w:rsid w:val="00C01A80"/>
    <w:rsid w:val="00C022E5"/>
    <w:rsid w:val="00C02430"/>
    <w:rsid w:val="00C027D9"/>
    <w:rsid w:val="00C02E6E"/>
    <w:rsid w:val="00C02ECE"/>
    <w:rsid w:val="00C032BC"/>
    <w:rsid w:val="00C0335A"/>
    <w:rsid w:val="00C037EF"/>
    <w:rsid w:val="00C038A8"/>
    <w:rsid w:val="00C0390B"/>
    <w:rsid w:val="00C03914"/>
    <w:rsid w:val="00C03CF1"/>
    <w:rsid w:val="00C04488"/>
    <w:rsid w:val="00C047AD"/>
    <w:rsid w:val="00C04C2E"/>
    <w:rsid w:val="00C04CF7"/>
    <w:rsid w:val="00C04E1A"/>
    <w:rsid w:val="00C04E2C"/>
    <w:rsid w:val="00C04E59"/>
    <w:rsid w:val="00C05125"/>
    <w:rsid w:val="00C0534A"/>
    <w:rsid w:val="00C055B7"/>
    <w:rsid w:val="00C0582D"/>
    <w:rsid w:val="00C06427"/>
    <w:rsid w:val="00C065F0"/>
    <w:rsid w:val="00C065FA"/>
    <w:rsid w:val="00C06BCA"/>
    <w:rsid w:val="00C06D90"/>
    <w:rsid w:val="00C06FC3"/>
    <w:rsid w:val="00C07118"/>
    <w:rsid w:val="00C0731C"/>
    <w:rsid w:val="00C07956"/>
    <w:rsid w:val="00C079FD"/>
    <w:rsid w:val="00C07E52"/>
    <w:rsid w:val="00C101B4"/>
    <w:rsid w:val="00C10ED9"/>
    <w:rsid w:val="00C10FC3"/>
    <w:rsid w:val="00C113BE"/>
    <w:rsid w:val="00C113CC"/>
    <w:rsid w:val="00C116AE"/>
    <w:rsid w:val="00C1173E"/>
    <w:rsid w:val="00C11B18"/>
    <w:rsid w:val="00C11B65"/>
    <w:rsid w:val="00C11E27"/>
    <w:rsid w:val="00C1203D"/>
    <w:rsid w:val="00C12946"/>
    <w:rsid w:val="00C12C77"/>
    <w:rsid w:val="00C13099"/>
    <w:rsid w:val="00C139F0"/>
    <w:rsid w:val="00C13B75"/>
    <w:rsid w:val="00C13E0C"/>
    <w:rsid w:val="00C13F89"/>
    <w:rsid w:val="00C145C1"/>
    <w:rsid w:val="00C146F9"/>
    <w:rsid w:val="00C148D7"/>
    <w:rsid w:val="00C14EB5"/>
    <w:rsid w:val="00C14F7C"/>
    <w:rsid w:val="00C15184"/>
    <w:rsid w:val="00C1523E"/>
    <w:rsid w:val="00C1537A"/>
    <w:rsid w:val="00C15758"/>
    <w:rsid w:val="00C1590D"/>
    <w:rsid w:val="00C1592E"/>
    <w:rsid w:val="00C15D36"/>
    <w:rsid w:val="00C16114"/>
    <w:rsid w:val="00C1622E"/>
    <w:rsid w:val="00C1626F"/>
    <w:rsid w:val="00C16317"/>
    <w:rsid w:val="00C163F1"/>
    <w:rsid w:val="00C166AE"/>
    <w:rsid w:val="00C167FF"/>
    <w:rsid w:val="00C16826"/>
    <w:rsid w:val="00C168F2"/>
    <w:rsid w:val="00C16F68"/>
    <w:rsid w:val="00C170CA"/>
    <w:rsid w:val="00C17312"/>
    <w:rsid w:val="00C1781E"/>
    <w:rsid w:val="00C17B68"/>
    <w:rsid w:val="00C17C68"/>
    <w:rsid w:val="00C17DFC"/>
    <w:rsid w:val="00C17E7A"/>
    <w:rsid w:val="00C2030E"/>
    <w:rsid w:val="00C209AF"/>
    <w:rsid w:val="00C20ACC"/>
    <w:rsid w:val="00C20FF0"/>
    <w:rsid w:val="00C21078"/>
    <w:rsid w:val="00C21128"/>
    <w:rsid w:val="00C213BC"/>
    <w:rsid w:val="00C22132"/>
    <w:rsid w:val="00C2213F"/>
    <w:rsid w:val="00C2217F"/>
    <w:rsid w:val="00C22362"/>
    <w:rsid w:val="00C2242B"/>
    <w:rsid w:val="00C22697"/>
    <w:rsid w:val="00C22744"/>
    <w:rsid w:val="00C22E91"/>
    <w:rsid w:val="00C23400"/>
    <w:rsid w:val="00C23490"/>
    <w:rsid w:val="00C23A0F"/>
    <w:rsid w:val="00C24731"/>
    <w:rsid w:val="00C248BF"/>
    <w:rsid w:val="00C24D78"/>
    <w:rsid w:val="00C250BF"/>
    <w:rsid w:val="00C256B0"/>
    <w:rsid w:val="00C25C5E"/>
    <w:rsid w:val="00C260E8"/>
    <w:rsid w:val="00C26267"/>
    <w:rsid w:val="00C2668D"/>
    <w:rsid w:val="00C266BF"/>
    <w:rsid w:val="00C266D5"/>
    <w:rsid w:val="00C26910"/>
    <w:rsid w:val="00C26B96"/>
    <w:rsid w:val="00C2737A"/>
    <w:rsid w:val="00C279BF"/>
    <w:rsid w:val="00C27B53"/>
    <w:rsid w:val="00C27C57"/>
    <w:rsid w:val="00C27E81"/>
    <w:rsid w:val="00C301D5"/>
    <w:rsid w:val="00C307FD"/>
    <w:rsid w:val="00C308E4"/>
    <w:rsid w:val="00C31242"/>
    <w:rsid w:val="00C312AB"/>
    <w:rsid w:val="00C312DE"/>
    <w:rsid w:val="00C31B5C"/>
    <w:rsid w:val="00C31FEB"/>
    <w:rsid w:val="00C32071"/>
    <w:rsid w:val="00C32110"/>
    <w:rsid w:val="00C32D34"/>
    <w:rsid w:val="00C32EBE"/>
    <w:rsid w:val="00C32F96"/>
    <w:rsid w:val="00C3309A"/>
    <w:rsid w:val="00C33224"/>
    <w:rsid w:val="00C3342F"/>
    <w:rsid w:val="00C33C18"/>
    <w:rsid w:val="00C34040"/>
    <w:rsid w:val="00C34306"/>
    <w:rsid w:val="00C3431A"/>
    <w:rsid w:val="00C346C7"/>
    <w:rsid w:val="00C3480E"/>
    <w:rsid w:val="00C34810"/>
    <w:rsid w:val="00C349FD"/>
    <w:rsid w:val="00C34C36"/>
    <w:rsid w:val="00C3560E"/>
    <w:rsid w:val="00C35B9E"/>
    <w:rsid w:val="00C35C97"/>
    <w:rsid w:val="00C35E1C"/>
    <w:rsid w:val="00C361AB"/>
    <w:rsid w:val="00C3643D"/>
    <w:rsid w:val="00C36448"/>
    <w:rsid w:val="00C364E5"/>
    <w:rsid w:val="00C367E0"/>
    <w:rsid w:val="00C368A7"/>
    <w:rsid w:val="00C368CB"/>
    <w:rsid w:val="00C377D8"/>
    <w:rsid w:val="00C3789F"/>
    <w:rsid w:val="00C37A57"/>
    <w:rsid w:val="00C37BFA"/>
    <w:rsid w:val="00C37DF1"/>
    <w:rsid w:val="00C37F09"/>
    <w:rsid w:val="00C40493"/>
    <w:rsid w:val="00C40498"/>
    <w:rsid w:val="00C4063B"/>
    <w:rsid w:val="00C406A5"/>
    <w:rsid w:val="00C40759"/>
    <w:rsid w:val="00C40B5C"/>
    <w:rsid w:val="00C40CFF"/>
    <w:rsid w:val="00C40F64"/>
    <w:rsid w:val="00C410B5"/>
    <w:rsid w:val="00C41120"/>
    <w:rsid w:val="00C41124"/>
    <w:rsid w:val="00C411C1"/>
    <w:rsid w:val="00C4152B"/>
    <w:rsid w:val="00C4155C"/>
    <w:rsid w:val="00C41AAA"/>
    <w:rsid w:val="00C41CA7"/>
    <w:rsid w:val="00C42293"/>
    <w:rsid w:val="00C423DB"/>
    <w:rsid w:val="00C426EF"/>
    <w:rsid w:val="00C4273A"/>
    <w:rsid w:val="00C42C4F"/>
    <w:rsid w:val="00C42E15"/>
    <w:rsid w:val="00C42EA5"/>
    <w:rsid w:val="00C4317D"/>
    <w:rsid w:val="00C43408"/>
    <w:rsid w:val="00C43AFB"/>
    <w:rsid w:val="00C43B74"/>
    <w:rsid w:val="00C4407F"/>
    <w:rsid w:val="00C441C2"/>
    <w:rsid w:val="00C446CA"/>
    <w:rsid w:val="00C45157"/>
    <w:rsid w:val="00C45352"/>
    <w:rsid w:val="00C456B4"/>
    <w:rsid w:val="00C4573E"/>
    <w:rsid w:val="00C45951"/>
    <w:rsid w:val="00C45C52"/>
    <w:rsid w:val="00C45E19"/>
    <w:rsid w:val="00C45F17"/>
    <w:rsid w:val="00C46757"/>
    <w:rsid w:val="00C46978"/>
    <w:rsid w:val="00C46A61"/>
    <w:rsid w:val="00C46A7E"/>
    <w:rsid w:val="00C46BBD"/>
    <w:rsid w:val="00C4734B"/>
    <w:rsid w:val="00C4761A"/>
    <w:rsid w:val="00C479D0"/>
    <w:rsid w:val="00C47BD3"/>
    <w:rsid w:val="00C47F11"/>
    <w:rsid w:val="00C502FF"/>
    <w:rsid w:val="00C5039E"/>
    <w:rsid w:val="00C50400"/>
    <w:rsid w:val="00C506AB"/>
    <w:rsid w:val="00C509C6"/>
    <w:rsid w:val="00C50FE8"/>
    <w:rsid w:val="00C51333"/>
    <w:rsid w:val="00C514E4"/>
    <w:rsid w:val="00C515DE"/>
    <w:rsid w:val="00C52318"/>
    <w:rsid w:val="00C52C23"/>
    <w:rsid w:val="00C52E50"/>
    <w:rsid w:val="00C52ED7"/>
    <w:rsid w:val="00C5304B"/>
    <w:rsid w:val="00C531B7"/>
    <w:rsid w:val="00C531B8"/>
    <w:rsid w:val="00C532D8"/>
    <w:rsid w:val="00C53763"/>
    <w:rsid w:val="00C53AE8"/>
    <w:rsid w:val="00C542E9"/>
    <w:rsid w:val="00C544A2"/>
    <w:rsid w:val="00C545A6"/>
    <w:rsid w:val="00C545B6"/>
    <w:rsid w:val="00C54B73"/>
    <w:rsid w:val="00C54CFC"/>
    <w:rsid w:val="00C55030"/>
    <w:rsid w:val="00C5564C"/>
    <w:rsid w:val="00C556C1"/>
    <w:rsid w:val="00C556C5"/>
    <w:rsid w:val="00C5571E"/>
    <w:rsid w:val="00C557BB"/>
    <w:rsid w:val="00C55ABD"/>
    <w:rsid w:val="00C55B19"/>
    <w:rsid w:val="00C55D51"/>
    <w:rsid w:val="00C55ED5"/>
    <w:rsid w:val="00C56263"/>
    <w:rsid w:val="00C563FB"/>
    <w:rsid w:val="00C569AF"/>
    <w:rsid w:val="00C56F77"/>
    <w:rsid w:val="00C572A4"/>
    <w:rsid w:val="00C57759"/>
    <w:rsid w:val="00C57802"/>
    <w:rsid w:val="00C57A77"/>
    <w:rsid w:val="00C57BB6"/>
    <w:rsid w:val="00C57ED6"/>
    <w:rsid w:val="00C607EC"/>
    <w:rsid w:val="00C60A2F"/>
    <w:rsid w:val="00C60DC0"/>
    <w:rsid w:val="00C60F27"/>
    <w:rsid w:val="00C61156"/>
    <w:rsid w:val="00C61161"/>
    <w:rsid w:val="00C611D7"/>
    <w:rsid w:val="00C6128F"/>
    <w:rsid w:val="00C61778"/>
    <w:rsid w:val="00C61790"/>
    <w:rsid w:val="00C6190D"/>
    <w:rsid w:val="00C61A0D"/>
    <w:rsid w:val="00C61A77"/>
    <w:rsid w:val="00C61C2B"/>
    <w:rsid w:val="00C61C72"/>
    <w:rsid w:val="00C62163"/>
    <w:rsid w:val="00C62425"/>
    <w:rsid w:val="00C62592"/>
    <w:rsid w:val="00C625D4"/>
    <w:rsid w:val="00C6390E"/>
    <w:rsid w:val="00C63BB8"/>
    <w:rsid w:val="00C63CB2"/>
    <w:rsid w:val="00C63CD9"/>
    <w:rsid w:val="00C63D32"/>
    <w:rsid w:val="00C640CE"/>
    <w:rsid w:val="00C641A9"/>
    <w:rsid w:val="00C646DB"/>
    <w:rsid w:val="00C64A81"/>
    <w:rsid w:val="00C64F57"/>
    <w:rsid w:val="00C65155"/>
    <w:rsid w:val="00C65412"/>
    <w:rsid w:val="00C6596B"/>
    <w:rsid w:val="00C65C9B"/>
    <w:rsid w:val="00C6610E"/>
    <w:rsid w:val="00C663DD"/>
    <w:rsid w:val="00C66507"/>
    <w:rsid w:val="00C66781"/>
    <w:rsid w:val="00C66C68"/>
    <w:rsid w:val="00C66E70"/>
    <w:rsid w:val="00C67494"/>
    <w:rsid w:val="00C679E5"/>
    <w:rsid w:val="00C67A08"/>
    <w:rsid w:val="00C67C16"/>
    <w:rsid w:val="00C67D12"/>
    <w:rsid w:val="00C700F1"/>
    <w:rsid w:val="00C702AD"/>
    <w:rsid w:val="00C70463"/>
    <w:rsid w:val="00C70490"/>
    <w:rsid w:val="00C709C8"/>
    <w:rsid w:val="00C70A33"/>
    <w:rsid w:val="00C70CF1"/>
    <w:rsid w:val="00C70F3C"/>
    <w:rsid w:val="00C712DF"/>
    <w:rsid w:val="00C7135B"/>
    <w:rsid w:val="00C71727"/>
    <w:rsid w:val="00C71EDE"/>
    <w:rsid w:val="00C71F70"/>
    <w:rsid w:val="00C722BF"/>
    <w:rsid w:val="00C72555"/>
    <w:rsid w:val="00C72FE7"/>
    <w:rsid w:val="00C7338B"/>
    <w:rsid w:val="00C7367B"/>
    <w:rsid w:val="00C73895"/>
    <w:rsid w:val="00C73EA9"/>
    <w:rsid w:val="00C73FF4"/>
    <w:rsid w:val="00C74131"/>
    <w:rsid w:val="00C74708"/>
    <w:rsid w:val="00C747A0"/>
    <w:rsid w:val="00C754D2"/>
    <w:rsid w:val="00C75610"/>
    <w:rsid w:val="00C75A2D"/>
    <w:rsid w:val="00C75A44"/>
    <w:rsid w:val="00C75E9A"/>
    <w:rsid w:val="00C762A9"/>
    <w:rsid w:val="00C76523"/>
    <w:rsid w:val="00C766A6"/>
    <w:rsid w:val="00C7686A"/>
    <w:rsid w:val="00C76B3D"/>
    <w:rsid w:val="00C76CB2"/>
    <w:rsid w:val="00C77757"/>
    <w:rsid w:val="00C77967"/>
    <w:rsid w:val="00C77D59"/>
    <w:rsid w:val="00C80919"/>
    <w:rsid w:val="00C80987"/>
    <w:rsid w:val="00C80A1F"/>
    <w:rsid w:val="00C80DA3"/>
    <w:rsid w:val="00C80EB3"/>
    <w:rsid w:val="00C81348"/>
    <w:rsid w:val="00C81855"/>
    <w:rsid w:val="00C8190C"/>
    <w:rsid w:val="00C819B4"/>
    <w:rsid w:val="00C828BB"/>
    <w:rsid w:val="00C82E44"/>
    <w:rsid w:val="00C830E5"/>
    <w:rsid w:val="00C83133"/>
    <w:rsid w:val="00C83B6A"/>
    <w:rsid w:val="00C83D76"/>
    <w:rsid w:val="00C841A5"/>
    <w:rsid w:val="00C84A39"/>
    <w:rsid w:val="00C84EA0"/>
    <w:rsid w:val="00C8548F"/>
    <w:rsid w:val="00C86094"/>
    <w:rsid w:val="00C86175"/>
    <w:rsid w:val="00C861D7"/>
    <w:rsid w:val="00C86C07"/>
    <w:rsid w:val="00C87662"/>
    <w:rsid w:val="00C87691"/>
    <w:rsid w:val="00C90045"/>
    <w:rsid w:val="00C900EB"/>
    <w:rsid w:val="00C90116"/>
    <w:rsid w:val="00C9061A"/>
    <w:rsid w:val="00C90873"/>
    <w:rsid w:val="00C90CEA"/>
    <w:rsid w:val="00C90DDA"/>
    <w:rsid w:val="00C90FE8"/>
    <w:rsid w:val="00C911B4"/>
    <w:rsid w:val="00C9133A"/>
    <w:rsid w:val="00C91345"/>
    <w:rsid w:val="00C91483"/>
    <w:rsid w:val="00C914A0"/>
    <w:rsid w:val="00C91557"/>
    <w:rsid w:val="00C91604"/>
    <w:rsid w:val="00C91B70"/>
    <w:rsid w:val="00C91F10"/>
    <w:rsid w:val="00C92322"/>
    <w:rsid w:val="00C928A9"/>
    <w:rsid w:val="00C92920"/>
    <w:rsid w:val="00C92A35"/>
    <w:rsid w:val="00C92B95"/>
    <w:rsid w:val="00C92B99"/>
    <w:rsid w:val="00C92D37"/>
    <w:rsid w:val="00C92FCE"/>
    <w:rsid w:val="00C933A7"/>
    <w:rsid w:val="00C933E6"/>
    <w:rsid w:val="00C9352E"/>
    <w:rsid w:val="00C93EA4"/>
    <w:rsid w:val="00C93FFD"/>
    <w:rsid w:val="00C94214"/>
    <w:rsid w:val="00C9425F"/>
    <w:rsid w:val="00C944DC"/>
    <w:rsid w:val="00C9480A"/>
    <w:rsid w:val="00C9493B"/>
    <w:rsid w:val="00C94EF3"/>
    <w:rsid w:val="00C952F4"/>
    <w:rsid w:val="00C9543B"/>
    <w:rsid w:val="00C95766"/>
    <w:rsid w:val="00C9576D"/>
    <w:rsid w:val="00C957F1"/>
    <w:rsid w:val="00C95C2E"/>
    <w:rsid w:val="00C95E34"/>
    <w:rsid w:val="00C95E46"/>
    <w:rsid w:val="00C96502"/>
    <w:rsid w:val="00C969AE"/>
    <w:rsid w:val="00C96A90"/>
    <w:rsid w:val="00C96C15"/>
    <w:rsid w:val="00C96C6E"/>
    <w:rsid w:val="00C96F22"/>
    <w:rsid w:val="00C970B1"/>
    <w:rsid w:val="00C97209"/>
    <w:rsid w:val="00C97256"/>
    <w:rsid w:val="00C974E7"/>
    <w:rsid w:val="00C9755D"/>
    <w:rsid w:val="00C97AF3"/>
    <w:rsid w:val="00C97E6E"/>
    <w:rsid w:val="00C97F37"/>
    <w:rsid w:val="00CA00F7"/>
    <w:rsid w:val="00CA034F"/>
    <w:rsid w:val="00CA04D1"/>
    <w:rsid w:val="00CA065D"/>
    <w:rsid w:val="00CA0742"/>
    <w:rsid w:val="00CA1A20"/>
    <w:rsid w:val="00CA210A"/>
    <w:rsid w:val="00CA2802"/>
    <w:rsid w:val="00CA2D38"/>
    <w:rsid w:val="00CA2EE1"/>
    <w:rsid w:val="00CA316C"/>
    <w:rsid w:val="00CA31EB"/>
    <w:rsid w:val="00CA37EC"/>
    <w:rsid w:val="00CA384E"/>
    <w:rsid w:val="00CA39B0"/>
    <w:rsid w:val="00CA3A8C"/>
    <w:rsid w:val="00CA3CE6"/>
    <w:rsid w:val="00CA3F29"/>
    <w:rsid w:val="00CA4883"/>
    <w:rsid w:val="00CA4975"/>
    <w:rsid w:val="00CA5068"/>
    <w:rsid w:val="00CA59A3"/>
    <w:rsid w:val="00CA5CAA"/>
    <w:rsid w:val="00CA5DC7"/>
    <w:rsid w:val="00CA60FB"/>
    <w:rsid w:val="00CA621D"/>
    <w:rsid w:val="00CA6237"/>
    <w:rsid w:val="00CA64CF"/>
    <w:rsid w:val="00CA6548"/>
    <w:rsid w:val="00CA65CB"/>
    <w:rsid w:val="00CA66E3"/>
    <w:rsid w:val="00CA6A14"/>
    <w:rsid w:val="00CA6CFF"/>
    <w:rsid w:val="00CA77F5"/>
    <w:rsid w:val="00CA7D5E"/>
    <w:rsid w:val="00CB0073"/>
    <w:rsid w:val="00CB0136"/>
    <w:rsid w:val="00CB0480"/>
    <w:rsid w:val="00CB05BF"/>
    <w:rsid w:val="00CB081F"/>
    <w:rsid w:val="00CB08E0"/>
    <w:rsid w:val="00CB0914"/>
    <w:rsid w:val="00CB0C0F"/>
    <w:rsid w:val="00CB0E57"/>
    <w:rsid w:val="00CB1058"/>
    <w:rsid w:val="00CB1330"/>
    <w:rsid w:val="00CB13EA"/>
    <w:rsid w:val="00CB1B48"/>
    <w:rsid w:val="00CB1F27"/>
    <w:rsid w:val="00CB2FDB"/>
    <w:rsid w:val="00CB323B"/>
    <w:rsid w:val="00CB335E"/>
    <w:rsid w:val="00CB3454"/>
    <w:rsid w:val="00CB3565"/>
    <w:rsid w:val="00CB36DA"/>
    <w:rsid w:val="00CB3866"/>
    <w:rsid w:val="00CB3965"/>
    <w:rsid w:val="00CB3D19"/>
    <w:rsid w:val="00CB414C"/>
    <w:rsid w:val="00CB4578"/>
    <w:rsid w:val="00CB4593"/>
    <w:rsid w:val="00CB45EB"/>
    <w:rsid w:val="00CB4DDD"/>
    <w:rsid w:val="00CB56A7"/>
    <w:rsid w:val="00CB5977"/>
    <w:rsid w:val="00CB59A4"/>
    <w:rsid w:val="00CB5CB7"/>
    <w:rsid w:val="00CB5D5B"/>
    <w:rsid w:val="00CB5E4F"/>
    <w:rsid w:val="00CB5F4D"/>
    <w:rsid w:val="00CB5F5F"/>
    <w:rsid w:val="00CB66F2"/>
    <w:rsid w:val="00CB681A"/>
    <w:rsid w:val="00CB69E4"/>
    <w:rsid w:val="00CB6A42"/>
    <w:rsid w:val="00CB6F5D"/>
    <w:rsid w:val="00CB710B"/>
    <w:rsid w:val="00CB7187"/>
    <w:rsid w:val="00CB71E8"/>
    <w:rsid w:val="00CB72BB"/>
    <w:rsid w:val="00CB7359"/>
    <w:rsid w:val="00CB7465"/>
    <w:rsid w:val="00CB758C"/>
    <w:rsid w:val="00CB7615"/>
    <w:rsid w:val="00CB7703"/>
    <w:rsid w:val="00CB7889"/>
    <w:rsid w:val="00CB7D89"/>
    <w:rsid w:val="00CC0193"/>
    <w:rsid w:val="00CC0733"/>
    <w:rsid w:val="00CC09B2"/>
    <w:rsid w:val="00CC09BB"/>
    <w:rsid w:val="00CC0B56"/>
    <w:rsid w:val="00CC137B"/>
    <w:rsid w:val="00CC17AC"/>
    <w:rsid w:val="00CC18A1"/>
    <w:rsid w:val="00CC1910"/>
    <w:rsid w:val="00CC2285"/>
    <w:rsid w:val="00CC2358"/>
    <w:rsid w:val="00CC236C"/>
    <w:rsid w:val="00CC29E7"/>
    <w:rsid w:val="00CC2C3E"/>
    <w:rsid w:val="00CC38A5"/>
    <w:rsid w:val="00CC3AD9"/>
    <w:rsid w:val="00CC3CAB"/>
    <w:rsid w:val="00CC3F9D"/>
    <w:rsid w:val="00CC47FA"/>
    <w:rsid w:val="00CC4E38"/>
    <w:rsid w:val="00CC4F2B"/>
    <w:rsid w:val="00CC60A2"/>
    <w:rsid w:val="00CC63F6"/>
    <w:rsid w:val="00CC6622"/>
    <w:rsid w:val="00CC69AE"/>
    <w:rsid w:val="00CC6CAC"/>
    <w:rsid w:val="00CC7607"/>
    <w:rsid w:val="00CC770A"/>
    <w:rsid w:val="00CC7723"/>
    <w:rsid w:val="00CC78AD"/>
    <w:rsid w:val="00CC7925"/>
    <w:rsid w:val="00CC7A58"/>
    <w:rsid w:val="00CC7A61"/>
    <w:rsid w:val="00CC7B61"/>
    <w:rsid w:val="00CC7B6E"/>
    <w:rsid w:val="00CC7CB7"/>
    <w:rsid w:val="00CD089E"/>
    <w:rsid w:val="00CD0C14"/>
    <w:rsid w:val="00CD0D2A"/>
    <w:rsid w:val="00CD1199"/>
    <w:rsid w:val="00CD145E"/>
    <w:rsid w:val="00CD1D79"/>
    <w:rsid w:val="00CD1DF3"/>
    <w:rsid w:val="00CD20CA"/>
    <w:rsid w:val="00CD21CE"/>
    <w:rsid w:val="00CD2610"/>
    <w:rsid w:val="00CD2720"/>
    <w:rsid w:val="00CD2ACF"/>
    <w:rsid w:val="00CD2B3C"/>
    <w:rsid w:val="00CD2FC5"/>
    <w:rsid w:val="00CD3067"/>
    <w:rsid w:val="00CD3081"/>
    <w:rsid w:val="00CD30C1"/>
    <w:rsid w:val="00CD31D6"/>
    <w:rsid w:val="00CD32D1"/>
    <w:rsid w:val="00CD38CD"/>
    <w:rsid w:val="00CD3A99"/>
    <w:rsid w:val="00CD3B3F"/>
    <w:rsid w:val="00CD42DD"/>
    <w:rsid w:val="00CD438A"/>
    <w:rsid w:val="00CD441E"/>
    <w:rsid w:val="00CD4788"/>
    <w:rsid w:val="00CD47C9"/>
    <w:rsid w:val="00CD4BD9"/>
    <w:rsid w:val="00CD4E95"/>
    <w:rsid w:val="00CD4F24"/>
    <w:rsid w:val="00CD4FF0"/>
    <w:rsid w:val="00CD5045"/>
    <w:rsid w:val="00CD531B"/>
    <w:rsid w:val="00CD554F"/>
    <w:rsid w:val="00CD581D"/>
    <w:rsid w:val="00CD6133"/>
    <w:rsid w:val="00CD62ED"/>
    <w:rsid w:val="00CD6827"/>
    <w:rsid w:val="00CD6A0E"/>
    <w:rsid w:val="00CD6C62"/>
    <w:rsid w:val="00CD70DB"/>
    <w:rsid w:val="00CD7E5C"/>
    <w:rsid w:val="00CD7EC4"/>
    <w:rsid w:val="00CE0020"/>
    <w:rsid w:val="00CE015F"/>
    <w:rsid w:val="00CE02B4"/>
    <w:rsid w:val="00CE037E"/>
    <w:rsid w:val="00CE0681"/>
    <w:rsid w:val="00CE0694"/>
    <w:rsid w:val="00CE0BEB"/>
    <w:rsid w:val="00CE0CEF"/>
    <w:rsid w:val="00CE126B"/>
    <w:rsid w:val="00CE1271"/>
    <w:rsid w:val="00CE17CB"/>
    <w:rsid w:val="00CE18C1"/>
    <w:rsid w:val="00CE1986"/>
    <w:rsid w:val="00CE2BAE"/>
    <w:rsid w:val="00CE2F5D"/>
    <w:rsid w:val="00CE312F"/>
    <w:rsid w:val="00CE315F"/>
    <w:rsid w:val="00CE3659"/>
    <w:rsid w:val="00CE3760"/>
    <w:rsid w:val="00CE397B"/>
    <w:rsid w:val="00CE3A09"/>
    <w:rsid w:val="00CE4379"/>
    <w:rsid w:val="00CE4456"/>
    <w:rsid w:val="00CE45BB"/>
    <w:rsid w:val="00CE48DE"/>
    <w:rsid w:val="00CE5006"/>
    <w:rsid w:val="00CE5048"/>
    <w:rsid w:val="00CE54DC"/>
    <w:rsid w:val="00CE5749"/>
    <w:rsid w:val="00CE5B78"/>
    <w:rsid w:val="00CE5DD1"/>
    <w:rsid w:val="00CE6094"/>
    <w:rsid w:val="00CE60CE"/>
    <w:rsid w:val="00CE676B"/>
    <w:rsid w:val="00CE6B17"/>
    <w:rsid w:val="00CE6BB9"/>
    <w:rsid w:val="00CE6CEB"/>
    <w:rsid w:val="00CE7184"/>
    <w:rsid w:val="00CE7822"/>
    <w:rsid w:val="00CE7C19"/>
    <w:rsid w:val="00CE7EB0"/>
    <w:rsid w:val="00CE7F4B"/>
    <w:rsid w:val="00CF0127"/>
    <w:rsid w:val="00CF02C7"/>
    <w:rsid w:val="00CF040A"/>
    <w:rsid w:val="00CF0972"/>
    <w:rsid w:val="00CF0AB8"/>
    <w:rsid w:val="00CF0B5D"/>
    <w:rsid w:val="00CF1143"/>
    <w:rsid w:val="00CF117E"/>
    <w:rsid w:val="00CF1383"/>
    <w:rsid w:val="00CF1919"/>
    <w:rsid w:val="00CF193D"/>
    <w:rsid w:val="00CF1E31"/>
    <w:rsid w:val="00CF22E9"/>
    <w:rsid w:val="00CF243D"/>
    <w:rsid w:val="00CF2810"/>
    <w:rsid w:val="00CF297C"/>
    <w:rsid w:val="00CF2E7A"/>
    <w:rsid w:val="00CF330E"/>
    <w:rsid w:val="00CF3C8F"/>
    <w:rsid w:val="00CF3CEA"/>
    <w:rsid w:val="00CF3E25"/>
    <w:rsid w:val="00CF3F39"/>
    <w:rsid w:val="00CF462D"/>
    <w:rsid w:val="00CF47DA"/>
    <w:rsid w:val="00CF4EBB"/>
    <w:rsid w:val="00CF5145"/>
    <w:rsid w:val="00CF540C"/>
    <w:rsid w:val="00CF5486"/>
    <w:rsid w:val="00CF587B"/>
    <w:rsid w:val="00CF5881"/>
    <w:rsid w:val="00CF5914"/>
    <w:rsid w:val="00CF592E"/>
    <w:rsid w:val="00CF5934"/>
    <w:rsid w:val="00CF5FAB"/>
    <w:rsid w:val="00CF6249"/>
    <w:rsid w:val="00CF6534"/>
    <w:rsid w:val="00CF689F"/>
    <w:rsid w:val="00CF6962"/>
    <w:rsid w:val="00CF69EE"/>
    <w:rsid w:val="00CF6AC3"/>
    <w:rsid w:val="00CF6CB0"/>
    <w:rsid w:val="00CF7105"/>
    <w:rsid w:val="00CF72F6"/>
    <w:rsid w:val="00CF76E4"/>
    <w:rsid w:val="00CF789D"/>
    <w:rsid w:val="00CF7B89"/>
    <w:rsid w:val="00D007D9"/>
    <w:rsid w:val="00D007DD"/>
    <w:rsid w:val="00D0084C"/>
    <w:rsid w:val="00D00872"/>
    <w:rsid w:val="00D00AC7"/>
    <w:rsid w:val="00D00E7F"/>
    <w:rsid w:val="00D00F61"/>
    <w:rsid w:val="00D01018"/>
    <w:rsid w:val="00D01076"/>
    <w:rsid w:val="00D01225"/>
    <w:rsid w:val="00D01641"/>
    <w:rsid w:val="00D01AEF"/>
    <w:rsid w:val="00D025BB"/>
    <w:rsid w:val="00D029FA"/>
    <w:rsid w:val="00D02B0F"/>
    <w:rsid w:val="00D02EA9"/>
    <w:rsid w:val="00D03230"/>
    <w:rsid w:val="00D033FC"/>
    <w:rsid w:val="00D03B92"/>
    <w:rsid w:val="00D0451C"/>
    <w:rsid w:val="00D046FB"/>
    <w:rsid w:val="00D0471B"/>
    <w:rsid w:val="00D04BD4"/>
    <w:rsid w:val="00D04F06"/>
    <w:rsid w:val="00D05615"/>
    <w:rsid w:val="00D05670"/>
    <w:rsid w:val="00D05747"/>
    <w:rsid w:val="00D05748"/>
    <w:rsid w:val="00D05A06"/>
    <w:rsid w:val="00D05A18"/>
    <w:rsid w:val="00D05AE2"/>
    <w:rsid w:val="00D05B49"/>
    <w:rsid w:val="00D05DF8"/>
    <w:rsid w:val="00D0609C"/>
    <w:rsid w:val="00D06260"/>
    <w:rsid w:val="00D06A1F"/>
    <w:rsid w:val="00D06D37"/>
    <w:rsid w:val="00D07117"/>
    <w:rsid w:val="00D07378"/>
    <w:rsid w:val="00D07A91"/>
    <w:rsid w:val="00D07D79"/>
    <w:rsid w:val="00D1026B"/>
    <w:rsid w:val="00D109C6"/>
    <w:rsid w:val="00D10A5E"/>
    <w:rsid w:val="00D10C71"/>
    <w:rsid w:val="00D10CCC"/>
    <w:rsid w:val="00D10FE2"/>
    <w:rsid w:val="00D110D7"/>
    <w:rsid w:val="00D114EB"/>
    <w:rsid w:val="00D1179E"/>
    <w:rsid w:val="00D11869"/>
    <w:rsid w:val="00D11B46"/>
    <w:rsid w:val="00D11BB1"/>
    <w:rsid w:val="00D11C61"/>
    <w:rsid w:val="00D11D0E"/>
    <w:rsid w:val="00D11ED9"/>
    <w:rsid w:val="00D1247C"/>
    <w:rsid w:val="00D129A2"/>
    <w:rsid w:val="00D12F7D"/>
    <w:rsid w:val="00D12FEA"/>
    <w:rsid w:val="00D13A60"/>
    <w:rsid w:val="00D13D0B"/>
    <w:rsid w:val="00D1421F"/>
    <w:rsid w:val="00D143D8"/>
    <w:rsid w:val="00D146BA"/>
    <w:rsid w:val="00D148B9"/>
    <w:rsid w:val="00D14B76"/>
    <w:rsid w:val="00D14E8A"/>
    <w:rsid w:val="00D151A7"/>
    <w:rsid w:val="00D15434"/>
    <w:rsid w:val="00D15459"/>
    <w:rsid w:val="00D15710"/>
    <w:rsid w:val="00D15DD0"/>
    <w:rsid w:val="00D15E66"/>
    <w:rsid w:val="00D16098"/>
    <w:rsid w:val="00D163C1"/>
    <w:rsid w:val="00D16C48"/>
    <w:rsid w:val="00D16D10"/>
    <w:rsid w:val="00D1710D"/>
    <w:rsid w:val="00D17209"/>
    <w:rsid w:val="00D173DB"/>
    <w:rsid w:val="00D175C9"/>
    <w:rsid w:val="00D17A8B"/>
    <w:rsid w:val="00D17CBF"/>
    <w:rsid w:val="00D17D09"/>
    <w:rsid w:val="00D204E5"/>
    <w:rsid w:val="00D2075E"/>
    <w:rsid w:val="00D207FB"/>
    <w:rsid w:val="00D20C14"/>
    <w:rsid w:val="00D20CFC"/>
    <w:rsid w:val="00D20E45"/>
    <w:rsid w:val="00D21006"/>
    <w:rsid w:val="00D218DB"/>
    <w:rsid w:val="00D21E18"/>
    <w:rsid w:val="00D2208B"/>
    <w:rsid w:val="00D22093"/>
    <w:rsid w:val="00D22309"/>
    <w:rsid w:val="00D22912"/>
    <w:rsid w:val="00D22954"/>
    <w:rsid w:val="00D22964"/>
    <w:rsid w:val="00D22A1B"/>
    <w:rsid w:val="00D2316C"/>
    <w:rsid w:val="00D23360"/>
    <w:rsid w:val="00D2369E"/>
    <w:rsid w:val="00D2398D"/>
    <w:rsid w:val="00D23AFF"/>
    <w:rsid w:val="00D23CC3"/>
    <w:rsid w:val="00D241EE"/>
    <w:rsid w:val="00D24424"/>
    <w:rsid w:val="00D248FD"/>
    <w:rsid w:val="00D24983"/>
    <w:rsid w:val="00D25513"/>
    <w:rsid w:val="00D25517"/>
    <w:rsid w:val="00D2587C"/>
    <w:rsid w:val="00D259DE"/>
    <w:rsid w:val="00D25A1A"/>
    <w:rsid w:val="00D262C0"/>
    <w:rsid w:val="00D26552"/>
    <w:rsid w:val="00D26672"/>
    <w:rsid w:val="00D26B27"/>
    <w:rsid w:val="00D27244"/>
    <w:rsid w:val="00D276BD"/>
    <w:rsid w:val="00D27986"/>
    <w:rsid w:val="00D27DB1"/>
    <w:rsid w:val="00D3059E"/>
    <w:rsid w:val="00D30FB4"/>
    <w:rsid w:val="00D31435"/>
    <w:rsid w:val="00D3155A"/>
    <w:rsid w:val="00D31952"/>
    <w:rsid w:val="00D31CDE"/>
    <w:rsid w:val="00D31F89"/>
    <w:rsid w:val="00D322AB"/>
    <w:rsid w:val="00D32547"/>
    <w:rsid w:val="00D32CE7"/>
    <w:rsid w:val="00D32FE4"/>
    <w:rsid w:val="00D335F0"/>
    <w:rsid w:val="00D336A0"/>
    <w:rsid w:val="00D3391A"/>
    <w:rsid w:val="00D33F23"/>
    <w:rsid w:val="00D347AC"/>
    <w:rsid w:val="00D34DA8"/>
    <w:rsid w:val="00D3509B"/>
    <w:rsid w:val="00D35805"/>
    <w:rsid w:val="00D3589B"/>
    <w:rsid w:val="00D35C4A"/>
    <w:rsid w:val="00D35DBF"/>
    <w:rsid w:val="00D35EA8"/>
    <w:rsid w:val="00D35EB9"/>
    <w:rsid w:val="00D3632B"/>
    <w:rsid w:val="00D36567"/>
    <w:rsid w:val="00D365B1"/>
    <w:rsid w:val="00D366C1"/>
    <w:rsid w:val="00D36A76"/>
    <w:rsid w:val="00D36AD1"/>
    <w:rsid w:val="00D36B22"/>
    <w:rsid w:val="00D36DD7"/>
    <w:rsid w:val="00D37093"/>
    <w:rsid w:val="00D37132"/>
    <w:rsid w:val="00D3795D"/>
    <w:rsid w:val="00D4090E"/>
    <w:rsid w:val="00D40959"/>
    <w:rsid w:val="00D40A49"/>
    <w:rsid w:val="00D40A9F"/>
    <w:rsid w:val="00D40BA7"/>
    <w:rsid w:val="00D41670"/>
    <w:rsid w:val="00D418A9"/>
    <w:rsid w:val="00D41D81"/>
    <w:rsid w:val="00D42053"/>
    <w:rsid w:val="00D421BC"/>
    <w:rsid w:val="00D42469"/>
    <w:rsid w:val="00D424B6"/>
    <w:rsid w:val="00D428D2"/>
    <w:rsid w:val="00D43427"/>
    <w:rsid w:val="00D43439"/>
    <w:rsid w:val="00D4379D"/>
    <w:rsid w:val="00D438E0"/>
    <w:rsid w:val="00D43E38"/>
    <w:rsid w:val="00D43F93"/>
    <w:rsid w:val="00D44278"/>
    <w:rsid w:val="00D44821"/>
    <w:rsid w:val="00D44861"/>
    <w:rsid w:val="00D44A91"/>
    <w:rsid w:val="00D44DBE"/>
    <w:rsid w:val="00D450CC"/>
    <w:rsid w:val="00D452E8"/>
    <w:rsid w:val="00D4570C"/>
    <w:rsid w:val="00D45AD9"/>
    <w:rsid w:val="00D45BAC"/>
    <w:rsid w:val="00D45BE0"/>
    <w:rsid w:val="00D45E11"/>
    <w:rsid w:val="00D46676"/>
    <w:rsid w:val="00D46796"/>
    <w:rsid w:val="00D46971"/>
    <w:rsid w:val="00D46A0F"/>
    <w:rsid w:val="00D46A84"/>
    <w:rsid w:val="00D470F3"/>
    <w:rsid w:val="00D47734"/>
    <w:rsid w:val="00D47742"/>
    <w:rsid w:val="00D47AE6"/>
    <w:rsid w:val="00D47B4F"/>
    <w:rsid w:val="00D47FBE"/>
    <w:rsid w:val="00D5002C"/>
    <w:rsid w:val="00D506BE"/>
    <w:rsid w:val="00D5075B"/>
    <w:rsid w:val="00D50D2E"/>
    <w:rsid w:val="00D5123C"/>
    <w:rsid w:val="00D51245"/>
    <w:rsid w:val="00D512D9"/>
    <w:rsid w:val="00D51421"/>
    <w:rsid w:val="00D51958"/>
    <w:rsid w:val="00D519A6"/>
    <w:rsid w:val="00D51BDC"/>
    <w:rsid w:val="00D52029"/>
    <w:rsid w:val="00D52A92"/>
    <w:rsid w:val="00D52CDF"/>
    <w:rsid w:val="00D52D92"/>
    <w:rsid w:val="00D5324B"/>
    <w:rsid w:val="00D53433"/>
    <w:rsid w:val="00D535D4"/>
    <w:rsid w:val="00D5381E"/>
    <w:rsid w:val="00D53C37"/>
    <w:rsid w:val="00D53C7C"/>
    <w:rsid w:val="00D53D57"/>
    <w:rsid w:val="00D54147"/>
    <w:rsid w:val="00D5430E"/>
    <w:rsid w:val="00D54374"/>
    <w:rsid w:val="00D54463"/>
    <w:rsid w:val="00D549FF"/>
    <w:rsid w:val="00D54C83"/>
    <w:rsid w:val="00D5546C"/>
    <w:rsid w:val="00D55523"/>
    <w:rsid w:val="00D5554A"/>
    <w:rsid w:val="00D556DF"/>
    <w:rsid w:val="00D5570B"/>
    <w:rsid w:val="00D55B51"/>
    <w:rsid w:val="00D55D40"/>
    <w:rsid w:val="00D5600E"/>
    <w:rsid w:val="00D56196"/>
    <w:rsid w:val="00D562DD"/>
    <w:rsid w:val="00D5646B"/>
    <w:rsid w:val="00D5675A"/>
    <w:rsid w:val="00D568E3"/>
    <w:rsid w:val="00D56DE0"/>
    <w:rsid w:val="00D570FA"/>
    <w:rsid w:val="00D572F0"/>
    <w:rsid w:val="00D5759A"/>
    <w:rsid w:val="00D576C0"/>
    <w:rsid w:val="00D57C62"/>
    <w:rsid w:val="00D57CCC"/>
    <w:rsid w:val="00D57CD1"/>
    <w:rsid w:val="00D57DB5"/>
    <w:rsid w:val="00D57FCD"/>
    <w:rsid w:val="00D600BD"/>
    <w:rsid w:val="00D60206"/>
    <w:rsid w:val="00D6025A"/>
    <w:rsid w:val="00D602E7"/>
    <w:rsid w:val="00D60719"/>
    <w:rsid w:val="00D6088A"/>
    <w:rsid w:val="00D60891"/>
    <w:rsid w:val="00D609FB"/>
    <w:rsid w:val="00D60F71"/>
    <w:rsid w:val="00D61064"/>
    <w:rsid w:val="00D61187"/>
    <w:rsid w:val="00D61B73"/>
    <w:rsid w:val="00D61E84"/>
    <w:rsid w:val="00D62065"/>
    <w:rsid w:val="00D622C0"/>
    <w:rsid w:val="00D623EE"/>
    <w:rsid w:val="00D62670"/>
    <w:rsid w:val="00D62988"/>
    <w:rsid w:val="00D62C59"/>
    <w:rsid w:val="00D62C6E"/>
    <w:rsid w:val="00D62EC8"/>
    <w:rsid w:val="00D63131"/>
    <w:rsid w:val="00D63273"/>
    <w:rsid w:val="00D637FE"/>
    <w:rsid w:val="00D63CB5"/>
    <w:rsid w:val="00D63EC4"/>
    <w:rsid w:val="00D64139"/>
    <w:rsid w:val="00D641A6"/>
    <w:rsid w:val="00D6438E"/>
    <w:rsid w:val="00D644AB"/>
    <w:rsid w:val="00D644C3"/>
    <w:rsid w:val="00D64704"/>
    <w:rsid w:val="00D648B6"/>
    <w:rsid w:val="00D64956"/>
    <w:rsid w:val="00D6514E"/>
    <w:rsid w:val="00D65692"/>
    <w:rsid w:val="00D6593A"/>
    <w:rsid w:val="00D65B48"/>
    <w:rsid w:val="00D65B73"/>
    <w:rsid w:val="00D65B96"/>
    <w:rsid w:val="00D65C3C"/>
    <w:rsid w:val="00D65DF0"/>
    <w:rsid w:val="00D65EFB"/>
    <w:rsid w:val="00D6659D"/>
    <w:rsid w:val="00D665C6"/>
    <w:rsid w:val="00D66646"/>
    <w:rsid w:val="00D667DC"/>
    <w:rsid w:val="00D67164"/>
    <w:rsid w:val="00D6723A"/>
    <w:rsid w:val="00D67720"/>
    <w:rsid w:val="00D67A5A"/>
    <w:rsid w:val="00D67B3C"/>
    <w:rsid w:val="00D67BDA"/>
    <w:rsid w:val="00D67C3F"/>
    <w:rsid w:val="00D70137"/>
    <w:rsid w:val="00D70227"/>
    <w:rsid w:val="00D7034F"/>
    <w:rsid w:val="00D703A1"/>
    <w:rsid w:val="00D706F2"/>
    <w:rsid w:val="00D70A16"/>
    <w:rsid w:val="00D70A7D"/>
    <w:rsid w:val="00D70BF7"/>
    <w:rsid w:val="00D70D99"/>
    <w:rsid w:val="00D70EAD"/>
    <w:rsid w:val="00D7191F"/>
    <w:rsid w:val="00D71F44"/>
    <w:rsid w:val="00D7266C"/>
    <w:rsid w:val="00D72985"/>
    <w:rsid w:val="00D7340B"/>
    <w:rsid w:val="00D735F7"/>
    <w:rsid w:val="00D7374E"/>
    <w:rsid w:val="00D73824"/>
    <w:rsid w:val="00D73A1E"/>
    <w:rsid w:val="00D73B57"/>
    <w:rsid w:val="00D73C73"/>
    <w:rsid w:val="00D73CD3"/>
    <w:rsid w:val="00D74289"/>
    <w:rsid w:val="00D742AF"/>
    <w:rsid w:val="00D744E6"/>
    <w:rsid w:val="00D74AB4"/>
    <w:rsid w:val="00D74FFA"/>
    <w:rsid w:val="00D75164"/>
    <w:rsid w:val="00D762F2"/>
    <w:rsid w:val="00D76301"/>
    <w:rsid w:val="00D764C5"/>
    <w:rsid w:val="00D76590"/>
    <w:rsid w:val="00D76762"/>
    <w:rsid w:val="00D76CE5"/>
    <w:rsid w:val="00D76CFA"/>
    <w:rsid w:val="00D77078"/>
    <w:rsid w:val="00D77173"/>
    <w:rsid w:val="00D774B9"/>
    <w:rsid w:val="00D7785B"/>
    <w:rsid w:val="00D80477"/>
    <w:rsid w:val="00D80A26"/>
    <w:rsid w:val="00D80C8B"/>
    <w:rsid w:val="00D80F7C"/>
    <w:rsid w:val="00D81118"/>
    <w:rsid w:val="00D81158"/>
    <w:rsid w:val="00D815D7"/>
    <w:rsid w:val="00D81863"/>
    <w:rsid w:val="00D818B5"/>
    <w:rsid w:val="00D818EA"/>
    <w:rsid w:val="00D81EEA"/>
    <w:rsid w:val="00D81F4B"/>
    <w:rsid w:val="00D82126"/>
    <w:rsid w:val="00D82348"/>
    <w:rsid w:val="00D831F2"/>
    <w:rsid w:val="00D8323C"/>
    <w:rsid w:val="00D8349E"/>
    <w:rsid w:val="00D836CE"/>
    <w:rsid w:val="00D838CC"/>
    <w:rsid w:val="00D83A20"/>
    <w:rsid w:val="00D83AF4"/>
    <w:rsid w:val="00D83B7F"/>
    <w:rsid w:val="00D83BFB"/>
    <w:rsid w:val="00D83FD4"/>
    <w:rsid w:val="00D84176"/>
    <w:rsid w:val="00D8417A"/>
    <w:rsid w:val="00D84339"/>
    <w:rsid w:val="00D8465A"/>
    <w:rsid w:val="00D84831"/>
    <w:rsid w:val="00D84883"/>
    <w:rsid w:val="00D8499E"/>
    <w:rsid w:val="00D84EFF"/>
    <w:rsid w:val="00D850D1"/>
    <w:rsid w:val="00D85536"/>
    <w:rsid w:val="00D8582E"/>
    <w:rsid w:val="00D85B6D"/>
    <w:rsid w:val="00D85F8A"/>
    <w:rsid w:val="00D85FDE"/>
    <w:rsid w:val="00D86A00"/>
    <w:rsid w:val="00D86C7D"/>
    <w:rsid w:val="00D86E0A"/>
    <w:rsid w:val="00D8728D"/>
    <w:rsid w:val="00D87483"/>
    <w:rsid w:val="00D875EC"/>
    <w:rsid w:val="00D877FD"/>
    <w:rsid w:val="00D87D8F"/>
    <w:rsid w:val="00D87D99"/>
    <w:rsid w:val="00D87E8D"/>
    <w:rsid w:val="00D90490"/>
    <w:rsid w:val="00D905AF"/>
    <w:rsid w:val="00D90653"/>
    <w:rsid w:val="00D90947"/>
    <w:rsid w:val="00D90A76"/>
    <w:rsid w:val="00D90C20"/>
    <w:rsid w:val="00D90F1F"/>
    <w:rsid w:val="00D90FD7"/>
    <w:rsid w:val="00D9122D"/>
    <w:rsid w:val="00D91AED"/>
    <w:rsid w:val="00D91F2F"/>
    <w:rsid w:val="00D92140"/>
    <w:rsid w:val="00D9245D"/>
    <w:rsid w:val="00D9258C"/>
    <w:rsid w:val="00D925CC"/>
    <w:rsid w:val="00D92725"/>
    <w:rsid w:val="00D928D2"/>
    <w:rsid w:val="00D92D6A"/>
    <w:rsid w:val="00D93926"/>
    <w:rsid w:val="00D93991"/>
    <w:rsid w:val="00D93B1C"/>
    <w:rsid w:val="00D93C2F"/>
    <w:rsid w:val="00D94051"/>
    <w:rsid w:val="00D9420F"/>
    <w:rsid w:val="00D942DB"/>
    <w:rsid w:val="00D9438F"/>
    <w:rsid w:val="00D9444E"/>
    <w:rsid w:val="00D94751"/>
    <w:rsid w:val="00D950FF"/>
    <w:rsid w:val="00D95C3A"/>
    <w:rsid w:val="00D965D6"/>
    <w:rsid w:val="00D96BF9"/>
    <w:rsid w:val="00D96C4B"/>
    <w:rsid w:val="00D96F4C"/>
    <w:rsid w:val="00D972E3"/>
    <w:rsid w:val="00D97B01"/>
    <w:rsid w:val="00D97D42"/>
    <w:rsid w:val="00D97FF6"/>
    <w:rsid w:val="00DA053C"/>
    <w:rsid w:val="00DA0698"/>
    <w:rsid w:val="00DA074A"/>
    <w:rsid w:val="00DA075F"/>
    <w:rsid w:val="00DA07C2"/>
    <w:rsid w:val="00DA0938"/>
    <w:rsid w:val="00DA10CF"/>
    <w:rsid w:val="00DA1166"/>
    <w:rsid w:val="00DA1424"/>
    <w:rsid w:val="00DA1617"/>
    <w:rsid w:val="00DA165D"/>
    <w:rsid w:val="00DA193A"/>
    <w:rsid w:val="00DA1954"/>
    <w:rsid w:val="00DA1E06"/>
    <w:rsid w:val="00DA1E5E"/>
    <w:rsid w:val="00DA1F32"/>
    <w:rsid w:val="00DA2B0D"/>
    <w:rsid w:val="00DA2B8A"/>
    <w:rsid w:val="00DA2C6D"/>
    <w:rsid w:val="00DA2F8D"/>
    <w:rsid w:val="00DA31AB"/>
    <w:rsid w:val="00DA3324"/>
    <w:rsid w:val="00DA3418"/>
    <w:rsid w:val="00DA3470"/>
    <w:rsid w:val="00DA3906"/>
    <w:rsid w:val="00DA3E47"/>
    <w:rsid w:val="00DA4352"/>
    <w:rsid w:val="00DA4581"/>
    <w:rsid w:val="00DA4D1E"/>
    <w:rsid w:val="00DA4EF0"/>
    <w:rsid w:val="00DA5015"/>
    <w:rsid w:val="00DA5224"/>
    <w:rsid w:val="00DA5535"/>
    <w:rsid w:val="00DA566C"/>
    <w:rsid w:val="00DA5953"/>
    <w:rsid w:val="00DA5BC6"/>
    <w:rsid w:val="00DA5C0E"/>
    <w:rsid w:val="00DA5F8C"/>
    <w:rsid w:val="00DA61E4"/>
    <w:rsid w:val="00DA6319"/>
    <w:rsid w:val="00DA6378"/>
    <w:rsid w:val="00DA6531"/>
    <w:rsid w:val="00DA65A6"/>
    <w:rsid w:val="00DA687C"/>
    <w:rsid w:val="00DA6D5A"/>
    <w:rsid w:val="00DA6F17"/>
    <w:rsid w:val="00DA71E5"/>
    <w:rsid w:val="00DA7607"/>
    <w:rsid w:val="00DA7854"/>
    <w:rsid w:val="00DA78F1"/>
    <w:rsid w:val="00DA7C9A"/>
    <w:rsid w:val="00DA7E26"/>
    <w:rsid w:val="00DB009B"/>
    <w:rsid w:val="00DB0155"/>
    <w:rsid w:val="00DB0A1A"/>
    <w:rsid w:val="00DB0A79"/>
    <w:rsid w:val="00DB0AAB"/>
    <w:rsid w:val="00DB0E9A"/>
    <w:rsid w:val="00DB1197"/>
    <w:rsid w:val="00DB1A68"/>
    <w:rsid w:val="00DB1AAD"/>
    <w:rsid w:val="00DB1F2A"/>
    <w:rsid w:val="00DB2061"/>
    <w:rsid w:val="00DB21B5"/>
    <w:rsid w:val="00DB2692"/>
    <w:rsid w:val="00DB2C44"/>
    <w:rsid w:val="00DB2C7B"/>
    <w:rsid w:val="00DB2E91"/>
    <w:rsid w:val="00DB31A3"/>
    <w:rsid w:val="00DB3648"/>
    <w:rsid w:val="00DB39CF"/>
    <w:rsid w:val="00DB4186"/>
    <w:rsid w:val="00DB4932"/>
    <w:rsid w:val="00DB54EE"/>
    <w:rsid w:val="00DB59A7"/>
    <w:rsid w:val="00DB5D11"/>
    <w:rsid w:val="00DB632D"/>
    <w:rsid w:val="00DB6A93"/>
    <w:rsid w:val="00DB716A"/>
    <w:rsid w:val="00DB7488"/>
    <w:rsid w:val="00DB75A6"/>
    <w:rsid w:val="00DC080A"/>
    <w:rsid w:val="00DC0A83"/>
    <w:rsid w:val="00DC0D0E"/>
    <w:rsid w:val="00DC0D1B"/>
    <w:rsid w:val="00DC0D29"/>
    <w:rsid w:val="00DC0DC0"/>
    <w:rsid w:val="00DC11BA"/>
    <w:rsid w:val="00DC17A7"/>
    <w:rsid w:val="00DC1839"/>
    <w:rsid w:val="00DC1F13"/>
    <w:rsid w:val="00DC2007"/>
    <w:rsid w:val="00DC20A3"/>
    <w:rsid w:val="00DC2157"/>
    <w:rsid w:val="00DC2762"/>
    <w:rsid w:val="00DC2B37"/>
    <w:rsid w:val="00DC2E56"/>
    <w:rsid w:val="00DC2E8B"/>
    <w:rsid w:val="00DC3296"/>
    <w:rsid w:val="00DC343E"/>
    <w:rsid w:val="00DC3BE0"/>
    <w:rsid w:val="00DC40AE"/>
    <w:rsid w:val="00DC41A6"/>
    <w:rsid w:val="00DC4415"/>
    <w:rsid w:val="00DC4475"/>
    <w:rsid w:val="00DC4735"/>
    <w:rsid w:val="00DC4908"/>
    <w:rsid w:val="00DC5AB8"/>
    <w:rsid w:val="00DC5B40"/>
    <w:rsid w:val="00DC5D03"/>
    <w:rsid w:val="00DC5F5D"/>
    <w:rsid w:val="00DC69BF"/>
    <w:rsid w:val="00DC6ED2"/>
    <w:rsid w:val="00DC6F74"/>
    <w:rsid w:val="00DC72CA"/>
    <w:rsid w:val="00DC752F"/>
    <w:rsid w:val="00DC7548"/>
    <w:rsid w:val="00DC79BA"/>
    <w:rsid w:val="00DC7AA3"/>
    <w:rsid w:val="00DC7B75"/>
    <w:rsid w:val="00DC7F62"/>
    <w:rsid w:val="00DD016C"/>
    <w:rsid w:val="00DD020C"/>
    <w:rsid w:val="00DD035D"/>
    <w:rsid w:val="00DD0846"/>
    <w:rsid w:val="00DD10A9"/>
    <w:rsid w:val="00DD116A"/>
    <w:rsid w:val="00DD13A0"/>
    <w:rsid w:val="00DD147E"/>
    <w:rsid w:val="00DD1C52"/>
    <w:rsid w:val="00DD2003"/>
    <w:rsid w:val="00DD20B4"/>
    <w:rsid w:val="00DD2418"/>
    <w:rsid w:val="00DD2BEE"/>
    <w:rsid w:val="00DD312F"/>
    <w:rsid w:val="00DD349A"/>
    <w:rsid w:val="00DD3865"/>
    <w:rsid w:val="00DD39A5"/>
    <w:rsid w:val="00DD3A8C"/>
    <w:rsid w:val="00DD3DD8"/>
    <w:rsid w:val="00DD3E0C"/>
    <w:rsid w:val="00DD3F48"/>
    <w:rsid w:val="00DD460A"/>
    <w:rsid w:val="00DD461C"/>
    <w:rsid w:val="00DD464F"/>
    <w:rsid w:val="00DD46BF"/>
    <w:rsid w:val="00DD480B"/>
    <w:rsid w:val="00DD4A92"/>
    <w:rsid w:val="00DD4AC6"/>
    <w:rsid w:val="00DD4BAF"/>
    <w:rsid w:val="00DD4EFF"/>
    <w:rsid w:val="00DD4FF8"/>
    <w:rsid w:val="00DD558F"/>
    <w:rsid w:val="00DD5FA9"/>
    <w:rsid w:val="00DD6081"/>
    <w:rsid w:val="00DD6149"/>
    <w:rsid w:val="00DD61BE"/>
    <w:rsid w:val="00DD61C3"/>
    <w:rsid w:val="00DD6398"/>
    <w:rsid w:val="00DD6AA0"/>
    <w:rsid w:val="00DD6AFE"/>
    <w:rsid w:val="00DD6C0B"/>
    <w:rsid w:val="00DD6F92"/>
    <w:rsid w:val="00DD6FC5"/>
    <w:rsid w:val="00DD718F"/>
    <w:rsid w:val="00DD74B5"/>
    <w:rsid w:val="00DD75E2"/>
    <w:rsid w:val="00DE0150"/>
    <w:rsid w:val="00DE01E9"/>
    <w:rsid w:val="00DE02C8"/>
    <w:rsid w:val="00DE071D"/>
    <w:rsid w:val="00DE0733"/>
    <w:rsid w:val="00DE0BAE"/>
    <w:rsid w:val="00DE0D5C"/>
    <w:rsid w:val="00DE20B6"/>
    <w:rsid w:val="00DE2557"/>
    <w:rsid w:val="00DE2DB2"/>
    <w:rsid w:val="00DE2EE2"/>
    <w:rsid w:val="00DE2F16"/>
    <w:rsid w:val="00DE3156"/>
    <w:rsid w:val="00DE3A33"/>
    <w:rsid w:val="00DE3ADE"/>
    <w:rsid w:val="00DE421C"/>
    <w:rsid w:val="00DE45F5"/>
    <w:rsid w:val="00DE4663"/>
    <w:rsid w:val="00DE51DB"/>
    <w:rsid w:val="00DE5405"/>
    <w:rsid w:val="00DE5A39"/>
    <w:rsid w:val="00DE5B7A"/>
    <w:rsid w:val="00DE64D1"/>
    <w:rsid w:val="00DE652A"/>
    <w:rsid w:val="00DE6B1F"/>
    <w:rsid w:val="00DE6B28"/>
    <w:rsid w:val="00DE6B64"/>
    <w:rsid w:val="00DE6BDA"/>
    <w:rsid w:val="00DE6EEE"/>
    <w:rsid w:val="00DE6FAE"/>
    <w:rsid w:val="00DE716F"/>
    <w:rsid w:val="00DE72A6"/>
    <w:rsid w:val="00DE734B"/>
    <w:rsid w:val="00DE7A2F"/>
    <w:rsid w:val="00DE7E67"/>
    <w:rsid w:val="00DF01F0"/>
    <w:rsid w:val="00DF03B1"/>
    <w:rsid w:val="00DF07E4"/>
    <w:rsid w:val="00DF0C8E"/>
    <w:rsid w:val="00DF0FEF"/>
    <w:rsid w:val="00DF1941"/>
    <w:rsid w:val="00DF1A9E"/>
    <w:rsid w:val="00DF1DB2"/>
    <w:rsid w:val="00DF1EE5"/>
    <w:rsid w:val="00DF20A0"/>
    <w:rsid w:val="00DF21E1"/>
    <w:rsid w:val="00DF230E"/>
    <w:rsid w:val="00DF24EB"/>
    <w:rsid w:val="00DF267A"/>
    <w:rsid w:val="00DF2731"/>
    <w:rsid w:val="00DF2768"/>
    <w:rsid w:val="00DF2965"/>
    <w:rsid w:val="00DF2D14"/>
    <w:rsid w:val="00DF2D46"/>
    <w:rsid w:val="00DF37C7"/>
    <w:rsid w:val="00DF3F7A"/>
    <w:rsid w:val="00DF44BE"/>
    <w:rsid w:val="00DF4579"/>
    <w:rsid w:val="00DF4751"/>
    <w:rsid w:val="00DF498E"/>
    <w:rsid w:val="00DF5078"/>
    <w:rsid w:val="00DF53CB"/>
    <w:rsid w:val="00DF5690"/>
    <w:rsid w:val="00DF5B60"/>
    <w:rsid w:val="00DF5C49"/>
    <w:rsid w:val="00DF5E40"/>
    <w:rsid w:val="00DF6146"/>
    <w:rsid w:val="00DF6468"/>
    <w:rsid w:val="00DF6763"/>
    <w:rsid w:val="00DF67DA"/>
    <w:rsid w:val="00DF6901"/>
    <w:rsid w:val="00DF6B6C"/>
    <w:rsid w:val="00DF6DB3"/>
    <w:rsid w:val="00DF71A2"/>
    <w:rsid w:val="00DF746E"/>
    <w:rsid w:val="00DF7589"/>
    <w:rsid w:val="00DF76EA"/>
    <w:rsid w:val="00DF7E6C"/>
    <w:rsid w:val="00E000AB"/>
    <w:rsid w:val="00E002B5"/>
    <w:rsid w:val="00E0046F"/>
    <w:rsid w:val="00E00514"/>
    <w:rsid w:val="00E00A78"/>
    <w:rsid w:val="00E00AD1"/>
    <w:rsid w:val="00E00D0C"/>
    <w:rsid w:val="00E00E69"/>
    <w:rsid w:val="00E01397"/>
    <w:rsid w:val="00E017D7"/>
    <w:rsid w:val="00E01CE0"/>
    <w:rsid w:val="00E0213C"/>
    <w:rsid w:val="00E0234F"/>
    <w:rsid w:val="00E023A7"/>
    <w:rsid w:val="00E025AE"/>
    <w:rsid w:val="00E02B90"/>
    <w:rsid w:val="00E02BE4"/>
    <w:rsid w:val="00E03132"/>
    <w:rsid w:val="00E0317A"/>
    <w:rsid w:val="00E033C8"/>
    <w:rsid w:val="00E03611"/>
    <w:rsid w:val="00E0393A"/>
    <w:rsid w:val="00E03A52"/>
    <w:rsid w:val="00E03D44"/>
    <w:rsid w:val="00E03EF6"/>
    <w:rsid w:val="00E047C3"/>
    <w:rsid w:val="00E04F9A"/>
    <w:rsid w:val="00E0504A"/>
    <w:rsid w:val="00E0507E"/>
    <w:rsid w:val="00E055A5"/>
    <w:rsid w:val="00E05613"/>
    <w:rsid w:val="00E05B75"/>
    <w:rsid w:val="00E05E9E"/>
    <w:rsid w:val="00E05EED"/>
    <w:rsid w:val="00E060B1"/>
    <w:rsid w:val="00E065AC"/>
    <w:rsid w:val="00E0683B"/>
    <w:rsid w:val="00E06ADA"/>
    <w:rsid w:val="00E0732F"/>
    <w:rsid w:val="00E07778"/>
    <w:rsid w:val="00E07784"/>
    <w:rsid w:val="00E07C35"/>
    <w:rsid w:val="00E07CD1"/>
    <w:rsid w:val="00E101E3"/>
    <w:rsid w:val="00E1026B"/>
    <w:rsid w:val="00E10886"/>
    <w:rsid w:val="00E10A0D"/>
    <w:rsid w:val="00E10CD3"/>
    <w:rsid w:val="00E10D93"/>
    <w:rsid w:val="00E10D9D"/>
    <w:rsid w:val="00E10DF0"/>
    <w:rsid w:val="00E10EBB"/>
    <w:rsid w:val="00E10FB8"/>
    <w:rsid w:val="00E110EF"/>
    <w:rsid w:val="00E11689"/>
    <w:rsid w:val="00E117E7"/>
    <w:rsid w:val="00E118BE"/>
    <w:rsid w:val="00E11A16"/>
    <w:rsid w:val="00E11A2A"/>
    <w:rsid w:val="00E11A99"/>
    <w:rsid w:val="00E11FE9"/>
    <w:rsid w:val="00E12028"/>
    <w:rsid w:val="00E12089"/>
    <w:rsid w:val="00E12324"/>
    <w:rsid w:val="00E1256A"/>
    <w:rsid w:val="00E1298E"/>
    <w:rsid w:val="00E12AA7"/>
    <w:rsid w:val="00E1341E"/>
    <w:rsid w:val="00E13463"/>
    <w:rsid w:val="00E1370D"/>
    <w:rsid w:val="00E13953"/>
    <w:rsid w:val="00E13CFC"/>
    <w:rsid w:val="00E13EC1"/>
    <w:rsid w:val="00E13EF4"/>
    <w:rsid w:val="00E1454D"/>
    <w:rsid w:val="00E146C4"/>
    <w:rsid w:val="00E14BB0"/>
    <w:rsid w:val="00E14C41"/>
    <w:rsid w:val="00E14D8D"/>
    <w:rsid w:val="00E154A5"/>
    <w:rsid w:val="00E154BA"/>
    <w:rsid w:val="00E15505"/>
    <w:rsid w:val="00E1553A"/>
    <w:rsid w:val="00E15545"/>
    <w:rsid w:val="00E1562B"/>
    <w:rsid w:val="00E156ED"/>
    <w:rsid w:val="00E15772"/>
    <w:rsid w:val="00E1592E"/>
    <w:rsid w:val="00E15D54"/>
    <w:rsid w:val="00E1638C"/>
    <w:rsid w:val="00E16867"/>
    <w:rsid w:val="00E168DE"/>
    <w:rsid w:val="00E16B03"/>
    <w:rsid w:val="00E16B63"/>
    <w:rsid w:val="00E16C19"/>
    <w:rsid w:val="00E16C2E"/>
    <w:rsid w:val="00E1739B"/>
    <w:rsid w:val="00E17C21"/>
    <w:rsid w:val="00E20519"/>
    <w:rsid w:val="00E2069B"/>
    <w:rsid w:val="00E207B5"/>
    <w:rsid w:val="00E20C6D"/>
    <w:rsid w:val="00E217D6"/>
    <w:rsid w:val="00E21A57"/>
    <w:rsid w:val="00E21FD5"/>
    <w:rsid w:val="00E22105"/>
    <w:rsid w:val="00E22286"/>
    <w:rsid w:val="00E2275A"/>
    <w:rsid w:val="00E22986"/>
    <w:rsid w:val="00E22A1F"/>
    <w:rsid w:val="00E22D17"/>
    <w:rsid w:val="00E23399"/>
    <w:rsid w:val="00E233FE"/>
    <w:rsid w:val="00E238F1"/>
    <w:rsid w:val="00E24510"/>
    <w:rsid w:val="00E2493F"/>
    <w:rsid w:val="00E249CC"/>
    <w:rsid w:val="00E2572B"/>
    <w:rsid w:val="00E25858"/>
    <w:rsid w:val="00E26356"/>
    <w:rsid w:val="00E26D67"/>
    <w:rsid w:val="00E27102"/>
    <w:rsid w:val="00E2713C"/>
    <w:rsid w:val="00E2731D"/>
    <w:rsid w:val="00E27553"/>
    <w:rsid w:val="00E276F7"/>
    <w:rsid w:val="00E27869"/>
    <w:rsid w:val="00E279D0"/>
    <w:rsid w:val="00E27BFE"/>
    <w:rsid w:val="00E27D1C"/>
    <w:rsid w:val="00E3046F"/>
    <w:rsid w:val="00E305BC"/>
    <w:rsid w:val="00E306E8"/>
    <w:rsid w:val="00E308DA"/>
    <w:rsid w:val="00E30B58"/>
    <w:rsid w:val="00E31210"/>
    <w:rsid w:val="00E31ABF"/>
    <w:rsid w:val="00E31B21"/>
    <w:rsid w:val="00E31FF8"/>
    <w:rsid w:val="00E32D0F"/>
    <w:rsid w:val="00E32DCC"/>
    <w:rsid w:val="00E33025"/>
    <w:rsid w:val="00E330A8"/>
    <w:rsid w:val="00E3329F"/>
    <w:rsid w:val="00E334B9"/>
    <w:rsid w:val="00E33616"/>
    <w:rsid w:val="00E337BE"/>
    <w:rsid w:val="00E3396C"/>
    <w:rsid w:val="00E339B6"/>
    <w:rsid w:val="00E347D5"/>
    <w:rsid w:val="00E352AF"/>
    <w:rsid w:val="00E356A3"/>
    <w:rsid w:val="00E35BEB"/>
    <w:rsid w:val="00E35E36"/>
    <w:rsid w:val="00E35ED5"/>
    <w:rsid w:val="00E36117"/>
    <w:rsid w:val="00E36235"/>
    <w:rsid w:val="00E36532"/>
    <w:rsid w:val="00E3666F"/>
    <w:rsid w:val="00E366DE"/>
    <w:rsid w:val="00E367CF"/>
    <w:rsid w:val="00E369C7"/>
    <w:rsid w:val="00E370AA"/>
    <w:rsid w:val="00E4010E"/>
    <w:rsid w:val="00E401FA"/>
    <w:rsid w:val="00E40200"/>
    <w:rsid w:val="00E40242"/>
    <w:rsid w:val="00E40399"/>
    <w:rsid w:val="00E4059F"/>
    <w:rsid w:val="00E408F2"/>
    <w:rsid w:val="00E4095D"/>
    <w:rsid w:val="00E40F9C"/>
    <w:rsid w:val="00E41D87"/>
    <w:rsid w:val="00E42250"/>
    <w:rsid w:val="00E427BB"/>
    <w:rsid w:val="00E42897"/>
    <w:rsid w:val="00E42E89"/>
    <w:rsid w:val="00E431EB"/>
    <w:rsid w:val="00E43644"/>
    <w:rsid w:val="00E43753"/>
    <w:rsid w:val="00E43837"/>
    <w:rsid w:val="00E43AB2"/>
    <w:rsid w:val="00E43B9A"/>
    <w:rsid w:val="00E43D1A"/>
    <w:rsid w:val="00E440E7"/>
    <w:rsid w:val="00E444E7"/>
    <w:rsid w:val="00E445B7"/>
    <w:rsid w:val="00E44877"/>
    <w:rsid w:val="00E44989"/>
    <w:rsid w:val="00E44AF6"/>
    <w:rsid w:val="00E452A6"/>
    <w:rsid w:val="00E45E49"/>
    <w:rsid w:val="00E461EF"/>
    <w:rsid w:val="00E462C9"/>
    <w:rsid w:val="00E46592"/>
    <w:rsid w:val="00E46A02"/>
    <w:rsid w:val="00E46C41"/>
    <w:rsid w:val="00E46FEF"/>
    <w:rsid w:val="00E5013E"/>
    <w:rsid w:val="00E50250"/>
    <w:rsid w:val="00E5038B"/>
    <w:rsid w:val="00E50A36"/>
    <w:rsid w:val="00E50E3D"/>
    <w:rsid w:val="00E51CA4"/>
    <w:rsid w:val="00E51D6C"/>
    <w:rsid w:val="00E51DBC"/>
    <w:rsid w:val="00E51E0F"/>
    <w:rsid w:val="00E523EB"/>
    <w:rsid w:val="00E5254B"/>
    <w:rsid w:val="00E52627"/>
    <w:rsid w:val="00E52715"/>
    <w:rsid w:val="00E52904"/>
    <w:rsid w:val="00E53106"/>
    <w:rsid w:val="00E53344"/>
    <w:rsid w:val="00E535C5"/>
    <w:rsid w:val="00E53728"/>
    <w:rsid w:val="00E539B4"/>
    <w:rsid w:val="00E53CEA"/>
    <w:rsid w:val="00E53DB2"/>
    <w:rsid w:val="00E53E04"/>
    <w:rsid w:val="00E53F61"/>
    <w:rsid w:val="00E54009"/>
    <w:rsid w:val="00E54564"/>
    <w:rsid w:val="00E54972"/>
    <w:rsid w:val="00E54A42"/>
    <w:rsid w:val="00E54C8E"/>
    <w:rsid w:val="00E54DA0"/>
    <w:rsid w:val="00E54DC4"/>
    <w:rsid w:val="00E55C20"/>
    <w:rsid w:val="00E55CF2"/>
    <w:rsid w:val="00E55D53"/>
    <w:rsid w:val="00E55EDA"/>
    <w:rsid w:val="00E5662C"/>
    <w:rsid w:val="00E56BE6"/>
    <w:rsid w:val="00E56DB6"/>
    <w:rsid w:val="00E56FCF"/>
    <w:rsid w:val="00E57505"/>
    <w:rsid w:val="00E5750C"/>
    <w:rsid w:val="00E57677"/>
    <w:rsid w:val="00E579BB"/>
    <w:rsid w:val="00E57F6C"/>
    <w:rsid w:val="00E605B1"/>
    <w:rsid w:val="00E609EF"/>
    <w:rsid w:val="00E60E91"/>
    <w:rsid w:val="00E60FAF"/>
    <w:rsid w:val="00E60FBC"/>
    <w:rsid w:val="00E6182A"/>
    <w:rsid w:val="00E618AD"/>
    <w:rsid w:val="00E61A67"/>
    <w:rsid w:val="00E61C6A"/>
    <w:rsid w:val="00E61EDE"/>
    <w:rsid w:val="00E622C1"/>
    <w:rsid w:val="00E623B9"/>
    <w:rsid w:val="00E62491"/>
    <w:rsid w:val="00E62BE1"/>
    <w:rsid w:val="00E62EE0"/>
    <w:rsid w:val="00E636D4"/>
    <w:rsid w:val="00E648DC"/>
    <w:rsid w:val="00E6496B"/>
    <w:rsid w:val="00E649CD"/>
    <w:rsid w:val="00E64C13"/>
    <w:rsid w:val="00E64DE5"/>
    <w:rsid w:val="00E656DC"/>
    <w:rsid w:val="00E65747"/>
    <w:rsid w:val="00E6593A"/>
    <w:rsid w:val="00E659D9"/>
    <w:rsid w:val="00E65B60"/>
    <w:rsid w:val="00E65CBC"/>
    <w:rsid w:val="00E65FB0"/>
    <w:rsid w:val="00E65FB8"/>
    <w:rsid w:val="00E664E1"/>
    <w:rsid w:val="00E66A5A"/>
    <w:rsid w:val="00E66AA4"/>
    <w:rsid w:val="00E66AF8"/>
    <w:rsid w:val="00E66FFA"/>
    <w:rsid w:val="00E6728B"/>
    <w:rsid w:val="00E6749E"/>
    <w:rsid w:val="00E67871"/>
    <w:rsid w:val="00E67C39"/>
    <w:rsid w:val="00E70168"/>
    <w:rsid w:val="00E70559"/>
    <w:rsid w:val="00E712D3"/>
    <w:rsid w:val="00E71564"/>
    <w:rsid w:val="00E716D1"/>
    <w:rsid w:val="00E717D5"/>
    <w:rsid w:val="00E71C45"/>
    <w:rsid w:val="00E71E97"/>
    <w:rsid w:val="00E71F1E"/>
    <w:rsid w:val="00E72093"/>
    <w:rsid w:val="00E721B8"/>
    <w:rsid w:val="00E72328"/>
    <w:rsid w:val="00E7252E"/>
    <w:rsid w:val="00E72578"/>
    <w:rsid w:val="00E726E3"/>
    <w:rsid w:val="00E72871"/>
    <w:rsid w:val="00E7308E"/>
    <w:rsid w:val="00E73A1C"/>
    <w:rsid w:val="00E73C86"/>
    <w:rsid w:val="00E73EE0"/>
    <w:rsid w:val="00E74859"/>
    <w:rsid w:val="00E74BC1"/>
    <w:rsid w:val="00E74E63"/>
    <w:rsid w:val="00E754AC"/>
    <w:rsid w:val="00E754DF"/>
    <w:rsid w:val="00E756BE"/>
    <w:rsid w:val="00E7574E"/>
    <w:rsid w:val="00E75E2B"/>
    <w:rsid w:val="00E76349"/>
    <w:rsid w:val="00E76360"/>
    <w:rsid w:val="00E763D8"/>
    <w:rsid w:val="00E76753"/>
    <w:rsid w:val="00E76A3C"/>
    <w:rsid w:val="00E76A7A"/>
    <w:rsid w:val="00E7711C"/>
    <w:rsid w:val="00E77221"/>
    <w:rsid w:val="00E772D3"/>
    <w:rsid w:val="00E77496"/>
    <w:rsid w:val="00E77B35"/>
    <w:rsid w:val="00E77B99"/>
    <w:rsid w:val="00E77F78"/>
    <w:rsid w:val="00E77F7A"/>
    <w:rsid w:val="00E8036F"/>
    <w:rsid w:val="00E809DB"/>
    <w:rsid w:val="00E80CAC"/>
    <w:rsid w:val="00E80E92"/>
    <w:rsid w:val="00E819E1"/>
    <w:rsid w:val="00E81CC6"/>
    <w:rsid w:val="00E81CE8"/>
    <w:rsid w:val="00E81E86"/>
    <w:rsid w:val="00E8286B"/>
    <w:rsid w:val="00E829E7"/>
    <w:rsid w:val="00E82CE7"/>
    <w:rsid w:val="00E8304E"/>
    <w:rsid w:val="00E830B3"/>
    <w:rsid w:val="00E83312"/>
    <w:rsid w:val="00E833FB"/>
    <w:rsid w:val="00E834CF"/>
    <w:rsid w:val="00E8395F"/>
    <w:rsid w:val="00E83B71"/>
    <w:rsid w:val="00E83DCD"/>
    <w:rsid w:val="00E83E25"/>
    <w:rsid w:val="00E84BB0"/>
    <w:rsid w:val="00E84D67"/>
    <w:rsid w:val="00E84E91"/>
    <w:rsid w:val="00E850EC"/>
    <w:rsid w:val="00E85396"/>
    <w:rsid w:val="00E861FF"/>
    <w:rsid w:val="00E86429"/>
    <w:rsid w:val="00E86682"/>
    <w:rsid w:val="00E866A7"/>
    <w:rsid w:val="00E866C1"/>
    <w:rsid w:val="00E8677B"/>
    <w:rsid w:val="00E86E82"/>
    <w:rsid w:val="00E86FB1"/>
    <w:rsid w:val="00E872BD"/>
    <w:rsid w:val="00E8775A"/>
    <w:rsid w:val="00E87771"/>
    <w:rsid w:val="00E87844"/>
    <w:rsid w:val="00E87AAA"/>
    <w:rsid w:val="00E87B26"/>
    <w:rsid w:val="00E87E37"/>
    <w:rsid w:val="00E9058A"/>
    <w:rsid w:val="00E906EF"/>
    <w:rsid w:val="00E90709"/>
    <w:rsid w:val="00E907D5"/>
    <w:rsid w:val="00E90A60"/>
    <w:rsid w:val="00E919EC"/>
    <w:rsid w:val="00E92362"/>
    <w:rsid w:val="00E9297F"/>
    <w:rsid w:val="00E92BC1"/>
    <w:rsid w:val="00E93123"/>
    <w:rsid w:val="00E93386"/>
    <w:rsid w:val="00E9345F"/>
    <w:rsid w:val="00E9366F"/>
    <w:rsid w:val="00E93735"/>
    <w:rsid w:val="00E93780"/>
    <w:rsid w:val="00E938CF"/>
    <w:rsid w:val="00E93ACD"/>
    <w:rsid w:val="00E93C0E"/>
    <w:rsid w:val="00E940BB"/>
    <w:rsid w:val="00E94267"/>
    <w:rsid w:val="00E94361"/>
    <w:rsid w:val="00E94514"/>
    <w:rsid w:val="00E948FB"/>
    <w:rsid w:val="00E949A7"/>
    <w:rsid w:val="00E94B68"/>
    <w:rsid w:val="00E94E8E"/>
    <w:rsid w:val="00E95171"/>
    <w:rsid w:val="00E9519A"/>
    <w:rsid w:val="00E953C4"/>
    <w:rsid w:val="00E954DE"/>
    <w:rsid w:val="00E95564"/>
    <w:rsid w:val="00E95660"/>
    <w:rsid w:val="00E95679"/>
    <w:rsid w:val="00E9589A"/>
    <w:rsid w:val="00E96095"/>
    <w:rsid w:val="00E96BF2"/>
    <w:rsid w:val="00E96F47"/>
    <w:rsid w:val="00E96F70"/>
    <w:rsid w:val="00E97340"/>
    <w:rsid w:val="00E97836"/>
    <w:rsid w:val="00E97F82"/>
    <w:rsid w:val="00EA036C"/>
    <w:rsid w:val="00EA0455"/>
    <w:rsid w:val="00EA0725"/>
    <w:rsid w:val="00EA0E4A"/>
    <w:rsid w:val="00EA0EAD"/>
    <w:rsid w:val="00EA1076"/>
    <w:rsid w:val="00EA1137"/>
    <w:rsid w:val="00EA147C"/>
    <w:rsid w:val="00EA190E"/>
    <w:rsid w:val="00EA1A1C"/>
    <w:rsid w:val="00EA1A3A"/>
    <w:rsid w:val="00EA2008"/>
    <w:rsid w:val="00EA204E"/>
    <w:rsid w:val="00EA20C9"/>
    <w:rsid w:val="00EA240C"/>
    <w:rsid w:val="00EA2972"/>
    <w:rsid w:val="00EA29B1"/>
    <w:rsid w:val="00EA2F3E"/>
    <w:rsid w:val="00EA30F0"/>
    <w:rsid w:val="00EA358D"/>
    <w:rsid w:val="00EA36B3"/>
    <w:rsid w:val="00EA3795"/>
    <w:rsid w:val="00EA382A"/>
    <w:rsid w:val="00EA3916"/>
    <w:rsid w:val="00EA3920"/>
    <w:rsid w:val="00EA392D"/>
    <w:rsid w:val="00EA3A60"/>
    <w:rsid w:val="00EA3B12"/>
    <w:rsid w:val="00EA41EE"/>
    <w:rsid w:val="00EA4728"/>
    <w:rsid w:val="00EA4A29"/>
    <w:rsid w:val="00EA4CCC"/>
    <w:rsid w:val="00EA4E27"/>
    <w:rsid w:val="00EA521B"/>
    <w:rsid w:val="00EA53AB"/>
    <w:rsid w:val="00EA562D"/>
    <w:rsid w:val="00EA5BB5"/>
    <w:rsid w:val="00EA5CE4"/>
    <w:rsid w:val="00EA5D60"/>
    <w:rsid w:val="00EA5DDD"/>
    <w:rsid w:val="00EA60AB"/>
    <w:rsid w:val="00EA6166"/>
    <w:rsid w:val="00EA64D6"/>
    <w:rsid w:val="00EA6C31"/>
    <w:rsid w:val="00EA7119"/>
    <w:rsid w:val="00EA7AF6"/>
    <w:rsid w:val="00EA7B5A"/>
    <w:rsid w:val="00EA7FA4"/>
    <w:rsid w:val="00EA7FF5"/>
    <w:rsid w:val="00EB08A3"/>
    <w:rsid w:val="00EB0B8B"/>
    <w:rsid w:val="00EB0CAA"/>
    <w:rsid w:val="00EB0DE2"/>
    <w:rsid w:val="00EB110B"/>
    <w:rsid w:val="00EB119D"/>
    <w:rsid w:val="00EB13A0"/>
    <w:rsid w:val="00EB1A37"/>
    <w:rsid w:val="00EB1C53"/>
    <w:rsid w:val="00EB1C95"/>
    <w:rsid w:val="00EB1CD4"/>
    <w:rsid w:val="00EB1D96"/>
    <w:rsid w:val="00EB20B3"/>
    <w:rsid w:val="00EB21B4"/>
    <w:rsid w:val="00EB2644"/>
    <w:rsid w:val="00EB2D37"/>
    <w:rsid w:val="00EB2D9B"/>
    <w:rsid w:val="00EB33F4"/>
    <w:rsid w:val="00EB344F"/>
    <w:rsid w:val="00EB373D"/>
    <w:rsid w:val="00EB3DEE"/>
    <w:rsid w:val="00EB3E6E"/>
    <w:rsid w:val="00EB3F02"/>
    <w:rsid w:val="00EB451F"/>
    <w:rsid w:val="00EB46F1"/>
    <w:rsid w:val="00EB4B1F"/>
    <w:rsid w:val="00EB4CAE"/>
    <w:rsid w:val="00EB4D98"/>
    <w:rsid w:val="00EB4DB4"/>
    <w:rsid w:val="00EB58D8"/>
    <w:rsid w:val="00EB5C01"/>
    <w:rsid w:val="00EB5D28"/>
    <w:rsid w:val="00EB5E53"/>
    <w:rsid w:val="00EB622E"/>
    <w:rsid w:val="00EB6451"/>
    <w:rsid w:val="00EB6BC6"/>
    <w:rsid w:val="00EB6BE6"/>
    <w:rsid w:val="00EB6C63"/>
    <w:rsid w:val="00EB6D61"/>
    <w:rsid w:val="00EB7303"/>
    <w:rsid w:val="00EB7313"/>
    <w:rsid w:val="00EB7892"/>
    <w:rsid w:val="00EB7D07"/>
    <w:rsid w:val="00EB7F2B"/>
    <w:rsid w:val="00EC02C7"/>
    <w:rsid w:val="00EC0548"/>
    <w:rsid w:val="00EC05C3"/>
    <w:rsid w:val="00EC0855"/>
    <w:rsid w:val="00EC0BD4"/>
    <w:rsid w:val="00EC0E4B"/>
    <w:rsid w:val="00EC1001"/>
    <w:rsid w:val="00EC1460"/>
    <w:rsid w:val="00EC14AB"/>
    <w:rsid w:val="00EC14E6"/>
    <w:rsid w:val="00EC15C3"/>
    <w:rsid w:val="00EC19F6"/>
    <w:rsid w:val="00EC1A1B"/>
    <w:rsid w:val="00EC1B79"/>
    <w:rsid w:val="00EC1EE1"/>
    <w:rsid w:val="00EC2333"/>
    <w:rsid w:val="00EC2753"/>
    <w:rsid w:val="00EC2770"/>
    <w:rsid w:val="00EC284C"/>
    <w:rsid w:val="00EC2E1B"/>
    <w:rsid w:val="00EC3081"/>
    <w:rsid w:val="00EC32A2"/>
    <w:rsid w:val="00EC3A00"/>
    <w:rsid w:val="00EC3B16"/>
    <w:rsid w:val="00EC4407"/>
    <w:rsid w:val="00EC4E5C"/>
    <w:rsid w:val="00EC4F33"/>
    <w:rsid w:val="00EC50DD"/>
    <w:rsid w:val="00EC52C0"/>
    <w:rsid w:val="00EC58F5"/>
    <w:rsid w:val="00EC62D5"/>
    <w:rsid w:val="00EC6625"/>
    <w:rsid w:val="00EC699A"/>
    <w:rsid w:val="00EC6A15"/>
    <w:rsid w:val="00EC6E40"/>
    <w:rsid w:val="00EC6EDA"/>
    <w:rsid w:val="00EC74EF"/>
    <w:rsid w:val="00EC76B8"/>
    <w:rsid w:val="00EC7AC3"/>
    <w:rsid w:val="00ED0092"/>
    <w:rsid w:val="00ED00F5"/>
    <w:rsid w:val="00ED08FE"/>
    <w:rsid w:val="00ED0CAE"/>
    <w:rsid w:val="00ED1025"/>
    <w:rsid w:val="00ED14DE"/>
    <w:rsid w:val="00ED164D"/>
    <w:rsid w:val="00ED1820"/>
    <w:rsid w:val="00ED19CA"/>
    <w:rsid w:val="00ED1A46"/>
    <w:rsid w:val="00ED1D56"/>
    <w:rsid w:val="00ED1FE8"/>
    <w:rsid w:val="00ED22EE"/>
    <w:rsid w:val="00ED27F5"/>
    <w:rsid w:val="00ED2859"/>
    <w:rsid w:val="00ED2ABD"/>
    <w:rsid w:val="00ED2B6F"/>
    <w:rsid w:val="00ED2BD9"/>
    <w:rsid w:val="00ED30E7"/>
    <w:rsid w:val="00ED3108"/>
    <w:rsid w:val="00ED31AB"/>
    <w:rsid w:val="00ED335C"/>
    <w:rsid w:val="00ED33AE"/>
    <w:rsid w:val="00ED34F2"/>
    <w:rsid w:val="00ED3941"/>
    <w:rsid w:val="00ED3BE4"/>
    <w:rsid w:val="00ED404A"/>
    <w:rsid w:val="00ED413D"/>
    <w:rsid w:val="00ED4B63"/>
    <w:rsid w:val="00ED4C44"/>
    <w:rsid w:val="00ED4CB2"/>
    <w:rsid w:val="00ED4EF9"/>
    <w:rsid w:val="00ED4F9E"/>
    <w:rsid w:val="00ED5450"/>
    <w:rsid w:val="00ED567B"/>
    <w:rsid w:val="00ED594E"/>
    <w:rsid w:val="00ED5C49"/>
    <w:rsid w:val="00ED61BF"/>
    <w:rsid w:val="00ED61E1"/>
    <w:rsid w:val="00ED6AC4"/>
    <w:rsid w:val="00ED6AD4"/>
    <w:rsid w:val="00ED6B73"/>
    <w:rsid w:val="00ED774C"/>
    <w:rsid w:val="00ED7788"/>
    <w:rsid w:val="00ED7D86"/>
    <w:rsid w:val="00EE09B8"/>
    <w:rsid w:val="00EE0BDA"/>
    <w:rsid w:val="00EE0CB4"/>
    <w:rsid w:val="00EE1023"/>
    <w:rsid w:val="00EE1080"/>
    <w:rsid w:val="00EE11EA"/>
    <w:rsid w:val="00EE144D"/>
    <w:rsid w:val="00EE1547"/>
    <w:rsid w:val="00EE157B"/>
    <w:rsid w:val="00EE1632"/>
    <w:rsid w:val="00EE1726"/>
    <w:rsid w:val="00EE1ACB"/>
    <w:rsid w:val="00EE1E81"/>
    <w:rsid w:val="00EE1ECC"/>
    <w:rsid w:val="00EE2257"/>
    <w:rsid w:val="00EE2777"/>
    <w:rsid w:val="00EE27AA"/>
    <w:rsid w:val="00EE2A00"/>
    <w:rsid w:val="00EE2DCD"/>
    <w:rsid w:val="00EE2FEA"/>
    <w:rsid w:val="00EE37EC"/>
    <w:rsid w:val="00EE39B6"/>
    <w:rsid w:val="00EE3FEE"/>
    <w:rsid w:val="00EE4D0B"/>
    <w:rsid w:val="00EE4D35"/>
    <w:rsid w:val="00EE4E2D"/>
    <w:rsid w:val="00EE4FCA"/>
    <w:rsid w:val="00EE5214"/>
    <w:rsid w:val="00EE551F"/>
    <w:rsid w:val="00EE5FA3"/>
    <w:rsid w:val="00EE61E6"/>
    <w:rsid w:val="00EE66D0"/>
    <w:rsid w:val="00EE688C"/>
    <w:rsid w:val="00EE6C3D"/>
    <w:rsid w:val="00EE751A"/>
    <w:rsid w:val="00EE7AAC"/>
    <w:rsid w:val="00EE7EAA"/>
    <w:rsid w:val="00EF0267"/>
    <w:rsid w:val="00EF080E"/>
    <w:rsid w:val="00EF10FD"/>
    <w:rsid w:val="00EF1245"/>
    <w:rsid w:val="00EF1903"/>
    <w:rsid w:val="00EF1BB3"/>
    <w:rsid w:val="00EF1DF2"/>
    <w:rsid w:val="00EF238B"/>
    <w:rsid w:val="00EF23CC"/>
    <w:rsid w:val="00EF276F"/>
    <w:rsid w:val="00EF29DC"/>
    <w:rsid w:val="00EF2A53"/>
    <w:rsid w:val="00EF2BBC"/>
    <w:rsid w:val="00EF2CDB"/>
    <w:rsid w:val="00EF3609"/>
    <w:rsid w:val="00EF3620"/>
    <w:rsid w:val="00EF36DD"/>
    <w:rsid w:val="00EF38EF"/>
    <w:rsid w:val="00EF3BBD"/>
    <w:rsid w:val="00EF428F"/>
    <w:rsid w:val="00EF455E"/>
    <w:rsid w:val="00EF4561"/>
    <w:rsid w:val="00EF536E"/>
    <w:rsid w:val="00EF576B"/>
    <w:rsid w:val="00EF5868"/>
    <w:rsid w:val="00EF5C6F"/>
    <w:rsid w:val="00EF5E13"/>
    <w:rsid w:val="00EF5F4B"/>
    <w:rsid w:val="00EF6208"/>
    <w:rsid w:val="00EF626A"/>
    <w:rsid w:val="00EF6433"/>
    <w:rsid w:val="00EF6569"/>
    <w:rsid w:val="00EF6CC4"/>
    <w:rsid w:val="00EF750B"/>
    <w:rsid w:val="00EF75E1"/>
    <w:rsid w:val="00EF76B0"/>
    <w:rsid w:val="00F004F2"/>
    <w:rsid w:val="00F00884"/>
    <w:rsid w:val="00F00BBF"/>
    <w:rsid w:val="00F00EE1"/>
    <w:rsid w:val="00F01522"/>
    <w:rsid w:val="00F01B16"/>
    <w:rsid w:val="00F02715"/>
    <w:rsid w:val="00F028CA"/>
    <w:rsid w:val="00F02AA2"/>
    <w:rsid w:val="00F02B00"/>
    <w:rsid w:val="00F02E59"/>
    <w:rsid w:val="00F02F2C"/>
    <w:rsid w:val="00F03045"/>
    <w:rsid w:val="00F035C3"/>
    <w:rsid w:val="00F03764"/>
    <w:rsid w:val="00F037E9"/>
    <w:rsid w:val="00F04021"/>
    <w:rsid w:val="00F042A0"/>
    <w:rsid w:val="00F045BA"/>
    <w:rsid w:val="00F04D66"/>
    <w:rsid w:val="00F04E92"/>
    <w:rsid w:val="00F0512F"/>
    <w:rsid w:val="00F053A8"/>
    <w:rsid w:val="00F05838"/>
    <w:rsid w:val="00F05D1E"/>
    <w:rsid w:val="00F05D98"/>
    <w:rsid w:val="00F0601D"/>
    <w:rsid w:val="00F066F9"/>
    <w:rsid w:val="00F06814"/>
    <w:rsid w:val="00F06CFC"/>
    <w:rsid w:val="00F0706A"/>
    <w:rsid w:val="00F077B5"/>
    <w:rsid w:val="00F07AEB"/>
    <w:rsid w:val="00F07FC3"/>
    <w:rsid w:val="00F102FB"/>
    <w:rsid w:val="00F10904"/>
    <w:rsid w:val="00F10B4F"/>
    <w:rsid w:val="00F11096"/>
    <w:rsid w:val="00F11312"/>
    <w:rsid w:val="00F1162D"/>
    <w:rsid w:val="00F118B9"/>
    <w:rsid w:val="00F11AFD"/>
    <w:rsid w:val="00F11D45"/>
    <w:rsid w:val="00F11E6F"/>
    <w:rsid w:val="00F1272F"/>
    <w:rsid w:val="00F12820"/>
    <w:rsid w:val="00F12D9E"/>
    <w:rsid w:val="00F12DBA"/>
    <w:rsid w:val="00F12FA2"/>
    <w:rsid w:val="00F1326D"/>
    <w:rsid w:val="00F136CD"/>
    <w:rsid w:val="00F13C39"/>
    <w:rsid w:val="00F13EF9"/>
    <w:rsid w:val="00F13FD0"/>
    <w:rsid w:val="00F148D8"/>
    <w:rsid w:val="00F1498E"/>
    <w:rsid w:val="00F14D16"/>
    <w:rsid w:val="00F14E7C"/>
    <w:rsid w:val="00F14F90"/>
    <w:rsid w:val="00F15023"/>
    <w:rsid w:val="00F150FC"/>
    <w:rsid w:val="00F15313"/>
    <w:rsid w:val="00F153C1"/>
    <w:rsid w:val="00F15638"/>
    <w:rsid w:val="00F15797"/>
    <w:rsid w:val="00F15A3E"/>
    <w:rsid w:val="00F15B11"/>
    <w:rsid w:val="00F15BDD"/>
    <w:rsid w:val="00F15D7B"/>
    <w:rsid w:val="00F15F94"/>
    <w:rsid w:val="00F16033"/>
    <w:rsid w:val="00F160FD"/>
    <w:rsid w:val="00F16357"/>
    <w:rsid w:val="00F1661E"/>
    <w:rsid w:val="00F16705"/>
    <w:rsid w:val="00F167CC"/>
    <w:rsid w:val="00F16C73"/>
    <w:rsid w:val="00F173E2"/>
    <w:rsid w:val="00F1748B"/>
    <w:rsid w:val="00F1748C"/>
    <w:rsid w:val="00F174B7"/>
    <w:rsid w:val="00F17A7E"/>
    <w:rsid w:val="00F17F36"/>
    <w:rsid w:val="00F202C7"/>
    <w:rsid w:val="00F2030F"/>
    <w:rsid w:val="00F2071E"/>
    <w:rsid w:val="00F20972"/>
    <w:rsid w:val="00F20BA2"/>
    <w:rsid w:val="00F20C6A"/>
    <w:rsid w:val="00F20E74"/>
    <w:rsid w:val="00F2101B"/>
    <w:rsid w:val="00F21602"/>
    <w:rsid w:val="00F216F0"/>
    <w:rsid w:val="00F21D20"/>
    <w:rsid w:val="00F224DA"/>
    <w:rsid w:val="00F2287B"/>
    <w:rsid w:val="00F229F2"/>
    <w:rsid w:val="00F22C9D"/>
    <w:rsid w:val="00F22D60"/>
    <w:rsid w:val="00F22E23"/>
    <w:rsid w:val="00F2321B"/>
    <w:rsid w:val="00F2332B"/>
    <w:rsid w:val="00F237C4"/>
    <w:rsid w:val="00F2399C"/>
    <w:rsid w:val="00F23A82"/>
    <w:rsid w:val="00F23AE7"/>
    <w:rsid w:val="00F23C45"/>
    <w:rsid w:val="00F23C6D"/>
    <w:rsid w:val="00F23E41"/>
    <w:rsid w:val="00F23F1A"/>
    <w:rsid w:val="00F24468"/>
    <w:rsid w:val="00F24510"/>
    <w:rsid w:val="00F24568"/>
    <w:rsid w:val="00F24636"/>
    <w:rsid w:val="00F24823"/>
    <w:rsid w:val="00F248E5"/>
    <w:rsid w:val="00F24C69"/>
    <w:rsid w:val="00F250B3"/>
    <w:rsid w:val="00F2534A"/>
    <w:rsid w:val="00F255E0"/>
    <w:rsid w:val="00F25694"/>
    <w:rsid w:val="00F25952"/>
    <w:rsid w:val="00F25E83"/>
    <w:rsid w:val="00F261F5"/>
    <w:rsid w:val="00F2649B"/>
    <w:rsid w:val="00F264E9"/>
    <w:rsid w:val="00F26862"/>
    <w:rsid w:val="00F26939"/>
    <w:rsid w:val="00F26E76"/>
    <w:rsid w:val="00F27307"/>
    <w:rsid w:val="00F27705"/>
    <w:rsid w:val="00F27746"/>
    <w:rsid w:val="00F2783E"/>
    <w:rsid w:val="00F2798B"/>
    <w:rsid w:val="00F27D8E"/>
    <w:rsid w:val="00F27DB0"/>
    <w:rsid w:val="00F311E7"/>
    <w:rsid w:val="00F31547"/>
    <w:rsid w:val="00F31776"/>
    <w:rsid w:val="00F3202A"/>
    <w:rsid w:val="00F322FD"/>
    <w:rsid w:val="00F3246E"/>
    <w:rsid w:val="00F32645"/>
    <w:rsid w:val="00F32813"/>
    <w:rsid w:val="00F3298D"/>
    <w:rsid w:val="00F329B9"/>
    <w:rsid w:val="00F32EE1"/>
    <w:rsid w:val="00F33008"/>
    <w:rsid w:val="00F336A7"/>
    <w:rsid w:val="00F339BB"/>
    <w:rsid w:val="00F339F7"/>
    <w:rsid w:val="00F33F2E"/>
    <w:rsid w:val="00F34482"/>
    <w:rsid w:val="00F344F5"/>
    <w:rsid w:val="00F3493E"/>
    <w:rsid w:val="00F351CA"/>
    <w:rsid w:val="00F36601"/>
    <w:rsid w:val="00F36ADF"/>
    <w:rsid w:val="00F36B84"/>
    <w:rsid w:val="00F36E65"/>
    <w:rsid w:val="00F37089"/>
    <w:rsid w:val="00F3737B"/>
    <w:rsid w:val="00F373BF"/>
    <w:rsid w:val="00F373E0"/>
    <w:rsid w:val="00F37A11"/>
    <w:rsid w:val="00F400BA"/>
    <w:rsid w:val="00F404E4"/>
    <w:rsid w:val="00F4060A"/>
    <w:rsid w:val="00F4068D"/>
    <w:rsid w:val="00F40AF8"/>
    <w:rsid w:val="00F40DAD"/>
    <w:rsid w:val="00F40EC3"/>
    <w:rsid w:val="00F40F83"/>
    <w:rsid w:val="00F41137"/>
    <w:rsid w:val="00F412F4"/>
    <w:rsid w:val="00F415AB"/>
    <w:rsid w:val="00F41828"/>
    <w:rsid w:val="00F41961"/>
    <w:rsid w:val="00F41C2D"/>
    <w:rsid w:val="00F42377"/>
    <w:rsid w:val="00F424FA"/>
    <w:rsid w:val="00F428D8"/>
    <w:rsid w:val="00F42988"/>
    <w:rsid w:val="00F42EF4"/>
    <w:rsid w:val="00F433EA"/>
    <w:rsid w:val="00F43614"/>
    <w:rsid w:val="00F43694"/>
    <w:rsid w:val="00F43847"/>
    <w:rsid w:val="00F438DF"/>
    <w:rsid w:val="00F43B4E"/>
    <w:rsid w:val="00F44067"/>
    <w:rsid w:val="00F4413B"/>
    <w:rsid w:val="00F44261"/>
    <w:rsid w:val="00F443B3"/>
    <w:rsid w:val="00F4479A"/>
    <w:rsid w:val="00F44806"/>
    <w:rsid w:val="00F4530F"/>
    <w:rsid w:val="00F453DF"/>
    <w:rsid w:val="00F45456"/>
    <w:rsid w:val="00F454FF"/>
    <w:rsid w:val="00F45F89"/>
    <w:rsid w:val="00F460A9"/>
    <w:rsid w:val="00F463EA"/>
    <w:rsid w:val="00F4648E"/>
    <w:rsid w:val="00F464B5"/>
    <w:rsid w:val="00F464C1"/>
    <w:rsid w:val="00F46798"/>
    <w:rsid w:val="00F468F4"/>
    <w:rsid w:val="00F46B70"/>
    <w:rsid w:val="00F46C7A"/>
    <w:rsid w:val="00F46D17"/>
    <w:rsid w:val="00F46D33"/>
    <w:rsid w:val="00F46F19"/>
    <w:rsid w:val="00F46F8D"/>
    <w:rsid w:val="00F473C6"/>
    <w:rsid w:val="00F474B5"/>
    <w:rsid w:val="00F474E2"/>
    <w:rsid w:val="00F47610"/>
    <w:rsid w:val="00F476EE"/>
    <w:rsid w:val="00F479CE"/>
    <w:rsid w:val="00F479DB"/>
    <w:rsid w:val="00F47FF5"/>
    <w:rsid w:val="00F503CC"/>
    <w:rsid w:val="00F5040F"/>
    <w:rsid w:val="00F50412"/>
    <w:rsid w:val="00F5052A"/>
    <w:rsid w:val="00F509CC"/>
    <w:rsid w:val="00F50DDB"/>
    <w:rsid w:val="00F51161"/>
    <w:rsid w:val="00F512D6"/>
    <w:rsid w:val="00F51417"/>
    <w:rsid w:val="00F51527"/>
    <w:rsid w:val="00F51ABE"/>
    <w:rsid w:val="00F51ECD"/>
    <w:rsid w:val="00F5290B"/>
    <w:rsid w:val="00F52AB2"/>
    <w:rsid w:val="00F53051"/>
    <w:rsid w:val="00F5351B"/>
    <w:rsid w:val="00F53648"/>
    <w:rsid w:val="00F53977"/>
    <w:rsid w:val="00F53BF3"/>
    <w:rsid w:val="00F53D80"/>
    <w:rsid w:val="00F53F83"/>
    <w:rsid w:val="00F5411E"/>
    <w:rsid w:val="00F54370"/>
    <w:rsid w:val="00F543F6"/>
    <w:rsid w:val="00F545D8"/>
    <w:rsid w:val="00F5469D"/>
    <w:rsid w:val="00F5501C"/>
    <w:rsid w:val="00F55073"/>
    <w:rsid w:val="00F55086"/>
    <w:rsid w:val="00F55092"/>
    <w:rsid w:val="00F558A9"/>
    <w:rsid w:val="00F55B52"/>
    <w:rsid w:val="00F56156"/>
    <w:rsid w:val="00F56228"/>
    <w:rsid w:val="00F56A08"/>
    <w:rsid w:val="00F56E5E"/>
    <w:rsid w:val="00F57567"/>
    <w:rsid w:val="00F57655"/>
    <w:rsid w:val="00F577E4"/>
    <w:rsid w:val="00F57A5F"/>
    <w:rsid w:val="00F57B94"/>
    <w:rsid w:val="00F601EC"/>
    <w:rsid w:val="00F6032B"/>
    <w:rsid w:val="00F6039B"/>
    <w:rsid w:val="00F6045D"/>
    <w:rsid w:val="00F6072C"/>
    <w:rsid w:val="00F60754"/>
    <w:rsid w:val="00F607C1"/>
    <w:rsid w:val="00F60DC8"/>
    <w:rsid w:val="00F610AE"/>
    <w:rsid w:val="00F611F2"/>
    <w:rsid w:val="00F61894"/>
    <w:rsid w:val="00F61A33"/>
    <w:rsid w:val="00F61C67"/>
    <w:rsid w:val="00F62191"/>
    <w:rsid w:val="00F624D1"/>
    <w:rsid w:val="00F62F1C"/>
    <w:rsid w:val="00F63076"/>
    <w:rsid w:val="00F632FD"/>
    <w:rsid w:val="00F6382F"/>
    <w:rsid w:val="00F638C0"/>
    <w:rsid w:val="00F63BF0"/>
    <w:rsid w:val="00F63DCA"/>
    <w:rsid w:val="00F64366"/>
    <w:rsid w:val="00F648E8"/>
    <w:rsid w:val="00F64AD7"/>
    <w:rsid w:val="00F64CAB"/>
    <w:rsid w:val="00F651A5"/>
    <w:rsid w:val="00F65784"/>
    <w:rsid w:val="00F658BE"/>
    <w:rsid w:val="00F65D1D"/>
    <w:rsid w:val="00F65D5F"/>
    <w:rsid w:val="00F6623D"/>
    <w:rsid w:val="00F662B4"/>
    <w:rsid w:val="00F663A8"/>
    <w:rsid w:val="00F66645"/>
    <w:rsid w:val="00F666D1"/>
    <w:rsid w:val="00F66A94"/>
    <w:rsid w:val="00F66FCE"/>
    <w:rsid w:val="00F67720"/>
    <w:rsid w:val="00F7089E"/>
    <w:rsid w:val="00F70ACD"/>
    <w:rsid w:val="00F70B92"/>
    <w:rsid w:val="00F70D1C"/>
    <w:rsid w:val="00F71096"/>
    <w:rsid w:val="00F7189D"/>
    <w:rsid w:val="00F71BF9"/>
    <w:rsid w:val="00F71CD1"/>
    <w:rsid w:val="00F721B8"/>
    <w:rsid w:val="00F72438"/>
    <w:rsid w:val="00F7278A"/>
    <w:rsid w:val="00F72B16"/>
    <w:rsid w:val="00F73393"/>
    <w:rsid w:val="00F7345F"/>
    <w:rsid w:val="00F739D9"/>
    <w:rsid w:val="00F73D86"/>
    <w:rsid w:val="00F73FF5"/>
    <w:rsid w:val="00F744D6"/>
    <w:rsid w:val="00F745C5"/>
    <w:rsid w:val="00F74D63"/>
    <w:rsid w:val="00F74E59"/>
    <w:rsid w:val="00F74EF3"/>
    <w:rsid w:val="00F7500C"/>
    <w:rsid w:val="00F75297"/>
    <w:rsid w:val="00F75381"/>
    <w:rsid w:val="00F753BC"/>
    <w:rsid w:val="00F755FF"/>
    <w:rsid w:val="00F75F31"/>
    <w:rsid w:val="00F7648B"/>
    <w:rsid w:val="00F765A6"/>
    <w:rsid w:val="00F7677E"/>
    <w:rsid w:val="00F76AE3"/>
    <w:rsid w:val="00F76C4E"/>
    <w:rsid w:val="00F76D57"/>
    <w:rsid w:val="00F76E4F"/>
    <w:rsid w:val="00F776E1"/>
    <w:rsid w:val="00F7778B"/>
    <w:rsid w:val="00F801B5"/>
    <w:rsid w:val="00F803F3"/>
    <w:rsid w:val="00F80687"/>
    <w:rsid w:val="00F80875"/>
    <w:rsid w:val="00F808E6"/>
    <w:rsid w:val="00F80BE8"/>
    <w:rsid w:val="00F8112E"/>
    <w:rsid w:val="00F811D1"/>
    <w:rsid w:val="00F8136F"/>
    <w:rsid w:val="00F81C7A"/>
    <w:rsid w:val="00F81D84"/>
    <w:rsid w:val="00F81F74"/>
    <w:rsid w:val="00F81FD8"/>
    <w:rsid w:val="00F81FED"/>
    <w:rsid w:val="00F825C3"/>
    <w:rsid w:val="00F8260F"/>
    <w:rsid w:val="00F82E75"/>
    <w:rsid w:val="00F82F69"/>
    <w:rsid w:val="00F83077"/>
    <w:rsid w:val="00F830B7"/>
    <w:rsid w:val="00F83228"/>
    <w:rsid w:val="00F83300"/>
    <w:rsid w:val="00F835BC"/>
    <w:rsid w:val="00F83853"/>
    <w:rsid w:val="00F83F76"/>
    <w:rsid w:val="00F84179"/>
    <w:rsid w:val="00F84297"/>
    <w:rsid w:val="00F844CF"/>
    <w:rsid w:val="00F848AA"/>
    <w:rsid w:val="00F8506F"/>
    <w:rsid w:val="00F853E7"/>
    <w:rsid w:val="00F855D0"/>
    <w:rsid w:val="00F858EB"/>
    <w:rsid w:val="00F85CE3"/>
    <w:rsid w:val="00F86826"/>
    <w:rsid w:val="00F8691D"/>
    <w:rsid w:val="00F86CCF"/>
    <w:rsid w:val="00F86F4A"/>
    <w:rsid w:val="00F87D80"/>
    <w:rsid w:val="00F90265"/>
    <w:rsid w:val="00F9090E"/>
    <w:rsid w:val="00F911E0"/>
    <w:rsid w:val="00F91215"/>
    <w:rsid w:val="00F914CD"/>
    <w:rsid w:val="00F9183E"/>
    <w:rsid w:val="00F91BB6"/>
    <w:rsid w:val="00F91ECE"/>
    <w:rsid w:val="00F92DD5"/>
    <w:rsid w:val="00F92EE5"/>
    <w:rsid w:val="00F93742"/>
    <w:rsid w:val="00F93989"/>
    <w:rsid w:val="00F93E66"/>
    <w:rsid w:val="00F94628"/>
    <w:rsid w:val="00F946CF"/>
    <w:rsid w:val="00F94C6E"/>
    <w:rsid w:val="00F95063"/>
    <w:rsid w:val="00F951C4"/>
    <w:rsid w:val="00F95268"/>
    <w:rsid w:val="00F952DA"/>
    <w:rsid w:val="00F954E5"/>
    <w:rsid w:val="00F95788"/>
    <w:rsid w:val="00F960C9"/>
    <w:rsid w:val="00F96268"/>
    <w:rsid w:val="00F967CC"/>
    <w:rsid w:val="00F96B70"/>
    <w:rsid w:val="00F970F8"/>
    <w:rsid w:val="00F97134"/>
    <w:rsid w:val="00F9754B"/>
    <w:rsid w:val="00F97729"/>
    <w:rsid w:val="00F97A0B"/>
    <w:rsid w:val="00F97B6C"/>
    <w:rsid w:val="00F97D26"/>
    <w:rsid w:val="00FA022A"/>
    <w:rsid w:val="00FA08EE"/>
    <w:rsid w:val="00FA09E6"/>
    <w:rsid w:val="00FA133B"/>
    <w:rsid w:val="00FA1D92"/>
    <w:rsid w:val="00FA21F9"/>
    <w:rsid w:val="00FA2212"/>
    <w:rsid w:val="00FA231D"/>
    <w:rsid w:val="00FA28FD"/>
    <w:rsid w:val="00FA2C73"/>
    <w:rsid w:val="00FA2F11"/>
    <w:rsid w:val="00FA2F13"/>
    <w:rsid w:val="00FA34B8"/>
    <w:rsid w:val="00FA34CE"/>
    <w:rsid w:val="00FA376A"/>
    <w:rsid w:val="00FA38D6"/>
    <w:rsid w:val="00FA3C53"/>
    <w:rsid w:val="00FA3C60"/>
    <w:rsid w:val="00FA3CB8"/>
    <w:rsid w:val="00FA3FF0"/>
    <w:rsid w:val="00FA45AC"/>
    <w:rsid w:val="00FA4718"/>
    <w:rsid w:val="00FA4B98"/>
    <w:rsid w:val="00FA5429"/>
    <w:rsid w:val="00FA5C5F"/>
    <w:rsid w:val="00FA5E71"/>
    <w:rsid w:val="00FA5FF0"/>
    <w:rsid w:val="00FA6080"/>
    <w:rsid w:val="00FA6179"/>
    <w:rsid w:val="00FA64E1"/>
    <w:rsid w:val="00FA66E4"/>
    <w:rsid w:val="00FA6DB7"/>
    <w:rsid w:val="00FA6FF8"/>
    <w:rsid w:val="00FA75B0"/>
    <w:rsid w:val="00FA75D1"/>
    <w:rsid w:val="00FA77B9"/>
    <w:rsid w:val="00FA78FD"/>
    <w:rsid w:val="00FA7971"/>
    <w:rsid w:val="00FA7AC7"/>
    <w:rsid w:val="00FB0098"/>
    <w:rsid w:val="00FB0483"/>
    <w:rsid w:val="00FB04D2"/>
    <w:rsid w:val="00FB0612"/>
    <w:rsid w:val="00FB06E8"/>
    <w:rsid w:val="00FB0811"/>
    <w:rsid w:val="00FB0A00"/>
    <w:rsid w:val="00FB0AAA"/>
    <w:rsid w:val="00FB0E2D"/>
    <w:rsid w:val="00FB12CD"/>
    <w:rsid w:val="00FB12F4"/>
    <w:rsid w:val="00FB1493"/>
    <w:rsid w:val="00FB1802"/>
    <w:rsid w:val="00FB1966"/>
    <w:rsid w:val="00FB1A39"/>
    <w:rsid w:val="00FB1B2A"/>
    <w:rsid w:val="00FB1C35"/>
    <w:rsid w:val="00FB1C43"/>
    <w:rsid w:val="00FB1E17"/>
    <w:rsid w:val="00FB1ED0"/>
    <w:rsid w:val="00FB219F"/>
    <w:rsid w:val="00FB2695"/>
    <w:rsid w:val="00FB2826"/>
    <w:rsid w:val="00FB29B8"/>
    <w:rsid w:val="00FB31CE"/>
    <w:rsid w:val="00FB3378"/>
    <w:rsid w:val="00FB340E"/>
    <w:rsid w:val="00FB365A"/>
    <w:rsid w:val="00FB39D6"/>
    <w:rsid w:val="00FB3A01"/>
    <w:rsid w:val="00FB3C79"/>
    <w:rsid w:val="00FB41AA"/>
    <w:rsid w:val="00FB4546"/>
    <w:rsid w:val="00FB4579"/>
    <w:rsid w:val="00FB459F"/>
    <w:rsid w:val="00FB45A0"/>
    <w:rsid w:val="00FB486D"/>
    <w:rsid w:val="00FB4A4C"/>
    <w:rsid w:val="00FB4EE8"/>
    <w:rsid w:val="00FB4FC2"/>
    <w:rsid w:val="00FB50CD"/>
    <w:rsid w:val="00FB56C5"/>
    <w:rsid w:val="00FB57E9"/>
    <w:rsid w:val="00FB5887"/>
    <w:rsid w:val="00FB5945"/>
    <w:rsid w:val="00FB5DC5"/>
    <w:rsid w:val="00FB5E58"/>
    <w:rsid w:val="00FB5F75"/>
    <w:rsid w:val="00FB67FC"/>
    <w:rsid w:val="00FB68C4"/>
    <w:rsid w:val="00FB6D77"/>
    <w:rsid w:val="00FB7308"/>
    <w:rsid w:val="00FB7724"/>
    <w:rsid w:val="00FB7AC8"/>
    <w:rsid w:val="00FB7B1B"/>
    <w:rsid w:val="00FB7ECB"/>
    <w:rsid w:val="00FC0081"/>
    <w:rsid w:val="00FC09EC"/>
    <w:rsid w:val="00FC0A27"/>
    <w:rsid w:val="00FC1000"/>
    <w:rsid w:val="00FC1071"/>
    <w:rsid w:val="00FC113B"/>
    <w:rsid w:val="00FC133B"/>
    <w:rsid w:val="00FC156D"/>
    <w:rsid w:val="00FC16F0"/>
    <w:rsid w:val="00FC185B"/>
    <w:rsid w:val="00FC1A1C"/>
    <w:rsid w:val="00FC1BB2"/>
    <w:rsid w:val="00FC295D"/>
    <w:rsid w:val="00FC2B44"/>
    <w:rsid w:val="00FC2BEE"/>
    <w:rsid w:val="00FC33EB"/>
    <w:rsid w:val="00FC3909"/>
    <w:rsid w:val="00FC4296"/>
    <w:rsid w:val="00FC443B"/>
    <w:rsid w:val="00FC4741"/>
    <w:rsid w:val="00FC484C"/>
    <w:rsid w:val="00FC496D"/>
    <w:rsid w:val="00FC4EAF"/>
    <w:rsid w:val="00FC4FDE"/>
    <w:rsid w:val="00FC527C"/>
    <w:rsid w:val="00FC548C"/>
    <w:rsid w:val="00FC5578"/>
    <w:rsid w:val="00FC56E5"/>
    <w:rsid w:val="00FC6445"/>
    <w:rsid w:val="00FC686B"/>
    <w:rsid w:val="00FC75E1"/>
    <w:rsid w:val="00FC75F5"/>
    <w:rsid w:val="00FC76C8"/>
    <w:rsid w:val="00FC785D"/>
    <w:rsid w:val="00FC7A0C"/>
    <w:rsid w:val="00FC7E40"/>
    <w:rsid w:val="00FC7FC2"/>
    <w:rsid w:val="00FD02C0"/>
    <w:rsid w:val="00FD058D"/>
    <w:rsid w:val="00FD09CE"/>
    <w:rsid w:val="00FD0A83"/>
    <w:rsid w:val="00FD0BBC"/>
    <w:rsid w:val="00FD11D8"/>
    <w:rsid w:val="00FD13CE"/>
    <w:rsid w:val="00FD13E0"/>
    <w:rsid w:val="00FD14F1"/>
    <w:rsid w:val="00FD1615"/>
    <w:rsid w:val="00FD184E"/>
    <w:rsid w:val="00FD1876"/>
    <w:rsid w:val="00FD2C50"/>
    <w:rsid w:val="00FD2C6C"/>
    <w:rsid w:val="00FD3403"/>
    <w:rsid w:val="00FD41F3"/>
    <w:rsid w:val="00FD4A08"/>
    <w:rsid w:val="00FD4ABC"/>
    <w:rsid w:val="00FD4F33"/>
    <w:rsid w:val="00FD4F7E"/>
    <w:rsid w:val="00FD5A46"/>
    <w:rsid w:val="00FD5CB6"/>
    <w:rsid w:val="00FD6488"/>
    <w:rsid w:val="00FD6507"/>
    <w:rsid w:val="00FD6D32"/>
    <w:rsid w:val="00FD6E9D"/>
    <w:rsid w:val="00FD7035"/>
    <w:rsid w:val="00FD7B51"/>
    <w:rsid w:val="00FE01F6"/>
    <w:rsid w:val="00FE0A15"/>
    <w:rsid w:val="00FE0A47"/>
    <w:rsid w:val="00FE0D2E"/>
    <w:rsid w:val="00FE105E"/>
    <w:rsid w:val="00FE1136"/>
    <w:rsid w:val="00FE117B"/>
    <w:rsid w:val="00FE12A2"/>
    <w:rsid w:val="00FE1418"/>
    <w:rsid w:val="00FE1595"/>
    <w:rsid w:val="00FE16A8"/>
    <w:rsid w:val="00FE179E"/>
    <w:rsid w:val="00FE17D6"/>
    <w:rsid w:val="00FE1B59"/>
    <w:rsid w:val="00FE208D"/>
    <w:rsid w:val="00FE2760"/>
    <w:rsid w:val="00FE345C"/>
    <w:rsid w:val="00FE3CD9"/>
    <w:rsid w:val="00FE3CDE"/>
    <w:rsid w:val="00FE3F54"/>
    <w:rsid w:val="00FE42F6"/>
    <w:rsid w:val="00FE44BA"/>
    <w:rsid w:val="00FE4821"/>
    <w:rsid w:val="00FE4DBA"/>
    <w:rsid w:val="00FE4E63"/>
    <w:rsid w:val="00FE5428"/>
    <w:rsid w:val="00FE54F5"/>
    <w:rsid w:val="00FE5843"/>
    <w:rsid w:val="00FE59FE"/>
    <w:rsid w:val="00FE5B7A"/>
    <w:rsid w:val="00FE6235"/>
    <w:rsid w:val="00FE6A6E"/>
    <w:rsid w:val="00FE744D"/>
    <w:rsid w:val="00FF017A"/>
    <w:rsid w:val="00FF0264"/>
    <w:rsid w:val="00FF038C"/>
    <w:rsid w:val="00FF05A4"/>
    <w:rsid w:val="00FF0721"/>
    <w:rsid w:val="00FF09BB"/>
    <w:rsid w:val="00FF0C31"/>
    <w:rsid w:val="00FF1108"/>
    <w:rsid w:val="00FF162F"/>
    <w:rsid w:val="00FF1791"/>
    <w:rsid w:val="00FF1C73"/>
    <w:rsid w:val="00FF1CB8"/>
    <w:rsid w:val="00FF1D89"/>
    <w:rsid w:val="00FF1E13"/>
    <w:rsid w:val="00FF1E6F"/>
    <w:rsid w:val="00FF1F00"/>
    <w:rsid w:val="00FF2052"/>
    <w:rsid w:val="00FF238D"/>
    <w:rsid w:val="00FF23C0"/>
    <w:rsid w:val="00FF3011"/>
    <w:rsid w:val="00FF33A1"/>
    <w:rsid w:val="00FF393C"/>
    <w:rsid w:val="00FF3F9D"/>
    <w:rsid w:val="00FF42BD"/>
    <w:rsid w:val="00FF42C0"/>
    <w:rsid w:val="00FF4534"/>
    <w:rsid w:val="00FF4E15"/>
    <w:rsid w:val="00FF4F7C"/>
    <w:rsid w:val="00FF50C2"/>
    <w:rsid w:val="00FF51FC"/>
    <w:rsid w:val="00FF53EC"/>
    <w:rsid w:val="00FF554D"/>
    <w:rsid w:val="00FF572E"/>
    <w:rsid w:val="00FF57B0"/>
    <w:rsid w:val="00FF60A0"/>
    <w:rsid w:val="00FF6382"/>
    <w:rsid w:val="00FF63D1"/>
    <w:rsid w:val="00FF67BD"/>
    <w:rsid w:val="00FF7512"/>
    <w:rsid w:val="01211E97"/>
    <w:rsid w:val="01312FD8"/>
    <w:rsid w:val="01536C04"/>
    <w:rsid w:val="016E2F6B"/>
    <w:rsid w:val="01727A9B"/>
    <w:rsid w:val="017460A8"/>
    <w:rsid w:val="01957768"/>
    <w:rsid w:val="01AE0C1B"/>
    <w:rsid w:val="01B4763F"/>
    <w:rsid w:val="01B86684"/>
    <w:rsid w:val="01BA5D45"/>
    <w:rsid w:val="01E074E1"/>
    <w:rsid w:val="01FC77A7"/>
    <w:rsid w:val="021E0353"/>
    <w:rsid w:val="02226DB8"/>
    <w:rsid w:val="02247ACE"/>
    <w:rsid w:val="026C1BC8"/>
    <w:rsid w:val="02A042E7"/>
    <w:rsid w:val="02AA4860"/>
    <w:rsid w:val="02B426D3"/>
    <w:rsid w:val="02C60CF0"/>
    <w:rsid w:val="02D32FE7"/>
    <w:rsid w:val="02E77339"/>
    <w:rsid w:val="02FE0EE6"/>
    <w:rsid w:val="03222EC1"/>
    <w:rsid w:val="032F04D8"/>
    <w:rsid w:val="03342DF6"/>
    <w:rsid w:val="03343C90"/>
    <w:rsid w:val="03364E56"/>
    <w:rsid w:val="037662E3"/>
    <w:rsid w:val="03916D10"/>
    <w:rsid w:val="03992B41"/>
    <w:rsid w:val="03A219EA"/>
    <w:rsid w:val="03A646A7"/>
    <w:rsid w:val="03AB0F14"/>
    <w:rsid w:val="03B2312E"/>
    <w:rsid w:val="03B30F71"/>
    <w:rsid w:val="03B32C71"/>
    <w:rsid w:val="03BD7F26"/>
    <w:rsid w:val="03CE13CD"/>
    <w:rsid w:val="03F649DD"/>
    <w:rsid w:val="04013544"/>
    <w:rsid w:val="04091D59"/>
    <w:rsid w:val="040A5B3F"/>
    <w:rsid w:val="040F0657"/>
    <w:rsid w:val="04272E41"/>
    <w:rsid w:val="04472319"/>
    <w:rsid w:val="04717073"/>
    <w:rsid w:val="04737B21"/>
    <w:rsid w:val="04821D2B"/>
    <w:rsid w:val="048776B8"/>
    <w:rsid w:val="04A722F0"/>
    <w:rsid w:val="04B54A0D"/>
    <w:rsid w:val="04BB1E9E"/>
    <w:rsid w:val="04C514E7"/>
    <w:rsid w:val="04D1302F"/>
    <w:rsid w:val="04E618AD"/>
    <w:rsid w:val="04F10FCE"/>
    <w:rsid w:val="04FD4BFA"/>
    <w:rsid w:val="0509004A"/>
    <w:rsid w:val="051614DF"/>
    <w:rsid w:val="0532119F"/>
    <w:rsid w:val="053C115E"/>
    <w:rsid w:val="055B3806"/>
    <w:rsid w:val="056A3D98"/>
    <w:rsid w:val="05877304"/>
    <w:rsid w:val="05887A6C"/>
    <w:rsid w:val="05AA653C"/>
    <w:rsid w:val="05B222AB"/>
    <w:rsid w:val="05C02D8C"/>
    <w:rsid w:val="05CC64B2"/>
    <w:rsid w:val="05E554CD"/>
    <w:rsid w:val="05FF3764"/>
    <w:rsid w:val="06056C70"/>
    <w:rsid w:val="062C0CFF"/>
    <w:rsid w:val="06593102"/>
    <w:rsid w:val="06646C0A"/>
    <w:rsid w:val="06872BC5"/>
    <w:rsid w:val="06A175F3"/>
    <w:rsid w:val="06B46E8A"/>
    <w:rsid w:val="06CC045B"/>
    <w:rsid w:val="06D30A40"/>
    <w:rsid w:val="06D44858"/>
    <w:rsid w:val="06DF76C9"/>
    <w:rsid w:val="06E460DC"/>
    <w:rsid w:val="06E974DC"/>
    <w:rsid w:val="06ED3E15"/>
    <w:rsid w:val="06F02B27"/>
    <w:rsid w:val="072677AE"/>
    <w:rsid w:val="072D2F81"/>
    <w:rsid w:val="07301609"/>
    <w:rsid w:val="07387214"/>
    <w:rsid w:val="0753050D"/>
    <w:rsid w:val="07725700"/>
    <w:rsid w:val="07C16B17"/>
    <w:rsid w:val="07D914DE"/>
    <w:rsid w:val="07D94F22"/>
    <w:rsid w:val="07F02E7C"/>
    <w:rsid w:val="07F5389E"/>
    <w:rsid w:val="080C46B8"/>
    <w:rsid w:val="0815789C"/>
    <w:rsid w:val="08411DE2"/>
    <w:rsid w:val="08492E7E"/>
    <w:rsid w:val="084B564C"/>
    <w:rsid w:val="084E1401"/>
    <w:rsid w:val="08514A4D"/>
    <w:rsid w:val="08650854"/>
    <w:rsid w:val="0868220C"/>
    <w:rsid w:val="08713341"/>
    <w:rsid w:val="087D3E5F"/>
    <w:rsid w:val="0886040F"/>
    <w:rsid w:val="088C17CE"/>
    <w:rsid w:val="088C1F29"/>
    <w:rsid w:val="0899343A"/>
    <w:rsid w:val="089A6C03"/>
    <w:rsid w:val="08A6522A"/>
    <w:rsid w:val="08B75F1D"/>
    <w:rsid w:val="08DD16F9"/>
    <w:rsid w:val="08F50D9E"/>
    <w:rsid w:val="08FF6553"/>
    <w:rsid w:val="09555375"/>
    <w:rsid w:val="095A6E8E"/>
    <w:rsid w:val="09761A4F"/>
    <w:rsid w:val="09834CFB"/>
    <w:rsid w:val="098F7B38"/>
    <w:rsid w:val="09A1536E"/>
    <w:rsid w:val="09B87205"/>
    <w:rsid w:val="09C15724"/>
    <w:rsid w:val="09CD45A7"/>
    <w:rsid w:val="09CE00D0"/>
    <w:rsid w:val="09ED449E"/>
    <w:rsid w:val="09F47D86"/>
    <w:rsid w:val="09FB33A4"/>
    <w:rsid w:val="0A022D2E"/>
    <w:rsid w:val="0A1063C5"/>
    <w:rsid w:val="0A1335D2"/>
    <w:rsid w:val="0A133D23"/>
    <w:rsid w:val="0A4A10C2"/>
    <w:rsid w:val="0A5430F4"/>
    <w:rsid w:val="0A597E31"/>
    <w:rsid w:val="0A8119D2"/>
    <w:rsid w:val="0A836CD4"/>
    <w:rsid w:val="0A96708F"/>
    <w:rsid w:val="0A9673E0"/>
    <w:rsid w:val="0AA865E6"/>
    <w:rsid w:val="0AB34BF0"/>
    <w:rsid w:val="0ABA55CF"/>
    <w:rsid w:val="0ABB731F"/>
    <w:rsid w:val="0AE4294E"/>
    <w:rsid w:val="0AEE176F"/>
    <w:rsid w:val="0AFC1B12"/>
    <w:rsid w:val="0B0B27EE"/>
    <w:rsid w:val="0B0B7F7B"/>
    <w:rsid w:val="0B0D0E11"/>
    <w:rsid w:val="0B230FE0"/>
    <w:rsid w:val="0B2A4141"/>
    <w:rsid w:val="0B445AA4"/>
    <w:rsid w:val="0B52745A"/>
    <w:rsid w:val="0B5D32C5"/>
    <w:rsid w:val="0B695D52"/>
    <w:rsid w:val="0B6B4077"/>
    <w:rsid w:val="0B6E3B68"/>
    <w:rsid w:val="0B7725B9"/>
    <w:rsid w:val="0B7F2E6D"/>
    <w:rsid w:val="0B95199F"/>
    <w:rsid w:val="0B981D2D"/>
    <w:rsid w:val="0B9E444D"/>
    <w:rsid w:val="0BCA3B28"/>
    <w:rsid w:val="0BF767BF"/>
    <w:rsid w:val="0BF8204B"/>
    <w:rsid w:val="0C0D15D3"/>
    <w:rsid w:val="0C112E65"/>
    <w:rsid w:val="0C4603F0"/>
    <w:rsid w:val="0C4A6383"/>
    <w:rsid w:val="0C670CE3"/>
    <w:rsid w:val="0C676C2C"/>
    <w:rsid w:val="0C780D20"/>
    <w:rsid w:val="0C7E602C"/>
    <w:rsid w:val="0C9831EF"/>
    <w:rsid w:val="0CD86A7A"/>
    <w:rsid w:val="0CEF7FDC"/>
    <w:rsid w:val="0D1B1579"/>
    <w:rsid w:val="0D315065"/>
    <w:rsid w:val="0D3355BC"/>
    <w:rsid w:val="0D3845F0"/>
    <w:rsid w:val="0D3861DB"/>
    <w:rsid w:val="0D4A25DE"/>
    <w:rsid w:val="0D4E2D42"/>
    <w:rsid w:val="0D632CDA"/>
    <w:rsid w:val="0D714F12"/>
    <w:rsid w:val="0D722221"/>
    <w:rsid w:val="0D7F0130"/>
    <w:rsid w:val="0D8B6C53"/>
    <w:rsid w:val="0D8D7498"/>
    <w:rsid w:val="0D906017"/>
    <w:rsid w:val="0D9C0395"/>
    <w:rsid w:val="0D9C7B4D"/>
    <w:rsid w:val="0DA54AA0"/>
    <w:rsid w:val="0DAC679D"/>
    <w:rsid w:val="0DB079BE"/>
    <w:rsid w:val="0DD17656"/>
    <w:rsid w:val="0DD65D96"/>
    <w:rsid w:val="0DEB2C5C"/>
    <w:rsid w:val="0E06452B"/>
    <w:rsid w:val="0E081020"/>
    <w:rsid w:val="0E0A5DCA"/>
    <w:rsid w:val="0E0F2BE6"/>
    <w:rsid w:val="0E207436"/>
    <w:rsid w:val="0E26072A"/>
    <w:rsid w:val="0E395D75"/>
    <w:rsid w:val="0E512EED"/>
    <w:rsid w:val="0E526D1E"/>
    <w:rsid w:val="0E582D88"/>
    <w:rsid w:val="0E664F96"/>
    <w:rsid w:val="0E6A5FA2"/>
    <w:rsid w:val="0E6B7450"/>
    <w:rsid w:val="0E866AB9"/>
    <w:rsid w:val="0E8724B6"/>
    <w:rsid w:val="0E9C4FD3"/>
    <w:rsid w:val="0EA37FCE"/>
    <w:rsid w:val="0EAD5991"/>
    <w:rsid w:val="0EC802A1"/>
    <w:rsid w:val="0ECC5AE4"/>
    <w:rsid w:val="0EE36F7F"/>
    <w:rsid w:val="0EF75205"/>
    <w:rsid w:val="0EFB00AE"/>
    <w:rsid w:val="0EFE0B81"/>
    <w:rsid w:val="0F2661C0"/>
    <w:rsid w:val="0F5D518F"/>
    <w:rsid w:val="0F7C3604"/>
    <w:rsid w:val="0FA45553"/>
    <w:rsid w:val="0FA75CC4"/>
    <w:rsid w:val="0FB3295F"/>
    <w:rsid w:val="0FD6546C"/>
    <w:rsid w:val="0FD7617F"/>
    <w:rsid w:val="0FDC0605"/>
    <w:rsid w:val="0FDF6DE2"/>
    <w:rsid w:val="0FE16FFE"/>
    <w:rsid w:val="0FE4678E"/>
    <w:rsid w:val="0FE66481"/>
    <w:rsid w:val="0FEF48E3"/>
    <w:rsid w:val="1003044E"/>
    <w:rsid w:val="10233173"/>
    <w:rsid w:val="10394744"/>
    <w:rsid w:val="104D4104"/>
    <w:rsid w:val="105146E6"/>
    <w:rsid w:val="1070475F"/>
    <w:rsid w:val="10797237"/>
    <w:rsid w:val="108F241A"/>
    <w:rsid w:val="10A106B7"/>
    <w:rsid w:val="10AB21E4"/>
    <w:rsid w:val="10C2207C"/>
    <w:rsid w:val="10DF6582"/>
    <w:rsid w:val="10E27EE5"/>
    <w:rsid w:val="10E90976"/>
    <w:rsid w:val="10EF7E51"/>
    <w:rsid w:val="10F74656"/>
    <w:rsid w:val="11056D1C"/>
    <w:rsid w:val="110E78C0"/>
    <w:rsid w:val="111F6DBE"/>
    <w:rsid w:val="11331708"/>
    <w:rsid w:val="11416782"/>
    <w:rsid w:val="11562C68"/>
    <w:rsid w:val="116E7C31"/>
    <w:rsid w:val="11772421"/>
    <w:rsid w:val="117863EC"/>
    <w:rsid w:val="117B22D4"/>
    <w:rsid w:val="11887DFC"/>
    <w:rsid w:val="118B6E1F"/>
    <w:rsid w:val="119B3DA5"/>
    <w:rsid w:val="11C319C7"/>
    <w:rsid w:val="11CD2DC3"/>
    <w:rsid w:val="11E903EC"/>
    <w:rsid w:val="11EA488F"/>
    <w:rsid w:val="11EE7D79"/>
    <w:rsid w:val="11F27296"/>
    <w:rsid w:val="11F50B3F"/>
    <w:rsid w:val="11F70F68"/>
    <w:rsid w:val="11F93C01"/>
    <w:rsid w:val="11FA5A24"/>
    <w:rsid w:val="12087315"/>
    <w:rsid w:val="12105694"/>
    <w:rsid w:val="12111FB4"/>
    <w:rsid w:val="123E067C"/>
    <w:rsid w:val="1240234B"/>
    <w:rsid w:val="12486EC1"/>
    <w:rsid w:val="125066F1"/>
    <w:rsid w:val="12566C26"/>
    <w:rsid w:val="12577D0B"/>
    <w:rsid w:val="12640F15"/>
    <w:rsid w:val="12696E37"/>
    <w:rsid w:val="12816F75"/>
    <w:rsid w:val="12956F00"/>
    <w:rsid w:val="12995FE3"/>
    <w:rsid w:val="12A358E7"/>
    <w:rsid w:val="12A57C53"/>
    <w:rsid w:val="12B25142"/>
    <w:rsid w:val="12C913AE"/>
    <w:rsid w:val="12D06786"/>
    <w:rsid w:val="12D2261E"/>
    <w:rsid w:val="12D27F5A"/>
    <w:rsid w:val="12E0534B"/>
    <w:rsid w:val="12E8730A"/>
    <w:rsid w:val="12FB1884"/>
    <w:rsid w:val="130B7C6D"/>
    <w:rsid w:val="131E2317"/>
    <w:rsid w:val="13220EF9"/>
    <w:rsid w:val="13236516"/>
    <w:rsid w:val="134348CB"/>
    <w:rsid w:val="13563858"/>
    <w:rsid w:val="13843362"/>
    <w:rsid w:val="13BC7E80"/>
    <w:rsid w:val="13E33805"/>
    <w:rsid w:val="13E41E85"/>
    <w:rsid w:val="13EA6CE2"/>
    <w:rsid w:val="13EE3B54"/>
    <w:rsid w:val="13F01C76"/>
    <w:rsid w:val="13F072F8"/>
    <w:rsid w:val="13F2482F"/>
    <w:rsid w:val="13F67B71"/>
    <w:rsid w:val="14033A00"/>
    <w:rsid w:val="14204270"/>
    <w:rsid w:val="143E5E67"/>
    <w:rsid w:val="14666E1A"/>
    <w:rsid w:val="14726477"/>
    <w:rsid w:val="147E4E1C"/>
    <w:rsid w:val="1485785B"/>
    <w:rsid w:val="14887FA9"/>
    <w:rsid w:val="148E636D"/>
    <w:rsid w:val="14975EDD"/>
    <w:rsid w:val="14AD2D7C"/>
    <w:rsid w:val="14BB5392"/>
    <w:rsid w:val="14C927FA"/>
    <w:rsid w:val="14CA17E4"/>
    <w:rsid w:val="14D85715"/>
    <w:rsid w:val="14E45A44"/>
    <w:rsid w:val="14E767BE"/>
    <w:rsid w:val="14EE05AE"/>
    <w:rsid w:val="1507414A"/>
    <w:rsid w:val="150E5713"/>
    <w:rsid w:val="151C1F54"/>
    <w:rsid w:val="15204D3C"/>
    <w:rsid w:val="152F4368"/>
    <w:rsid w:val="15392479"/>
    <w:rsid w:val="153A124F"/>
    <w:rsid w:val="153A50FC"/>
    <w:rsid w:val="15446F56"/>
    <w:rsid w:val="15621F62"/>
    <w:rsid w:val="15681628"/>
    <w:rsid w:val="159F51A3"/>
    <w:rsid w:val="15AC3522"/>
    <w:rsid w:val="15CA3E5D"/>
    <w:rsid w:val="15E648FD"/>
    <w:rsid w:val="15E66956"/>
    <w:rsid w:val="15F6029A"/>
    <w:rsid w:val="160508F1"/>
    <w:rsid w:val="162727F5"/>
    <w:rsid w:val="162E780D"/>
    <w:rsid w:val="163044FE"/>
    <w:rsid w:val="163F7521"/>
    <w:rsid w:val="16600478"/>
    <w:rsid w:val="166F4ABD"/>
    <w:rsid w:val="16AF095C"/>
    <w:rsid w:val="16C709B8"/>
    <w:rsid w:val="16CB6312"/>
    <w:rsid w:val="16FD67BB"/>
    <w:rsid w:val="171D1B89"/>
    <w:rsid w:val="172C5FAA"/>
    <w:rsid w:val="17342E62"/>
    <w:rsid w:val="17396492"/>
    <w:rsid w:val="17525A02"/>
    <w:rsid w:val="17606A5A"/>
    <w:rsid w:val="176644A9"/>
    <w:rsid w:val="176D0594"/>
    <w:rsid w:val="17721F3F"/>
    <w:rsid w:val="177B5642"/>
    <w:rsid w:val="177C5F2F"/>
    <w:rsid w:val="178A7918"/>
    <w:rsid w:val="179A505D"/>
    <w:rsid w:val="179D1A5D"/>
    <w:rsid w:val="17A77C84"/>
    <w:rsid w:val="17A814EF"/>
    <w:rsid w:val="17B461F0"/>
    <w:rsid w:val="17BA2FE4"/>
    <w:rsid w:val="17BB4074"/>
    <w:rsid w:val="17BD693C"/>
    <w:rsid w:val="17CA47F5"/>
    <w:rsid w:val="17CE3123"/>
    <w:rsid w:val="17D230AA"/>
    <w:rsid w:val="17D47448"/>
    <w:rsid w:val="17D6015C"/>
    <w:rsid w:val="17EC074D"/>
    <w:rsid w:val="17ED64CE"/>
    <w:rsid w:val="17F11DA8"/>
    <w:rsid w:val="17F6539C"/>
    <w:rsid w:val="180B0603"/>
    <w:rsid w:val="181159C3"/>
    <w:rsid w:val="18154B68"/>
    <w:rsid w:val="18193EA3"/>
    <w:rsid w:val="1824593D"/>
    <w:rsid w:val="182A44A8"/>
    <w:rsid w:val="18385456"/>
    <w:rsid w:val="187D363C"/>
    <w:rsid w:val="189F5F15"/>
    <w:rsid w:val="18AB63FB"/>
    <w:rsid w:val="18B378E7"/>
    <w:rsid w:val="18B729DB"/>
    <w:rsid w:val="18BC3169"/>
    <w:rsid w:val="18D777A2"/>
    <w:rsid w:val="18F45F0D"/>
    <w:rsid w:val="190F655D"/>
    <w:rsid w:val="191E5442"/>
    <w:rsid w:val="192E4650"/>
    <w:rsid w:val="194D74B2"/>
    <w:rsid w:val="194F68FE"/>
    <w:rsid w:val="19654B16"/>
    <w:rsid w:val="19A60971"/>
    <w:rsid w:val="19AD4C0D"/>
    <w:rsid w:val="19C87EFC"/>
    <w:rsid w:val="19CC60C4"/>
    <w:rsid w:val="19D11E91"/>
    <w:rsid w:val="19DB2D10"/>
    <w:rsid w:val="19E80FEB"/>
    <w:rsid w:val="19E90360"/>
    <w:rsid w:val="19F52F80"/>
    <w:rsid w:val="1A002777"/>
    <w:rsid w:val="1A0116D6"/>
    <w:rsid w:val="1A037B71"/>
    <w:rsid w:val="1A1D06FC"/>
    <w:rsid w:val="1A3501B6"/>
    <w:rsid w:val="1A480F2E"/>
    <w:rsid w:val="1A4A44C0"/>
    <w:rsid w:val="1A713602"/>
    <w:rsid w:val="1A843FF2"/>
    <w:rsid w:val="1A846F04"/>
    <w:rsid w:val="1A94496E"/>
    <w:rsid w:val="1A951408"/>
    <w:rsid w:val="1A973407"/>
    <w:rsid w:val="1A9C1C7A"/>
    <w:rsid w:val="1AAA25A7"/>
    <w:rsid w:val="1ABF7F3C"/>
    <w:rsid w:val="1AE3458F"/>
    <w:rsid w:val="1AFD2812"/>
    <w:rsid w:val="1B010554"/>
    <w:rsid w:val="1B126087"/>
    <w:rsid w:val="1B240CC8"/>
    <w:rsid w:val="1B410082"/>
    <w:rsid w:val="1B471DAC"/>
    <w:rsid w:val="1B7B060F"/>
    <w:rsid w:val="1B7C1232"/>
    <w:rsid w:val="1B874DDF"/>
    <w:rsid w:val="1B880ABD"/>
    <w:rsid w:val="1B8E7054"/>
    <w:rsid w:val="1B9510AD"/>
    <w:rsid w:val="1BB25A26"/>
    <w:rsid w:val="1BCC437F"/>
    <w:rsid w:val="1BD14924"/>
    <w:rsid w:val="1BE4117B"/>
    <w:rsid w:val="1BE450D1"/>
    <w:rsid w:val="1BEA688F"/>
    <w:rsid w:val="1C1255BA"/>
    <w:rsid w:val="1C1A569C"/>
    <w:rsid w:val="1C2F7FBA"/>
    <w:rsid w:val="1C566E7F"/>
    <w:rsid w:val="1C645915"/>
    <w:rsid w:val="1C872AE9"/>
    <w:rsid w:val="1C8F1F15"/>
    <w:rsid w:val="1C93438D"/>
    <w:rsid w:val="1CAC2633"/>
    <w:rsid w:val="1CC55674"/>
    <w:rsid w:val="1D1728FD"/>
    <w:rsid w:val="1D194A3C"/>
    <w:rsid w:val="1D1A3232"/>
    <w:rsid w:val="1D2C1B8F"/>
    <w:rsid w:val="1D2F6BAA"/>
    <w:rsid w:val="1D67558A"/>
    <w:rsid w:val="1D81772B"/>
    <w:rsid w:val="1D83617F"/>
    <w:rsid w:val="1D8A2A83"/>
    <w:rsid w:val="1D92153A"/>
    <w:rsid w:val="1DA22EF9"/>
    <w:rsid w:val="1DAB521B"/>
    <w:rsid w:val="1DB55626"/>
    <w:rsid w:val="1DBA2E25"/>
    <w:rsid w:val="1DCB2DDC"/>
    <w:rsid w:val="1E111519"/>
    <w:rsid w:val="1E13514F"/>
    <w:rsid w:val="1E2724B6"/>
    <w:rsid w:val="1E3824DF"/>
    <w:rsid w:val="1E3C09E6"/>
    <w:rsid w:val="1E407150"/>
    <w:rsid w:val="1E63346A"/>
    <w:rsid w:val="1E646882"/>
    <w:rsid w:val="1E694596"/>
    <w:rsid w:val="1E99615B"/>
    <w:rsid w:val="1EBB3589"/>
    <w:rsid w:val="1EDA17E8"/>
    <w:rsid w:val="1EEC46C6"/>
    <w:rsid w:val="1F0C5399"/>
    <w:rsid w:val="1F2A2F12"/>
    <w:rsid w:val="1F3A5DE3"/>
    <w:rsid w:val="1F3F2244"/>
    <w:rsid w:val="1F671C42"/>
    <w:rsid w:val="1F6A4CBF"/>
    <w:rsid w:val="1F6E7C70"/>
    <w:rsid w:val="1F7D257E"/>
    <w:rsid w:val="1F930BDA"/>
    <w:rsid w:val="1F9A640C"/>
    <w:rsid w:val="1F9D244F"/>
    <w:rsid w:val="1F9E45C4"/>
    <w:rsid w:val="1FAC6467"/>
    <w:rsid w:val="1FB35F68"/>
    <w:rsid w:val="1FC05016"/>
    <w:rsid w:val="1FDC50EC"/>
    <w:rsid w:val="1FE4066F"/>
    <w:rsid w:val="1FF1600F"/>
    <w:rsid w:val="200735D2"/>
    <w:rsid w:val="2014250D"/>
    <w:rsid w:val="202366A3"/>
    <w:rsid w:val="2037390B"/>
    <w:rsid w:val="203A120C"/>
    <w:rsid w:val="20505F1D"/>
    <w:rsid w:val="20D10F8E"/>
    <w:rsid w:val="20E62F9D"/>
    <w:rsid w:val="20FE00C3"/>
    <w:rsid w:val="21032CCD"/>
    <w:rsid w:val="21132D81"/>
    <w:rsid w:val="21182415"/>
    <w:rsid w:val="21193090"/>
    <w:rsid w:val="211A0DC1"/>
    <w:rsid w:val="214271D1"/>
    <w:rsid w:val="217557F8"/>
    <w:rsid w:val="217E28FF"/>
    <w:rsid w:val="218550EB"/>
    <w:rsid w:val="21A143A5"/>
    <w:rsid w:val="21BE7142"/>
    <w:rsid w:val="21BF42AC"/>
    <w:rsid w:val="21E06200"/>
    <w:rsid w:val="21E309B4"/>
    <w:rsid w:val="220E6EDC"/>
    <w:rsid w:val="221164AE"/>
    <w:rsid w:val="221B4465"/>
    <w:rsid w:val="221C5C05"/>
    <w:rsid w:val="226E6BE7"/>
    <w:rsid w:val="22733A3F"/>
    <w:rsid w:val="22B76541"/>
    <w:rsid w:val="22CA49AE"/>
    <w:rsid w:val="22D10E9C"/>
    <w:rsid w:val="22DB5375"/>
    <w:rsid w:val="22E962FB"/>
    <w:rsid w:val="22F664C5"/>
    <w:rsid w:val="22F86E8B"/>
    <w:rsid w:val="232272BA"/>
    <w:rsid w:val="233602D5"/>
    <w:rsid w:val="23451799"/>
    <w:rsid w:val="23590F72"/>
    <w:rsid w:val="23627FFE"/>
    <w:rsid w:val="236760F1"/>
    <w:rsid w:val="23853004"/>
    <w:rsid w:val="238D5AD2"/>
    <w:rsid w:val="239525C7"/>
    <w:rsid w:val="239911F4"/>
    <w:rsid w:val="23C53B9B"/>
    <w:rsid w:val="23CE5813"/>
    <w:rsid w:val="23F0560A"/>
    <w:rsid w:val="243D2793"/>
    <w:rsid w:val="243D776E"/>
    <w:rsid w:val="246F478D"/>
    <w:rsid w:val="24853EEC"/>
    <w:rsid w:val="24896C94"/>
    <w:rsid w:val="24916F0A"/>
    <w:rsid w:val="24C22B02"/>
    <w:rsid w:val="24D066F4"/>
    <w:rsid w:val="24D25416"/>
    <w:rsid w:val="24E0567E"/>
    <w:rsid w:val="24F44E2B"/>
    <w:rsid w:val="25082129"/>
    <w:rsid w:val="250C4666"/>
    <w:rsid w:val="25260E84"/>
    <w:rsid w:val="254E25E8"/>
    <w:rsid w:val="255807BE"/>
    <w:rsid w:val="259665F1"/>
    <w:rsid w:val="25A17491"/>
    <w:rsid w:val="25B61C38"/>
    <w:rsid w:val="25C83D3C"/>
    <w:rsid w:val="25E10627"/>
    <w:rsid w:val="25E96146"/>
    <w:rsid w:val="25F064C2"/>
    <w:rsid w:val="25F36382"/>
    <w:rsid w:val="263A51B2"/>
    <w:rsid w:val="263A6436"/>
    <w:rsid w:val="2669197A"/>
    <w:rsid w:val="266E2ADC"/>
    <w:rsid w:val="26796334"/>
    <w:rsid w:val="26860C87"/>
    <w:rsid w:val="26A727C1"/>
    <w:rsid w:val="26BE3C2F"/>
    <w:rsid w:val="26EF4803"/>
    <w:rsid w:val="2705209A"/>
    <w:rsid w:val="271251B0"/>
    <w:rsid w:val="27387ECE"/>
    <w:rsid w:val="273B4CED"/>
    <w:rsid w:val="274742E6"/>
    <w:rsid w:val="274C20C9"/>
    <w:rsid w:val="27506C7C"/>
    <w:rsid w:val="27507661"/>
    <w:rsid w:val="2772576F"/>
    <w:rsid w:val="27743E5C"/>
    <w:rsid w:val="27800101"/>
    <w:rsid w:val="27A24E6D"/>
    <w:rsid w:val="27DC212D"/>
    <w:rsid w:val="280E2734"/>
    <w:rsid w:val="281318C7"/>
    <w:rsid w:val="28197B2B"/>
    <w:rsid w:val="282D0BDB"/>
    <w:rsid w:val="28302DCC"/>
    <w:rsid w:val="283335EB"/>
    <w:rsid w:val="284809BF"/>
    <w:rsid w:val="284A6641"/>
    <w:rsid w:val="28737367"/>
    <w:rsid w:val="287677CE"/>
    <w:rsid w:val="28885860"/>
    <w:rsid w:val="289B1615"/>
    <w:rsid w:val="289D7ECA"/>
    <w:rsid w:val="28CA0A01"/>
    <w:rsid w:val="28D9041B"/>
    <w:rsid w:val="28FE34F5"/>
    <w:rsid w:val="29033CC3"/>
    <w:rsid w:val="291424E7"/>
    <w:rsid w:val="292C2022"/>
    <w:rsid w:val="29365B62"/>
    <w:rsid w:val="295126A7"/>
    <w:rsid w:val="2960486A"/>
    <w:rsid w:val="29713E75"/>
    <w:rsid w:val="29775548"/>
    <w:rsid w:val="297C1F47"/>
    <w:rsid w:val="29847FAB"/>
    <w:rsid w:val="29A34676"/>
    <w:rsid w:val="29D23EC9"/>
    <w:rsid w:val="29D97F89"/>
    <w:rsid w:val="29F11AD6"/>
    <w:rsid w:val="29F20C12"/>
    <w:rsid w:val="2A2A0EF2"/>
    <w:rsid w:val="2A3E2A03"/>
    <w:rsid w:val="2A4C68E4"/>
    <w:rsid w:val="2A6F437C"/>
    <w:rsid w:val="2A780D99"/>
    <w:rsid w:val="2A8F792B"/>
    <w:rsid w:val="2AA36F32"/>
    <w:rsid w:val="2AAE617F"/>
    <w:rsid w:val="2AAE7227"/>
    <w:rsid w:val="2AC31382"/>
    <w:rsid w:val="2ACA05DD"/>
    <w:rsid w:val="2AE06EEB"/>
    <w:rsid w:val="2B2141F3"/>
    <w:rsid w:val="2B400E24"/>
    <w:rsid w:val="2B4017F0"/>
    <w:rsid w:val="2B481888"/>
    <w:rsid w:val="2B626DED"/>
    <w:rsid w:val="2B630ECA"/>
    <w:rsid w:val="2B724D2B"/>
    <w:rsid w:val="2B852F00"/>
    <w:rsid w:val="2B8A7322"/>
    <w:rsid w:val="2B93404B"/>
    <w:rsid w:val="2B984C5D"/>
    <w:rsid w:val="2BB60EE7"/>
    <w:rsid w:val="2BD54325"/>
    <w:rsid w:val="2BDA0AF8"/>
    <w:rsid w:val="2BE64AC4"/>
    <w:rsid w:val="2BF87197"/>
    <w:rsid w:val="2C191ABD"/>
    <w:rsid w:val="2C224286"/>
    <w:rsid w:val="2C23343F"/>
    <w:rsid w:val="2C2B5641"/>
    <w:rsid w:val="2C3F0EDD"/>
    <w:rsid w:val="2C4709BC"/>
    <w:rsid w:val="2C5527AA"/>
    <w:rsid w:val="2C5A2C1A"/>
    <w:rsid w:val="2C6E43EB"/>
    <w:rsid w:val="2C80491C"/>
    <w:rsid w:val="2C8C76B9"/>
    <w:rsid w:val="2C945351"/>
    <w:rsid w:val="2CB94B05"/>
    <w:rsid w:val="2CBA3B02"/>
    <w:rsid w:val="2CBE7830"/>
    <w:rsid w:val="2CD04642"/>
    <w:rsid w:val="2CD5041E"/>
    <w:rsid w:val="2CD81B4E"/>
    <w:rsid w:val="2CDD14B1"/>
    <w:rsid w:val="2CFF54C5"/>
    <w:rsid w:val="2D014E9C"/>
    <w:rsid w:val="2D1D4950"/>
    <w:rsid w:val="2D29208E"/>
    <w:rsid w:val="2D34174C"/>
    <w:rsid w:val="2D6D4BBA"/>
    <w:rsid w:val="2D6E50EF"/>
    <w:rsid w:val="2D776A51"/>
    <w:rsid w:val="2D850563"/>
    <w:rsid w:val="2D880C80"/>
    <w:rsid w:val="2D8E1AAC"/>
    <w:rsid w:val="2DAF5BEE"/>
    <w:rsid w:val="2DBA5967"/>
    <w:rsid w:val="2DC61491"/>
    <w:rsid w:val="2DD507B4"/>
    <w:rsid w:val="2DFD62FC"/>
    <w:rsid w:val="2E063586"/>
    <w:rsid w:val="2E084305"/>
    <w:rsid w:val="2E1005B5"/>
    <w:rsid w:val="2E2340FD"/>
    <w:rsid w:val="2E564549"/>
    <w:rsid w:val="2E5D1AEE"/>
    <w:rsid w:val="2E8E2278"/>
    <w:rsid w:val="2E950F53"/>
    <w:rsid w:val="2E990DFE"/>
    <w:rsid w:val="2E9F1D84"/>
    <w:rsid w:val="2EBA3CF2"/>
    <w:rsid w:val="2ED765CF"/>
    <w:rsid w:val="2EDD678B"/>
    <w:rsid w:val="2EF8761A"/>
    <w:rsid w:val="2EF91817"/>
    <w:rsid w:val="2F044E47"/>
    <w:rsid w:val="2F0841D8"/>
    <w:rsid w:val="2F1839D2"/>
    <w:rsid w:val="2F1B6A9B"/>
    <w:rsid w:val="2F256FAB"/>
    <w:rsid w:val="2F266AD4"/>
    <w:rsid w:val="2F2C51E2"/>
    <w:rsid w:val="2F4158D4"/>
    <w:rsid w:val="2F54140C"/>
    <w:rsid w:val="2F6E3597"/>
    <w:rsid w:val="2F7663A1"/>
    <w:rsid w:val="2F7E7F6E"/>
    <w:rsid w:val="2F8F1814"/>
    <w:rsid w:val="2F9A45C0"/>
    <w:rsid w:val="2F9E0CD7"/>
    <w:rsid w:val="2F9E7071"/>
    <w:rsid w:val="2FBF303C"/>
    <w:rsid w:val="2FC37EBB"/>
    <w:rsid w:val="2FC95464"/>
    <w:rsid w:val="2FCE437D"/>
    <w:rsid w:val="2FCF4325"/>
    <w:rsid w:val="2FE50217"/>
    <w:rsid w:val="300613AC"/>
    <w:rsid w:val="303A71EB"/>
    <w:rsid w:val="30583D15"/>
    <w:rsid w:val="30880286"/>
    <w:rsid w:val="308C03BE"/>
    <w:rsid w:val="308F0208"/>
    <w:rsid w:val="309E3961"/>
    <w:rsid w:val="30AB4D93"/>
    <w:rsid w:val="30AD536E"/>
    <w:rsid w:val="30B1516E"/>
    <w:rsid w:val="30B32AE0"/>
    <w:rsid w:val="30C5467A"/>
    <w:rsid w:val="30E967E9"/>
    <w:rsid w:val="30EB71B9"/>
    <w:rsid w:val="30F20AA2"/>
    <w:rsid w:val="30F62493"/>
    <w:rsid w:val="30FA6E42"/>
    <w:rsid w:val="310D73B8"/>
    <w:rsid w:val="312665EC"/>
    <w:rsid w:val="31327262"/>
    <w:rsid w:val="313C3DC8"/>
    <w:rsid w:val="315B0F51"/>
    <w:rsid w:val="318134E4"/>
    <w:rsid w:val="318F2497"/>
    <w:rsid w:val="31A84774"/>
    <w:rsid w:val="31AB2B70"/>
    <w:rsid w:val="31DA1C13"/>
    <w:rsid w:val="31DB5D80"/>
    <w:rsid w:val="31FC421B"/>
    <w:rsid w:val="32057083"/>
    <w:rsid w:val="3213080E"/>
    <w:rsid w:val="32152054"/>
    <w:rsid w:val="322149AD"/>
    <w:rsid w:val="32340DB8"/>
    <w:rsid w:val="323D0073"/>
    <w:rsid w:val="32447804"/>
    <w:rsid w:val="32447FAB"/>
    <w:rsid w:val="32955D6D"/>
    <w:rsid w:val="32D03654"/>
    <w:rsid w:val="32E734BD"/>
    <w:rsid w:val="330B5DCD"/>
    <w:rsid w:val="331619B6"/>
    <w:rsid w:val="331C169D"/>
    <w:rsid w:val="33305798"/>
    <w:rsid w:val="33437504"/>
    <w:rsid w:val="334650F7"/>
    <w:rsid w:val="334749B2"/>
    <w:rsid w:val="33476239"/>
    <w:rsid w:val="335D7207"/>
    <w:rsid w:val="33715EA2"/>
    <w:rsid w:val="33763113"/>
    <w:rsid w:val="338D3D76"/>
    <w:rsid w:val="33945E17"/>
    <w:rsid w:val="33A35954"/>
    <w:rsid w:val="33A44179"/>
    <w:rsid w:val="33A617E5"/>
    <w:rsid w:val="33C2044F"/>
    <w:rsid w:val="33C353A8"/>
    <w:rsid w:val="33D703E6"/>
    <w:rsid w:val="33E678F5"/>
    <w:rsid w:val="33EC5E3B"/>
    <w:rsid w:val="33FB0BD5"/>
    <w:rsid w:val="34075D3B"/>
    <w:rsid w:val="34095066"/>
    <w:rsid w:val="340F0FE7"/>
    <w:rsid w:val="34126ED7"/>
    <w:rsid w:val="34187349"/>
    <w:rsid w:val="34390907"/>
    <w:rsid w:val="343D5452"/>
    <w:rsid w:val="34466788"/>
    <w:rsid w:val="34536010"/>
    <w:rsid w:val="345548CD"/>
    <w:rsid w:val="3455528E"/>
    <w:rsid w:val="34596114"/>
    <w:rsid w:val="34654DCE"/>
    <w:rsid w:val="346C0B2D"/>
    <w:rsid w:val="347F4F9A"/>
    <w:rsid w:val="34977081"/>
    <w:rsid w:val="34991D52"/>
    <w:rsid w:val="349F46B2"/>
    <w:rsid w:val="34AA6BE2"/>
    <w:rsid w:val="34AC10D9"/>
    <w:rsid w:val="34B46C04"/>
    <w:rsid w:val="34B54432"/>
    <w:rsid w:val="34C277D6"/>
    <w:rsid w:val="34D04C8D"/>
    <w:rsid w:val="34D52B35"/>
    <w:rsid w:val="34DE18CD"/>
    <w:rsid w:val="34EB6CAD"/>
    <w:rsid w:val="34F05230"/>
    <w:rsid w:val="3503664C"/>
    <w:rsid w:val="351A4295"/>
    <w:rsid w:val="351D77C7"/>
    <w:rsid w:val="35201994"/>
    <w:rsid w:val="353070C0"/>
    <w:rsid w:val="35521215"/>
    <w:rsid w:val="356C2617"/>
    <w:rsid w:val="356D3247"/>
    <w:rsid w:val="357933DF"/>
    <w:rsid w:val="35795180"/>
    <w:rsid w:val="357D0A77"/>
    <w:rsid w:val="35865E55"/>
    <w:rsid w:val="35B5453E"/>
    <w:rsid w:val="35C80195"/>
    <w:rsid w:val="35DA3DBB"/>
    <w:rsid w:val="35DE33A5"/>
    <w:rsid w:val="35F71F38"/>
    <w:rsid w:val="35FC49DF"/>
    <w:rsid w:val="36015455"/>
    <w:rsid w:val="36185799"/>
    <w:rsid w:val="361C403D"/>
    <w:rsid w:val="362056B3"/>
    <w:rsid w:val="36251081"/>
    <w:rsid w:val="363941FA"/>
    <w:rsid w:val="364056B9"/>
    <w:rsid w:val="365B4EC1"/>
    <w:rsid w:val="36632183"/>
    <w:rsid w:val="366D18D2"/>
    <w:rsid w:val="36713AEF"/>
    <w:rsid w:val="36953492"/>
    <w:rsid w:val="36AD3888"/>
    <w:rsid w:val="36B534BA"/>
    <w:rsid w:val="36BD6921"/>
    <w:rsid w:val="36FA43BB"/>
    <w:rsid w:val="3747333B"/>
    <w:rsid w:val="374B3DF8"/>
    <w:rsid w:val="374C02A4"/>
    <w:rsid w:val="3773335A"/>
    <w:rsid w:val="37734130"/>
    <w:rsid w:val="37B0304C"/>
    <w:rsid w:val="37CB6C6D"/>
    <w:rsid w:val="37D05F77"/>
    <w:rsid w:val="37D567DB"/>
    <w:rsid w:val="37E042AB"/>
    <w:rsid w:val="37E72864"/>
    <w:rsid w:val="37ED056A"/>
    <w:rsid w:val="37F272A2"/>
    <w:rsid w:val="37FA18DB"/>
    <w:rsid w:val="380509B1"/>
    <w:rsid w:val="380E14F1"/>
    <w:rsid w:val="380F27AE"/>
    <w:rsid w:val="383529C2"/>
    <w:rsid w:val="384318BF"/>
    <w:rsid w:val="38437432"/>
    <w:rsid w:val="384A0F47"/>
    <w:rsid w:val="384E17E2"/>
    <w:rsid w:val="38514471"/>
    <w:rsid w:val="385B0E4C"/>
    <w:rsid w:val="38B37CD8"/>
    <w:rsid w:val="38B44A00"/>
    <w:rsid w:val="38C0591E"/>
    <w:rsid w:val="38C759D7"/>
    <w:rsid w:val="38DA30FA"/>
    <w:rsid w:val="38EA3139"/>
    <w:rsid w:val="38EA5738"/>
    <w:rsid w:val="38EA5B3F"/>
    <w:rsid w:val="391046F8"/>
    <w:rsid w:val="391262F7"/>
    <w:rsid w:val="391C0ED0"/>
    <w:rsid w:val="392C259C"/>
    <w:rsid w:val="39322FCA"/>
    <w:rsid w:val="39440A0C"/>
    <w:rsid w:val="396E4BAF"/>
    <w:rsid w:val="398975A1"/>
    <w:rsid w:val="39934616"/>
    <w:rsid w:val="39C921EB"/>
    <w:rsid w:val="39DC0253"/>
    <w:rsid w:val="39F3505C"/>
    <w:rsid w:val="3A073743"/>
    <w:rsid w:val="3A0963F5"/>
    <w:rsid w:val="3A171747"/>
    <w:rsid w:val="3A3C0A84"/>
    <w:rsid w:val="3A471DF7"/>
    <w:rsid w:val="3A5A7D4D"/>
    <w:rsid w:val="3ADA33E5"/>
    <w:rsid w:val="3ADF24CE"/>
    <w:rsid w:val="3AE02C12"/>
    <w:rsid w:val="3B072F57"/>
    <w:rsid w:val="3B0956A0"/>
    <w:rsid w:val="3B0B3AC0"/>
    <w:rsid w:val="3B0C28D2"/>
    <w:rsid w:val="3B1F14F0"/>
    <w:rsid w:val="3B3174AA"/>
    <w:rsid w:val="3B4173D7"/>
    <w:rsid w:val="3B600080"/>
    <w:rsid w:val="3B8373F1"/>
    <w:rsid w:val="3B850752"/>
    <w:rsid w:val="3B8A1F54"/>
    <w:rsid w:val="3B8B5530"/>
    <w:rsid w:val="3B8C5043"/>
    <w:rsid w:val="3BA56ABF"/>
    <w:rsid w:val="3BA7417F"/>
    <w:rsid w:val="3BC00E47"/>
    <w:rsid w:val="3BC91EF4"/>
    <w:rsid w:val="3BCA7DFE"/>
    <w:rsid w:val="3BD01AEF"/>
    <w:rsid w:val="3BDF6B15"/>
    <w:rsid w:val="3BF839C6"/>
    <w:rsid w:val="3C0B75F0"/>
    <w:rsid w:val="3C122955"/>
    <w:rsid w:val="3C227018"/>
    <w:rsid w:val="3C24701C"/>
    <w:rsid w:val="3C2A3192"/>
    <w:rsid w:val="3C3D3300"/>
    <w:rsid w:val="3C5E0018"/>
    <w:rsid w:val="3C6A1695"/>
    <w:rsid w:val="3CAE6066"/>
    <w:rsid w:val="3CB04BF1"/>
    <w:rsid w:val="3CC03E16"/>
    <w:rsid w:val="3CCA2756"/>
    <w:rsid w:val="3CCF2932"/>
    <w:rsid w:val="3CE141F4"/>
    <w:rsid w:val="3CED228F"/>
    <w:rsid w:val="3CF87E23"/>
    <w:rsid w:val="3CFF6ADE"/>
    <w:rsid w:val="3D2347A7"/>
    <w:rsid w:val="3D26058E"/>
    <w:rsid w:val="3D2E2FD3"/>
    <w:rsid w:val="3D3111B1"/>
    <w:rsid w:val="3D330973"/>
    <w:rsid w:val="3D483969"/>
    <w:rsid w:val="3D7D5652"/>
    <w:rsid w:val="3D803103"/>
    <w:rsid w:val="3DA44C7C"/>
    <w:rsid w:val="3DB77E75"/>
    <w:rsid w:val="3DBB57DA"/>
    <w:rsid w:val="3DC7000C"/>
    <w:rsid w:val="3DD22267"/>
    <w:rsid w:val="3DDA69D2"/>
    <w:rsid w:val="3DEE214B"/>
    <w:rsid w:val="3DFD6502"/>
    <w:rsid w:val="3E235CFC"/>
    <w:rsid w:val="3E263CA9"/>
    <w:rsid w:val="3E2C6003"/>
    <w:rsid w:val="3E402FFD"/>
    <w:rsid w:val="3E5757DB"/>
    <w:rsid w:val="3E5909C3"/>
    <w:rsid w:val="3E595E2E"/>
    <w:rsid w:val="3E834ACA"/>
    <w:rsid w:val="3E911C55"/>
    <w:rsid w:val="3E9277BD"/>
    <w:rsid w:val="3E9F05BC"/>
    <w:rsid w:val="3EA2621B"/>
    <w:rsid w:val="3EBE7DCE"/>
    <w:rsid w:val="3EC30088"/>
    <w:rsid w:val="3ED214CB"/>
    <w:rsid w:val="3EDA0B38"/>
    <w:rsid w:val="3EDD407B"/>
    <w:rsid w:val="3EFD6405"/>
    <w:rsid w:val="3F05583C"/>
    <w:rsid w:val="3F4B129A"/>
    <w:rsid w:val="3F680747"/>
    <w:rsid w:val="3F684592"/>
    <w:rsid w:val="3F6D4923"/>
    <w:rsid w:val="3FA74C21"/>
    <w:rsid w:val="3FBD063E"/>
    <w:rsid w:val="3FF621E0"/>
    <w:rsid w:val="3FF676AC"/>
    <w:rsid w:val="3FFF4096"/>
    <w:rsid w:val="4000143B"/>
    <w:rsid w:val="40060F48"/>
    <w:rsid w:val="400D7789"/>
    <w:rsid w:val="401573D6"/>
    <w:rsid w:val="4046701D"/>
    <w:rsid w:val="405F16F6"/>
    <w:rsid w:val="40644F5E"/>
    <w:rsid w:val="406E1939"/>
    <w:rsid w:val="407B00AC"/>
    <w:rsid w:val="408A152D"/>
    <w:rsid w:val="40B91C63"/>
    <w:rsid w:val="40C559FD"/>
    <w:rsid w:val="40D45C40"/>
    <w:rsid w:val="40F32F04"/>
    <w:rsid w:val="411010F1"/>
    <w:rsid w:val="41160006"/>
    <w:rsid w:val="411A7EE5"/>
    <w:rsid w:val="41273581"/>
    <w:rsid w:val="41297BBD"/>
    <w:rsid w:val="414903F5"/>
    <w:rsid w:val="415745C1"/>
    <w:rsid w:val="415E3BC8"/>
    <w:rsid w:val="416A3877"/>
    <w:rsid w:val="416B6D48"/>
    <w:rsid w:val="4185788C"/>
    <w:rsid w:val="41880A61"/>
    <w:rsid w:val="4190732F"/>
    <w:rsid w:val="41AF3FB7"/>
    <w:rsid w:val="41C104C0"/>
    <w:rsid w:val="41CC419D"/>
    <w:rsid w:val="41CF1BD3"/>
    <w:rsid w:val="41D31B76"/>
    <w:rsid w:val="41DE545E"/>
    <w:rsid w:val="41E45423"/>
    <w:rsid w:val="41E719A3"/>
    <w:rsid w:val="41EE137B"/>
    <w:rsid w:val="4201422E"/>
    <w:rsid w:val="420818BB"/>
    <w:rsid w:val="420E2E52"/>
    <w:rsid w:val="421309EA"/>
    <w:rsid w:val="422163F3"/>
    <w:rsid w:val="42435874"/>
    <w:rsid w:val="42576B28"/>
    <w:rsid w:val="42625E67"/>
    <w:rsid w:val="42654E02"/>
    <w:rsid w:val="42795842"/>
    <w:rsid w:val="427E7A16"/>
    <w:rsid w:val="428C304A"/>
    <w:rsid w:val="428D2F47"/>
    <w:rsid w:val="42A27568"/>
    <w:rsid w:val="42B5439E"/>
    <w:rsid w:val="42BA421D"/>
    <w:rsid w:val="42BC3D43"/>
    <w:rsid w:val="42C3602D"/>
    <w:rsid w:val="42C71EFC"/>
    <w:rsid w:val="42CB6BCE"/>
    <w:rsid w:val="42CF486D"/>
    <w:rsid w:val="42F5672C"/>
    <w:rsid w:val="43110BDE"/>
    <w:rsid w:val="4360551D"/>
    <w:rsid w:val="43612E14"/>
    <w:rsid w:val="4370475F"/>
    <w:rsid w:val="437F15DF"/>
    <w:rsid w:val="438165BF"/>
    <w:rsid w:val="43942D33"/>
    <w:rsid w:val="43C1301D"/>
    <w:rsid w:val="43C836B3"/>
    <w:rsid w:val="43CD2D94"/>
    <w:rsid w:val="43D426ED"/>
    <w:rsid w:val="43F52B36"/>
    <w:rsid w:val="43F57DB1"/>
    <w:rsid w:val="43FE5290"/>
    <w:rsid w:val="44057DA2"/>
    <w:rsid w:val="4417407E"/>
    <w:rsid w:val="44222F93"/>
    <w:rsid w:val="442339D8"/>
    <w:rsid w:val="443577F9"/>
    <w:rsid w:val="443A0B5B"/>
    <w:rsid w:val="44424474"/>
    <w:rsid w:val="445F7F16"/>
    <w:rsid w:val="446612A5"/>
    <w:rsid w:val="44664712"/>
    <w:rsid w:val="44914732"/>
    <w:rsid w:val="44A15DD5"/>
    <w:rsid w:val="44B809E3"/>
    <w:rsid w:val="44BB0DF1"/>
    <w:rsid w:val="44BD2657"/>
    <w:rsid w:val="44BD4161"/>
    <w:rsid w:val="44DD65CB"/>
    <w:rsid w:val="44F425D5"/>
    <w:rsid w:val="44FA5EB5"/>
    <w:rsid w:val="4508437C"/>
    <w:rsid w:val="451040D7"/>
    <w:rsid w:val="45130EE2"/>
    <w:rsid w:val="45424B74"/>
    <w:rsid w:val="454347B2"/>
    <w:rsid w:val="4546631C"/>
    <w:rsid w:val="45511E73"/>
    <w:rsid w:val="455362C8"/>
    <w:rsid w:val="45675A2E"/>
    <w:rsid w:val="45811DC5"/>
    <w:rsid w:val="458614D2"/>
    <w:rsid w:val="459736A0"/>
    <w:rsid w:val="45AB487F"/>
    <w:rsid w:val="45B63FAA"/>
    <w:rsid w:val="45BE336B"/>
    <w:rsid w:val="45DB06B1"/>
    <w:rsid w:val="45DD349D"/>
    <w:rsid w:val="45E5016B"/>
    <w:rsid w:val="45F25DBF"/>
    <w:rsid w:val="460551AF"/>
    <w:rsid w:val="46213426"/>
    <w:rsid w:val="46426EB5"/>
    <w:rsid w:val="464934AB"/>
    <w:rsid w:val="46496788"/>
    <w:rsid w:val="464A0752"/>
    <w:rsid w:val="464C2B20"/>
    <w:rsid w:val="46672C05"/>
    <w:rsid w:val="466B30DF"/>
    <w:rsid w:val="468C0D6B"/>
    <w:rsid w:val="46965169"/>
    <w:rsid w:val="469F260E"/>
    <w:rsid w:val="46A55033"/>
    <w:rsid w:val="46AE79AC"/>
    <w:rsid w:val="46D30316"/>
    <w:rsid w:val="46D52EB1"/>
    <w:rsid w:val="46DE5A70"/>
    <w:rsid w:val="46E7421B"/>
    <w:rsid w:val="46EA4016"/>
    <w:rsid w:val="46EC63A6"/>
    <w:rsid w:val="471841B2"/>
    <w:rsid w:val="47444186"/>
    <w:rsid w:val="474448C2"/>
    <w:rsid w:val="474D22A8"/>
    <w:rsid w:val="474E3196"/>
    <w:rsid w:val="47555600"/>
    <w:rsid w:val="4760647F"/>
    <w:rsid w:val="47752C98"/>
    <w:rsid w:val="478701CB"/>
    <w:rsid w:val="478C48B5"/>
    <w:rsid w:val="478C58BF"/>
    <w:rsid w:val="47AF006B"/>
    <w:rsid w:val="47EA32EC"/>
    <w:rsid w:val="47F1026D"/>
    <w:rsid w:val="47F24743"/>
    <w:rsid w:val="480B2BB3"/>
    <w:rsid w:val="480F0117"/>
    <w:rsid w:val="4821399F"/>
    <w:rsid w:val="48230099"/>
    <w:rsid w:val="482678CE"/>
    <w:rsid w:val="48725E56"/>
    <w:rsid w:val="48800083"/>
    <w:rsid w:val="488A0945"/>
    <w:rsid w:val="488C6E00"/>
    <w:rsid w:val="48970ECC"/>
    <w:rsid w:val="48D32C81"/>
    <w:rsid w:val="48D500FF"/>
    <w:rsid w:val="48DA19FF"/>
    <w:rsid w:val="48E44500"/>
    <w:rsid w:val="48EA4D3A"/>
    <w:rsid w:val="48F826E7"/>
    <w:rsid w:val="48F86243"/>
    <w:rsid w:val="49281D4D"/>
    <w:rsid w:val="494016E5"/>
    <w:rsid w:val="495D3FEB"/>
    <w:rsid w:val="4968138F"/>
    <w:rsid w:val="49917605"/>
    <w:rsid w:val="499E5488"/>
    <w:rsid w:val="49B114A2"/>
    <w:rsid w:val="49B81D04"/>
    <w:rsid w:val="49BB1116"/>
    <w:rsid w:val="49C01E0E"/>
    <w:rsid w:val="49D22FA3"/>
    <w:rsid w:val="49D36A23"/>
    <w:rsid w:val="49D7054F"/>
    <w:rsid w:val="49DA6B77"/>
    <w:rsid w:val="49E72AF4"/>
    <w:rsid w:val="49EF513B"/>
    <w:rsid w:val="49FA694B"/>
    <w:rsid w:val="4A0008D3"/>
    <w:rsid w:val="4A0F001D"/>
    <w:rsid w:val="4A240FC6"/>
    <w:rsid w:val="4A3A10D8"/>
    <w:rsid w:val="4A600BB3"/>
    <w:rsid w:val="4A6A6375"/>
    <w:rsid w:val="4A7A44B4"/>
    <w:rsid w:val="4A894D04"/>
    <w:rsid w:val="4A9772B7"/>
    <w:rsid w:val="4AAD51C5"/>
    <w:rsid w:val="4AE14F08"/>
    <w:rsid w:val="4AE26D2B"/>
    <w:rsid w:val="4B1F3F5B"/>
    <w:rsid w:val="4B2477C4"/>
    <w:rsid w:val="4B505009"/>
    <w:rsid w:val="4B667DDC"/>
    <w:rsid w:val="4B7B2785"/>
    <w:rsid w:val="4B7C5F6F"/>
    <w:rsid w:val="4B895DE5"/>
    <w:rsid w:val="4BC54FC5"/>
    <w:rsid w:val="4BCF4C4D"/>
    <w:rsid w:val="4BD054FB"/>
    <w:rsid w:val="4BEC2CB5"/>
    <w:rsid w:val="4BEE649C"/>
    <w:rsid w:val="4BF33FCC"/>
    <w:rsid w:val="4C0447BE"/>
    <w:rsid w:val="4C1F71E9"/>
    <w:rsid w:val="4C287BEE"/>
    <w:rsid w:val="4C316C39"/>
    <w:rsid w:val="4C34645F"/>
    <w:rsid w:val="4C3B3017"/>
    <w:rsid w:val="4C4B43D8"/>
    <w:rsid w:val="4C62508C"/>
    <w:rsid w:val="4C6342BA"/>
    <w:rsid w:val="4C7402D7"/>
    <w:rsid w:val="4C8F2256"/>
    <w:rsid w:val="4C946A98"/>
    <w:rsid w:val="4CB15046"/>
    <w:rsid w:val="4CB2210F"/>
    <w:rsid w:val="4CBC654B"/>
    <w:rsid w:val="4CC01013"/>
    <w:rsid w:val="4CD001D9"/>
    <w:rsid w:val="4CDA2830"/>
    <w:rsid w:val="4CDD0A1D"/>
    <w:rsid w:val="4CE356B2"/>
    <w:rsid w:val="4CEF1313"/>
    <w:rsid w:val="4D1809C6"/>
    <w:rsid w:val="4D2704DF"/>
    <w:rsid w:val="4D3B1A90"/>
    <w:rsid w:val="4D3F2782"/>
    <w:rsid w:val="4D715556"/>
    <w:rsid w:val="4D777D3D"/>
    <w:rsid w:val="4D782049"/>
    <w:rsid w:val="4D9825AC"/>
    <w:rsid w:val="4D9A3C16"/>
    <w:rsid w:val="4DA949B4"/>
    <w:rsid w:val="4DB43081"/>
    <w:rsid w:val="4DC127A3"/>
    <w:rsid w:val="4DD640E5"/>
    <w:rsid w:val="4DE67BB4"/>
    <w:rsid w:val="4E002804"/>
    <w:rsid w:val="4E0935FF"/>
    <w:rsid w:val="4E1F040F"/>
    <w:rsid w:val="4E28777B"/>
    <w:rsid w:val="4E38388D"/>
    <w:rsid w:val="4E3E4289"/>
    <w:rsid w:val="4E611590"/>
    <w:rsid w:val="4E67116D"/>
    <w:rsid w:val="4E726A98"/>
    <w:rsid w:val="4E775E3E"/>
    <w:rsid w:val="4E7B3B9E"/>
    <w:rsid w:val="4E82692B"/>
    <w:rsid w:val="4E920DFE"/>
    <w:rsid w:val="4EB54D22"/>
    <w:rsid w:val="4EC931BF"/>
    <w:rsid w:val="4F0B34CB"/>
    <w:rsid w:val="4F247D92"/>
    <w:rsid w:val="4F2558B8"/>
    <w:rsid w:val="4F4C46BC"/>
    <w:rsid w:val="4F653DDC"/>
    <w:rsid w:val="4F687D93"/>
    <w:rsid w:val="4F8F4771"/>
    <w:rsid w:val="4FB21777"/>
    <w:rsid w:val="4FC22339"/>
    <w:rsid w:val="4FD9009F"/>
    <w:rsid w:val="4FD941A3"/>
    <w:rsid w:val="4FE23887"/>
    <w:rsid w:val="4FF85861"/>
    <w:rsid w:val="4FFD05E3"/>
    <w:rsid w:val="50001EC9"/>
    <w:rsid w:val="502E0371"/>
    <w:rsid w:val="503234FC"/>
    <w:rsid w:val="504B57F2"/>
    <w:rsid w:val="507D00A6"/>
    <w:rsid w:val="507D1AEF"/>
    <w:rsid w:val="507E3927"/>
    <w:rsid w:val="50886689"/>
    <w:rsid w:val="508B2998"/>
    <w:rsid w:val="509E7C1B"/>
    <w:rsid w:val="50A90886"/>
    <w:rsid w:val="50B51BC8"/>
    <w:rsid w:val="50BB21A6"/>
    <w:rsid w:val="50BB45D6"/>
    <w:rsid w:val="50C60F8D"/>
    <w:rsid w:val="50C75275"/>
    <w:rsid w:val="50EE7E66"/>
    <w:rsid w:val="51005EF2"/>
    <w:rsid w:val="51021B9A"/>
    <w:rsid w:val="51172EEC"/>
    <w:rsid w:val="511B7645"/>
    <w:rsid w:val="51330760"/>
    <w:rsid w:val="51357380"/>
    <w:rsid w:val="51384054"/>
    <w:rsid w:val="51480CBE"/>
    <w:rsid w:val="514B0751"/>
    <w:rsid w:val="514B2F77"/>
    <w:rsid w:val="514E36B9"/>
    <w:rsid w:val="51503A8C"/>
    <w:rsid w:val="51825D09"/>
    <w:rsid w:val="51877736"/>
    <w:rsid w:val="518A3814"/>
    <w:rsid w:val="51B01DB1"/>
    <w:rsid w:val="51DD247A"/>
    <w:rsid w:val="51E813D2"/>
    <w:rsid w:val="51EC53F1"/>
    <w:rsid w:val="52247655"/>
    <w:rsid w:val="522478C8"/>
    <w:rsid w:val="52257019"/>
    <w:rsid w:val="523D7D8D"/>
    <w:rsid w:val="52AB2159"/>
    <w:rsid w:val="52B11E33"/>
    <w:rsid w:val="52B355FD"/>
    <w:rsid w:val="52C35B40"/>
    <w:rsid w:val="52C424A4"/>
    <w:rsid w:val="532C20E8"/>
    <w:rsid w:val="53370692"/>
    <w:rsid w:val="533A1B2F"/>
    <w:rsid w:val="533E33EC"/>
    <w:rsid w:val="53583F3D"/>
    <w:rsid w:val="536D2A53"/>
    <w:rsid w:val="5372612D"/>
    <w:rsid w:val="538B2EB6"/>
    <w:rsid w:val="539128D9"/>
    <w:rsid w:val="53981ED4"/>
    <w:rsid w:val="53A01EBB"/>
    <w:rsid w:val="53A635BA"/>
    <w:rsid w:val="53DB3147"/>
    <w:rsid w:val="53E15DBF"/>
    <w:rsid w:val="5412508B"/>
    <w:rsid w:val="54742D91"/>
    <w:rsid w:val="54977205"/>
    <w:rsid w:val="54AC14F8"/>
    <w:rsid w:val="54B048FF"/>
    <w:rsid w:val="54B373D9"/>
    <w:rsid w:val="54C9646A"/>
    <w:rsid w:val="54DE4227"/>
    <w:rsid w:val="54FD0EEC"/>
    <w:rsid w:val="55102B67"/>
    <w:rsid w:val="55196C2D"/>
    <w:rsid w:val="552117E0"/>
    <w:rsid w:val="552560B8"/>
    <w:rsid w:val="55434588"/>
    <w:rsid w:val="55825812"/>
    <w:rsid w:val="55850EFA"/>
    <w:rsid w:val="55BE541F"/>
    <w:rsid w:val="55D27A3B"/>
    <w:rsid w:val="55D95524"/>
    <w:rsid w:val="55F12998"/>
    <w:rsid w:val="561A7286"/>
    <w:rsid w:val="56234506"/>
    <w:rsid w:val="562B0698"/>
    <w:rsid w:val="563D201C"/>
    <w:rsid w:val="564470E9"/>
    <w:rsid w:val="5682217D"/>
    <w:rsid w:val="56861332"/>
    <w:rsid w:val="5687214B"/>
    <w:rsid w:val="568759F5"/>
    <w:rsid w:val="56A1160C"/>
    <w:rsid w:val="56B9303D"/>
    <w:rsid w:val="56BC148C"/>
    <w:rsid w:val="56E30922"/>
    <w:rsid w:val="56E6231D"/>
    <w:rsid w:val="57064221"/>
    <w:rsid w:val="570A5121"/>
    <w:rsid w:val="570D04C7"/>
    <w:rsid w:val="571B2A98"/>
    <w:rsid w:val="57330335"/>
    <w:rsid w:val="57420005"/>
    <w:rsid w:val="57422D4D"/>
    <w:rsid w:val="57623B4D"/>
    <w:rsid w:val="5782000B"/>
    <w:rsid w:val="57996A45"/>
    <w:rsid w:val="579A5E8D"/>
    <w:rsid w:val="579B2B48"/>
    <w:rsid w:val="57D12098"/>
    <w:rsid w:val="57DB397E"/>
    <w:rsid w:val="58000C24"/>
    <w:rsid w:val="582232DD"/>
    <w:rsid w:val="583C0D4B"/>
    <w:rsid w:val="58584E2D"/>
    <w:rsid w:val="58675C92"/>
    <w:rsid w:val="58694A68"/>
    <w:rsid w:val="586F4351"/>
    <w:rsid w:val="587873A1"/>
    <w:rsid w:val="588875E4"/>
    <w:rsid w:val="589054E8"/>
    <w:rsid w:val="589C57E1"/>
    <w:rsid w:val="58CA339E"/>
    <w:rsid w:val="58D5272B"/>
    <w:rsid w:val="58EE4BA7"/>
    <w:rsid w:val="591075D9"/>
    <w:rsid w:val="592311FF"/>
    <w:rsid w:val="59457FBB"/>
    <w:rsid w:val="595A510C"/>
    <w:rsid w:val="597819DA"/>
    <w:rsid w:val="598465A4"/>
    <w:rsid w:val="599929FB"/>
    <w:rsid w:val="599F5D78"/>
    <w:rsid w:val="59AF25EB"/>
    <w:rsid w:val="59BB411E"/>
    <w:rsid w:val="59DF76D7"/>
    <w:rsid w:val="59E06498"/>
    <w:rsid w:val="59E52169"/>
    <w:rsid w:val="59F632A0"/>
    <w:rsid w:val="59F84053"/>
    <w:rsid w:val="59FE2865"/>
    <w:rsid w:val="5A152C77"/>
    <w:rsid w:val="5A1835F1"/>
    <w:rsid w:val="5A1F03DD"/>
    <w:rsid w:val="5A252C10"/>
    <w:rsid w:val="5A2D219F"/>
    <w:rsid w:val="5A365CE1"/>
    <w:rsid w:val="5A3C1C76"/>
    <w:rsid w:val="5A6C6A91"/>
    <w:rsid w:val="5A6D6C38"/>
    <w:rsid w:val="5A755946"/>
    <w:rsid w:val="5A7C1EBC"/>
    <w:rsid w:val="5A805657"/>
    <w:rsid w:val="5A8E3E36"/>
    <w:rsid w:val="5A8F0385"/>
    <w:rsid w:val="5A940ED1"/>
    <w:rsid w:val="5AA85219"/>
    <w:rsid w:val="5AAE381F"/>
    <w:rsid w:val="5ACB1A0A"/>
    <w:rsid w:val="5AF704E0"/>
    <w:rsid w:val="5AFF2821"/>
    <w:rsid w:val="5B027645"/>
    <w:rsid w:val="5B1A029B"/>
    <w:rsid w:val="5B303F63"/>
    <w:rsid w:val="5B311514"/>
    <w:rsid w:val="5B380A62"/>
    <w:rsid w:val="5B4A1675"/>
    <w:rsid w:val="5B6A2FD1"/>
    <w:rsid w:val="5B726DD4"/>
    <w:rsid w:val="5B871A54"/>
    <w:rsid w:val="5B9D73DD"/>
    <w:rsid w:val="5BAE65B6"/>
    <w:rsid w:val="5BDD710E"/>
    <w:rsid w:val="5BEF0C37"/>
    <w:rsid w:val="5C1A67FD"/>
    <w:rsid w:val="5C1E42A2"/>
    <w:rsid w:val="5C3F5461"/>
    <w:rsid w:val="5C4D0803"/>
    <w:rsid w:val="5C5B0B6B"/>
    <w:rsid w:val="5C7026BF"/>
    <w:rsid w:val="5C711CB0"/>
    <w:rsid w:val="5C744D21"/>
    <w:rsid w:val="5C8F237B"/>
    <w:rsid w:val="5C914A23"/>
    <w:rsid w:val="5C9648D2"/>
    <w:rsid w:val="5C9923AD"/>
    <w:rsid w:val="5C9A1694"/>
    <w:rsid w:val="5C9B5DF3"/>
    <w:rsid w:val="5C9B7FF0"/>
    <w:rsid w:val="5CAA3FD4"/>
    <w:rsid w:val="5CB0535B"/>
    <w:rsid w:val="5CB35371"/>
    <w:rsid w:val="5CBD2370"/>
    <w:rsid w:val="5CC549C6"/>
    <w:rsid w:val="5CE37710"/>
    <w:rsid w:val="5CF8528E"/>
    <w:rsid w:val="5CFC25AE"/>
    <w:rsid w:val="5CFD1AAD"/>
    <w:rsid w:val="5CFE3733"/>
    <w:rsid w:val="5CFE59AF"/>
    <w:rsid w:val="5D1832D2"/>
    <w:rsid w:val="5D192F00"/>
    <w:rsid w:val="5D1A27D4"/>
    <w:rsid w:val="5D1B67DB"/>
    <w:rsid w:val="5D240D15"/>
    <w:rsid w:val="5D2E44D2"/>
    <w:rsid w:val="5D3212F0"/>
    <w:rsid w:val="5D3347E5"/>
    <w:rsid w:val="5D3C194D"/>
    <w:rsid w:val="5D3D58FB"/>
    <w:rsid w:val="5D44593D"/>
    <w:rsid w:val="5D5401AE"/>
    <w:rsid w:val="5D69550A"/>
    <w:rsid w:val="5D6A49D3"/>
    <w:rsid w:val="5D900CE9"/>
    <w:rsid w:val="5D9C5F07"/>
    <w:rsid w:val="5DA56542"/>
    <w:rsid w:val="5DA9246C"/>
    <w:rsid w:val="5DB71B0F"/>
    <w:rsid w:val="5DC47979"/>
    <w:rsid w:val="5DD23267"/>
    <w:rsid w:val="5DD45079"/>
    <w:rsid w:val="5DE171D9"/>
    <w:rsid w:val="5DE9112B"/>
    <w:rsid w:val="5DEE2F1F"/>
    <w:rsid w:val="5DF30062"/>
    <w:rsid w:val="5DF61D90"/>
    <w:rsid w:val="5DFC6C0D"/>
    <w:rsid w:val="5E122244"/>
    <w:rsid w:val="5E1824AD"/>
    <w:rsid w:val="5E224037"/>
    <w:rsid w:val="5E290A86"/>
    <w:rsid w:val="5E29256E"/>
    <w:rsid w:val="5E2B451C"/>
    <w:rsid w:val="5E2C3A69"/>
    <w:rsid w:val="5E3D49CC"/>
    <w:rsid w:val="5E407C0D"/>
    <w:rsid w:val="5E5B0003"/>
    <w:rsid w:val="5E6B56C7"/>
    <w:rsid w:val="5E7F0DF9"/>
    <w:rsid w:val="5E89321A"/>
    <w:rsid w:val="5E8C14B0"/>
    <w:rsid w:val="5EA43A47"/>
    <w:rsid w:val="5EA85AD7"/>
    <w:rsid w:val="5EAF568B"/>
    <w:rsid w:val="5EB23B33"/>
    <w:rsid w:val="5EB36CDC"/>
    <w:rsid w:val="5ED61E08"/>
    <w:rsid w:val="5EE02503"/>
    <w:rsid w:val="5EEC7396"/>
    <w:rsid w:val="5EEC7770"/>
    <w:rsid w:val="5F047736"/>
    <w:rsid w:val="5F096FA4"/>
    <w:rsid w:val="5F252540"/>
    <w:rsid w:val="5F3C5F70"/>
    <w:rsid w:val="5F3E1872"/>
    <w:rsid w:val="5F410C91"/>
    <w:rsid w:val="5F42785A"/>
    <w:rsid w:val="5F452B09"/>
    <w:rsid w:val="5F6E5E0E"/>
    <w:rsid w:val="5F887F5B"/>
    <w:rsid w:val="5F930063"/>
    <w:rsid w:val="5FAC287E"/>
    <w:rsid w:val="5FAF46D8"/>
    <w:rsid w:val="5FD67465"/>
    <w:rsid w:val="5FDA44A0"/>
    <w:rsid w:val="5FE4707F"/>
    <w:rsid w:val="5FEB6EA1"/>
    <w:rsid w:val="5FEE0F22"/>
    <w:rsid w:val="5FF971D1"/>
    <w:rsid w:val="60392132"/>
    <w:rsid w:val="603B2ECE"/>
    <w:rsid w:val="6043624F"/>
    <w:rsid w:val="604400CB"/>
    <w:rsid w:val="60491AD6"/>
    <w:rsid w:val="604F3A60"/>
    <w:rsid w:val="60556545"/>
    <w:rsid w:val="6068525F"/>
    <w:rsid w:val="607A5C98"/>
    <w:rsid w:val="607C371F"/>
    <w:rsid w:val="60956D42"/>
    <w:rsid w:val="60A622C8"/>
    <w:rsid w:val="60C337E0"/>
    <w:rsid w:val="60C821D7"/>
    <w:rsid w:val="60D54664"/>
    <w:rsid w:val="60EB2879"/>
    <w:rsid w:val="61077203"/>
    <w:rsid w:val="6113564D"/>
    <w:rsid w:val="61145412"/>
    <w:rsid w:val="61271964"/>
    <w:rsid w:val="612D52C9"/>
    <w:rsid w:val="612F35D6"/>
    <w:rsid w:val="613D0C80"/>
    <w:rsid w:val="6162673D"/>
    <w:rsid w:val="61971E41"/>
    <w:rsid w:val="61A75EEF"/>
    <w:rsid w:val="61B76844"/>
    <w:rsid w:val="61C471B3"/>
    <w:rsid w:val="61CB32AE"/>
    <w:rsid w:val="61CD3AD3"/>
    <w:rsid w:val="61D93180"/>
    <w:rsid w:val="61E00186"/>
    <w:rsid w:val="61E4110F"/>
    <w:rsid w:val="6218523F"/>
    <w:rsid w:val="6222423F"/>
    <w:rsid w:val="622E47D5"/>
    <w:rsid w:val="62440F44"/>
    <w:rsid w:val="62671140"/>
    <w:rsid w:val="628D4B84"/>
    <w:rsid w:val="62A4517E"/>
    <w:rsid w:val="62B208A8"/>
    <w:rsid w:val="62E52571"/>
    <w:rsid w:val="62FB008A"/>
    <w:rsid w:val="630C085F"/>
    <w:rsid w:val="63297781"/>
    <w:rsid w:val="632B74E9"/>
    <w:rsid w:val="63460815"/>
    <w:rsid w:val="6346632E"/>
    <w:rsid w:val="634C7794"/>
    <w:rsid w:val="635D78D0"/>
    <w:rsid w:val="63710EF6"/>
    <w:rsid w:val="63730E90"/>
    <w:rsid w:val="637B17DB"/>
    <w:rsid w:val="63837E6B"/>
    <w:rsid w:val="638D16DA"/>
    <w:rsid w:val="63BD500F"/>
    <w:rsid w:val="63C56EA9"/>
    <w:rsid w:val="63C60EF2"/>
    <w:rsid w:val="63DC4C88"/>
    <w:rsid w:val="63DC585A"/>
    <w:rsid w:val="640359B6"/>
    <w:rsid w:val="644B38B4"/>
    <w:rsid w:val="646031C3"/>
    <w:rsid w:val="646B4888"/>
    <w:rsid w:val="649B244D"/>
    <w:rsid w:val="649E1F3D"/>
    <w:rsid w:val="64A70BD0"/>
    <w:rsid w:val="64BC210A"/>
    <w:rsid w:val="64F41B5D"/>
    <w:rsid w:val="653D0449"/>
    <w:rsid w:val="653D52B2"/>
    <w:rsid w:val="653E062B"/>
    <w:rsid w:val="654F46B1"/>
    <w:rsid w:val="65556AA0"/>
    <w:rsid w:val="6557777D"/>
    <w:rsid w:val="65596BA6"/>
    <w:rsid w:val="657D39D2"/>
    <w:rsid w:val="65806EFD"/>
    <w:rsid w:val="6598698C"/>
    <w:rsid w:val="65B37778"/>
    <w:rsid w:val="65B650A2"/>
    <w:rsid w:val="65B754EE"/>
    <w:rsid w:val="65B928FB"/>
    <w:rsid w:val="65BC1245"/>
    <w:rsid w:val="65C869A8"/>
    <w:rsid w:val="65E06D86"/>
    <w:rsid w:val="65E35BEE"/>
    <w:rsid w:val="65F0676D"/>
    <w:rsid w:val="661344C8"/>
    <w:rsid w:val="662D17CA"/>
    <w:rsid w:val="6660394E"/>
    <w:rsid w:val="666B22F3"/>
    <w:rsid w:val="66754F1F"/>
    <w:rsid w:val="66872E77"/>
    <w:rsid w:val="6695354D"/>
    <w:rsid w:val="66AE5E9B"/>
    <w:rsid w:val="66AF1C9D"/>
    <w:rsid w:val="66E677C1"/>
    <w:rsid w:val="66F75878"/>
    <w:rsid w:val="66F9345B"/>
    <w:rsid w:val="66FB4360"/>
    <w:rsid w:val="670C0549"/>
    <w:rsid w:val="670F38E2"/>
    <w:rsid w:val="6716400D"/>
    <w:rsid w:val="672314E6"/>
    <w:rsid w:val="67436A10"/>
    <w:rsid w:val="6764121C"/>
    <w:rsid w:val="676C2E72"/>
    <w:rsid w:val="6773320D"/>
    <w:rsid w:val="67762793"/>
    <w:rsid w:val="67787532"/>
    <w:rsid w:val="678216A2"/>
    <w:rsid w:val="678F1D96"/>
    <w:rsid w:val="679357DC"/>
    <w:rsid w:val="679B51F9"/>
    <w:rsid w:val="67AB6C66"/>
    <w:rsid w:val="67BC4648"/>
    <w:rsid w:val="67CC7F1C"/>
    <w:rsid w:val="67D41B8B"/>
    <w:rsid w:val="67D43D2A"/>
    <w:rsid w:val="67EB7247"/>
    <w:rsid w:val="67FA56DC"/>
    <w:rsid w:val="67FC12C5"/>
    <w:rsid w:val="681060B4"/>
    <w:rsid w:val="681D179F"/>
    <w:rsid w:val="68266D4E"/>
    <w:rsid w:val="68406F23"/>
    <w:rsid w:val="68580655"/>
    <w:rsid w:val="688128E0"/>
    <w:rsid w:val="688F42C9"/>
    <w:rsid w:val="68AD69B8"/>
    <w:rsid w:val="68D43ED1"/>
    <w:rsid w:val="68DC1286"/>
    <w:rsid w:val="69024E7D"/>
    <w:rsid w:val="6908424D"/>
    <w:rsid w:val="691A2051"/>
    <w:rsid w:val="694278E5"/>
    <w:rsid w:val="694322C2"/>
    <w:rsid w:val="695D5F23"/>
    <w:rsid w:val="69741628"/>
    <w:rsid w:val="69800ACA"/>
    <w:rsid w:val="69845BA5"/>
    <w:rsid w:val="69A246EB"/>
    <w:rsid w:val="69BA3E3F"/>
    <w:rsid w:val="69EE2B4F"/>
    <w:rsid w:val="6A2B65A5"/>
    <w:rsid w:val="6A434E41"/>
    <w:rsid w:val="6A435698"/>
    <w:rsid w:val="6A915DBE"/>
    <w:rsid w:val="6A9D4300"/>
    <w:rsid w:val="6AAE27AE"/>
    <w:rsid w:val="6AD83BC1"/>
    <w:rsid w:val="6ADD7E96"/>
    <w:rsid w:val="6AE02CB1"/>
    <w:rsid w:val="6AE20C38"/>
    <w:rsid w:val="6AEB48D1"/>
    <w:rsid w:val="6AED777A"/>
    <w:rsid w:val="6AF91F88"/>
    <w:rsid w:val="6B020F31"/>
    <w:rsid w:val="6B0A3E88"/>
    <w:rsid w:val="6B297532"/>
    <w:rsid w:val="6B395BBC"/>
    <w:rsid w:val="6B3E4175"/>
    <w:rsid w:val="6B465D6A"/>
    <w:rsid w:val="6B542C48"/>
    <w:rsid w:val="6B725F79"/>
    <w:rsid w:val="6B8A0CDE"/>
    <w:rsid w:val="6B8C28E0"/>
    <w:rsid w:val="6B9D33DE"/>
    <w:rsid w:val="6BA56BEE"/>
    <w:rsid w:val="6BAB610C"/>
    <w:rsid w:val="6BCD7530"/>
    <w:rsid w:val="6BD065D4"/>
    <w:rsid w:val="6BE07043"/>
    <w:rsid w:val="6BE43C42"/>
    <w:rsid w:val="6BE47003"/>
    <w:rsid w:val="6C475BCD"/>
    <w:rsid w:val="6C572A41"/>
    <w:rsid w:val="6C586E75"/>
    <w:rsid w:val="6C605C88"/>
    <w:rsid w:val="6C7011DE"/>
    <w:rsid w:val="6C713F08"/>
    <w:rsid w:val="6C7579C3"/>
    <w:rsid w:val="6C826486"/>
    <w:rsid w:val="6CA931C3"/>
    <w:rsid w:val="6CC4450B"/>
    <w:rsid w:val="6CD75FEC"/>
    <w:rsid w:val="6CDE13B3"/>
    <w:rsid w:val="6CE06FB0"/>
    <w:rsid w:val="6CEB2A7E"/>
    <w:rsid w:val="6CF0028B"/>
    <w:rsid w:val="6D545B8B"/>
    <w:rsid w:val="6D6319F5"/>
    <w:rsid w:val="6D7F1208"/>
    <w:rsid w:val="6D8D6E60"/>
    <w:rsid w:val="6D9A0A2B"/>
    <w:rsid w:val="6D9C09CC"/>
    <w:rsid w:val="6DA34120"/>
    <w:rsid w:val="6DB427D1"/>
    <w:rsid w:val="6DBC2845"/>
    <w:rsid w:val="6DBE185C"/>
    <w:rsid w:val="6DC6476D"/>
    <w:rsid w:val="6DCE1B4E"/>
    <w:rsid w:val="6DF34117"/>
    <w:rsid w:val="6E127384"/>
    <w:rsid w:val="6E466A02"/>
    <w:rsid w:val="6E4D2D00"/>
    <w:rsid w:val="6E53460B"/>
    <w:rsid w:val="6E577801"/>
    <w:rsid w:val="6E603525"/>
    <w:rsid w:val="6E664B10"/>
    <w:rsid w:val="6E697457"/>
    <w:rsid w:val="6E8C7747"/>
    <w:rsid w:val="6E9028F6"/>
    <w:rsid w:val="6EA231BE"/>
    <w:rsid w:val="6EAD5BDC"/>
    <w:rsid w:val="6EB90985"/>
    <w:rsid w:val="6EC407F2"/>
    <w:rsid w:val="6ECC749A"/>
    <w:rsid w:val="6EEA089B"/>
    <w:rsid w:val="6EEE586F"/>
    <w:rsid w:val="6EEF2FA9"/>
    <w:rsid w:val="6F071347"/>
    <w:rsid w:val="6F297C38"/>
    <w:rsid w:val="6F3E6DA6"/>
    <w:rsid w:val="6F4D6A39"/>
    <w:rsid w:val="6F6A54D1"/>
    <w:rsid w:val="6F6C50EC"/>
    <w:rsid w:val="6F9357C0"/>
    <w:rsid w:val="6FA960B0"/>
    <w:rsid w:val="6FAF6879"/>
    <w:rsid w:val="6FC92376"/>
    <w:rsid w:val="6FCE2D5D"/>
    <w:rsid w:val="6FDE7AFC"/>
    <w:rsid w:val="6FE51FC2"/>
    <w:rsid w:val="700469A3"/>
    <w:rsid w:val="700E15EF"/>
    <w:rsid w:val="70335C2F"/>
    <w:rsid w:val="7058074F"/>
    <w:rsid w:val="707029DF"/>
    <w:rsid w:val="708007EF"/>
    <w:rsid w:val="709060E2"/>
    <w:rsid w:val="70AA56A0"/>
    <w:rsid w:val="70BD3879"/>
    <w:rsid w:val="70CB124D"/>
    <w:rsid w:val="70E636EC"/>
    <w:rsid w:val="70EF4FA8"/>
    <w:rsid w:val="710A6CC4"/>
    <w:rsid w:val="7119579E"/>
    <w:rsid w:val="711B2F5E"/>
    <w:rsid w:val="712A2038"/>
    <w:rsid w:val="71425788"/>
    <w:rsid w:val="715776FB"/>
    <w:rsid w:val="719641E7"/>
    <w:rsid w:val="71A14E1B"/>
    <w:rsid w:val="71A31B56"/>
    <w:rsid w:val="71BC57F8"/>
    <w:rsid w:val="71CC23C9"/>
    <w:rsid w:val="71CD08C0"/>
    <w:rsid w:val="720D5649"/>
    <w:rsid w:val="721148D8"/>
    <w:rsid w:val="7216006E"/>
    <w:rsid w:val="724F2C92"/>
    <w:rsid w:val="726A6A46"/>
    <w:rsid w:val="72734A09"/>
    <w:rsid w:val="727512FC"/>
    <w:rsid w:val="729F46D5"/>
    <w:rsid w:val="72B83105"/>
    <w:rsid w:val="72CD2007"/>
    <w:rsid w:val="72D13A55"/>
    <w:rsid w:val="72D13C8A"/>
    <w:rsid w:val="72DE65CF"/>
    <w:rsid w:val="72E64F39"/>
    <w:rsid w:val="72EA3C3A"/>
    <w:rsid w:val="72FB055A"/>
    <w:rsid w:val="73014EEB"/>
    <w:rsid w:val="73057949"/>
    <w:rsid w:val="73424BF2"/>
    <w:rsid w:val="735A39E1"/>
    <w:rsid w:val="7371736D"/>
    <w:rsid w:val="73BA3ADB"/>
    <w:rsid w:val="73BC3D24"/>
    <w:rsid w:val="73CD639B"/>
    <w:rsid w:val="73DA5738"/>
    <w:rsid w:val="73EA6314"/>
    <w:rsid w:val="73EB693B"/>
    <w:rsid w:val="73F06E3B"/>
    <w:rsid w:val="73F23683"/>
    <w:rsid w:val="74041A81"/>
    <w:rsid w:val="74112427"/>
    <w:rsid w:val="74192C1B"/>
    <w:rsid w:val="742F7194"/>
    <w:rsid w:val="74841A7E"/>
    <w:rsid w:val="74B3733F"/>
    <w:rsid w:val="74E33F1C"/>
    <w:rsid w:val="74FB3F36"/>
    <w:rsid w:val="75025AE3"/>
    <w:rsid w:val="75031E2C"/>
    <w:rsid w:val="7507768A"/>
    <w:rsid w:val="750D14C0"/>
    <w:rsid w:val="7510189E"/>
    <w:rsid w:val="752A2764"/>
    <w:rsid w:val="752D366A"/>
    <w:rsid w:val="75556648"/>
    <w:rsid w:val="75591217"/>
    <w:rsid w:val="75646EFD"/>
    <w:rsid w:val="756602C3"/>
    <w:rsid w:val="756F32A4"/>
    <w:rsid w:val="75A330B3"/>
    <w:rsid w:val="75B4336E"/>
    <w:rsid w:val="75B50E95"/>
    <w:rsid w:val="75BD2B47"/>
    <w:rsid w:val="75D4518D"/>
    <w:rsid w:val="75F24700"/>
    <w:rsid w:val="75F356A6"/>
    <w:rsid w:val="760375C6"/>
    <w:rsid w:val="760657D4"/>
    <w:rsid w:val="760B6D06"/>
    <w:rsid w:val="763A636D"/>
    <w:rsid w:val="76442E5A"/>
    <w:rsid w:val="76491651"/>
    <w:rsid w:val="7664308D"/>
    <w:rsid w:val="76770C14"/>
    <w:rsid w:val="7687270A"/>
    <w:rsid w:val="7687551D"/>
    <w:rsid w:val="769034A8"/>
    <w:rsid w:val="76957B48"/>
    <w:rsid w:val="769B452E"/>
    <w:rsid w:val="76A3682F"/>
    <w:rsid w:val="76AB1F51"/>
    <w:rsid w:val="76B02E8D"/>
    <w:rsid w:val="76D40BF4"/>
    <w:rsid w:val="76E8263D"/>
    <w:rsid w:val="77062694"/>
    <w:rsid w:val="773406E4"/>
    <w:rsid w:val="77400C32"/>
    <w:rsid w:val="774F0A3B"/>
    <w:rsid w:val="77585F7B"/>
    <w:rsid w:val="77720CAD"/>
    <w:rsid w:val="77902CDE"/>
    <w:rsid w:val="77AC2DED"/>
    <w:rsid w:val="77BD0FA0"/>
    <w:rsid w:val="77C108E5"/>
    <w:rsid w:val="77C57E38"/>
    <w:rsid w:val="77CC3457"/>
    <w:rsid w:val="77D37B58"/>
    <w:rsid w:val="77D47690"/>
    <w:rsid w:val="77F9150C"/>
    <w:rsid w:val="78335066"/>
    <w:rsid w:val="783511C6"/>
    <w:rsid w:val="78353A7A"/>
    <w:rsid w:val="78366866"/>
    <w:rsid w:val="783D502D"/>
    <w:rsid w:val="785A2E96"/>
    <w:rsid w:val="785B76ED"/>
    <w:rsid w:val="786D7797"/>
    <w:rsid w:val="786E6B59"/>
    <w:rsid w:val="789B6A68"/>
    <w:rsid w:val="78A00BF6"/>
    <w:rsid w:val="78A85656"/>
    <w:rsid w:val="78AA76B6"/>
    <w:rsid w:val="78B92ECB"/>
    <w:rsid w:val="78C6050C"/>
    <w:rsid w:val="78D15FE5"/>
    <w:rsid w:val="78F64F2B"/>
    <w:rsid w:val="78F80721"/>
    <w:rsid w:val="78FB0728"/>
    <w:rsid w:val="78FF0DA7"/>
    <w:rsid w:val="79053EE1"/>
    <w:rsid w:val="790B5EE7"/>
    <w:rsid w:val="790E1B4D"/>
    <w:rsid w:val="79132AA2"/>
    <w:rsid w:val="79314C92"/>
    <w:rsid w:val="793B2D9E"/>
    <w:rsid w:val="793C5FF8"/>
    <w:rsid w:val="794856A1"/>
    <w:rsid w:val="79527C02"/>
    <w:rsid w:val="797846B3"/>
    <w:rsid w:val="79893B5A"/>
    <w:rsid w:val="79DE395C"/>
    <w:rsid w:val="79FD47FB"/>
    <w:rsid w:val="7A0636DD"/>
    <w:rsid w:val="7A194765"/>
    <w:rsid w:val="7A1A39BC"/>
    <w:rsid w:val="7A253274"/>
    <w:rsid w:val="7A2D06ED"/>
    <w:rsid w:val="7A344A7E"/>
    <w:rsid w:val="7A372CB6"/>
    <w:rsid w:val="7A3E0998"/>
    <w:rsid w:val="7A436DCB"/>
    <w:rsid w:val="7A5B2CDF"/>
    <w:rsid w:val="7A5F5873"/>
    <w:rsid w:val="7A71031B"/>
    <w:rsid w:val="7AA36946"/>
    <w:rsid w:val="7AAF39D3"/>
    <w:rsid w:val="7ACD1873"/>
    <w:rsid w:val="7AFD6181"/>
    <w:rsid w:val="7B230A7F"/>
    <w:rsid w:val="7B2B62C3"/>
    <w:rsid w:val="7B40783D"/>
    <w:rsid w:val="7B4909FD"/>
    <w:rsid w:val="7B5D0E91"/>
    <w:rsid w:val="7B5F1840"/>
    <w:rsid w:val="7B666B70"/>
    <w:rsid w:val="7B762E74"/>
    <w:rsid w:val="7B8F54B7"/>
    <w:rsid w:val="7B964626"/>
    <w:rsid w:val="7BA40029"/>
    <w:rsid w:val="7BC4541E"/>
    <w:rsid w:val="7BD152E3"/>
    <w:rsid w:val="7BD16F6C"/>
    <w:rsid w:val="7BE927F5"/>
    <w:rsid w:val="7BEE56AC"/>
    <w:rsid w:val="7C054379"/>
    <w:rsid w:val="7C067980"/>
    <w:rsid w:val="7C1966EC"/>
    <w:rsid w:val="7C1C7EBF"/>
    <w:rsid w:val="7C240B22"/>
    <w:rsid w:val="7C9976D4"/>
    <w:rsid w:val="7CA609AF"/>
    <w:rsid w:val="7CAA1027"/>
    <w:rsid w:val="7CB73744"/>
    <w:rsid w:val="7CB927F1"/>
    <w:rsid w:val="7CBE700E"/>
    <w:rsid w:val="7CDD7BCD"/>
    <w:rsid w:val="7CE32CDB"/>
    <w:rsid w:val="7CFF63E8"/>
    <w:rsid w:val="7D0A29A5"/>
    <w:rsid w:val="7D4B6DEC"/>
    <w:rsid w:val="7D4F48B2"/>
    <w:rsid w:val="7D6C0216"/>
    <w:rsid w:val="7D8F5E05"/>
    <w:rsid w:val="7D947A81"/>
    <w:rsid w:val="7D96013E"/>
    <w:rsid w:val="7D9C621E"/>
    <w:rsid w:val="7D9E274B"/>
    <w:rsid w:val="7DAF0036"/>
    <w:rsid w:val="7DBD640B"/>
    <w:rsid w:val="7DC36414"/>
    <w:rsid w:val="7DE74DA7"/>
    <w:rsid w:val="7DF50968"/>
    <w:rsid w:val="7DFA240E"/>
    <w:rsid w:val="7DFB13E2"/>
    <w:rsid w:val="7E0E1F6D"/>
    <w:rsid w:val="7E5C27F5"/>
    <w:rsid w:val="7E8458A8"/>
    <w:rsid w:val="7E866A8D"/>
    <w:rsid w:val="7EAA32C2"/>
    <w:rsid w:val="7EBF1420"/>
    <w:rsid w:val="7ECC263C"/>
    <w:rsid w:val="7ED14E85"/>
    <w:rsid w:val="7ED83B5B"/>
    <w:rsid w:val="7EE4500E"/>
    <w:rsid w:val="7EFC72F9"/>
    <w:rsid w:val="7F16427D"/>
    <w:rsid w:val="7F1C2780"/>
    <w:rsid w:val="7F2F3A66"/>
    <w:rsid w:val="7F3E37D9"/>
    <w:rsid w:val="7F435763"/>
    <w:rsid w:val="7F473DC4"/>
    <w:rsid w:val="7F662EE8"/>
    <w:rsid w:val="7F8225C3"/>
    <w:rsid w:val="7F901C91"/>
    <w:rsid w:val="7F9E5DD5"/>
    <w:rsid w:val="7FA4611F"/>
    <w:rsid w:val="7FCF7116"/>
    <w:rsid w:val="7FD55AA5"/>
    <w:rsid w:val="7FEF5329"/>
    <w:rsid w:val="7FF258D2"/>
    <w:rsid w:val="7FFE2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FFFF00" joinstyle="miter"/>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iPriority="2"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99" w:name="heading 7"/>
    <w:lsdException w:qFormat="1" w:uiPriority="99" w:name="heading 8"/>
    <w:lsdException w:qFormat="1"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qFormat="1" w:unhideWhenUsed="0" w:uiPriority="0" w:semiHidden="0" w:name="macro"/>
    <w:lsdException w:uiPriority="99" w:name="toa heading"/>
    <w:lsdException w:qFormat="1" w:uiPriority="0" w:name="List"/>
    <w:lsdException w:uiPriority="99" w:name="List Bullet"/>
    <w:lsdException w:uiPriority="99" w:name="List Number"/>
    <w:lsdException w:qFormat="1" w:uiPriority="0" w:name="List 2"/>
    <w:lsdException w:qFormat="1"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name="Message Header"/>
    <w:lsdException w:qFormat="1" w:unhideWhenUsed="0" w:uiPriority="11" w:semiHidden="0" w:name="Subtitle"/>
    <w:lsdException w:uiPriority="99" w:name="Salutation"/>
    <w:lsdException w:qFormat="1" w:uiPriority="99" w:name="Date"/>
    <w:lsdException w:qFormat="1" w:uiPriority="0" w:semiHidden="0" w:name="Body Text First Indent"/>
    <w:lsdException w:qFormat="1" w:uiPriority="0" w:name="Body Text First Indent 2"/>
    <w:lsdException w:qFormat="1" w:uiPriority="0" w:name="Note Heading"/>
    <w:lsdException w:qFormat="1" w:uiPriority="99" w:semiHidden="0" w:name="Body Text 2"/>
    <w:lsdException w:qFormat="1" w:uiPriority="0" w:name="Body Text 3"/>
    <w:lsdException w:qFormat="1" w:uiPriority="0" w:semiHidden="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qFormat="1" w:uiPriority="0"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iPriority="0" w:name="Table Grid 1"/>
    <w:lsdException w:uiPriority="99" w:name="Table Grid 2"/>
    <w:lsdException w:uiPriority="99" w:name="Table Grid 3"/>
    <w:lsdException w:uiPriority="99" w:name="Table Grid 4"/>
    <w:lsdException w:uiPriority="99" w:name="Table Grid 5"/>
    <w:lsdException w:qFormat="1" w:uiPriority="0"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wordWrap w:val="0"/>
      <w:adjustRightInd w:val="0"/>
      <w:snapToGrid w:val="0"/>
      <w:spacing w:line="360" w:lineRule="auto"/>
      <w:ind w:firstLine="64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3"/>
    <w:autoRedefine/>
    <w:qFormat/>
    <w:uiPriority w:val="3"/>
    <w:pPr>
      <w:keepNext/>
      <w:keepLines/>
      <w:adjustRightInd/>
      <w:snapToGrid/>
      <w:spacing w:beforeAutospacing="1" w:line="240" w:lineRule="auto"/>
      <w:ind w:firstLine="0" w:firstLineChars="0"/>
      <w:outlineLvl w:val="0"/>
    </w:pPr>
    <w:rPr>
      <w:rFonts w:ascii="Times New Roman" w:hAnsi="Times New Roman" w:eastAsia="黑体"/>
      <w:bCs/>
      <w:kern w:val="44"/>
      <w:sz w:val="32"/>
      <w:szCs w:val="44"/>
      <w:highlight w:val="none"/>
    </w:rPr>
  </w:style>
  <w:style w:type="paragraph" w:styleId="4">
    <w:name w:val="heading 2"/>
    <w:basedOn w:val="1"/>
    <w:next w:val="1"/>
    <w:link w:val="64"/>
    <w:autoRedefine/>
    <w:unhideWhenUsed/>
    <w:qFormat/>
    <w:uiPriority w:val="2"/>
    <w:pPr>
      <w:keepNext/>
      <w:keepLines/>
      <w:adjustRightInd/>
      <w:snapToGrid/>
      <w:spacing w:beforeAutospacing="1" w:line="240" w:lineRule="auto"/>
      <w:ind w:firstLine="0" w:firstLineChars="0"/>
      <w:outlineLvl w:val="1"/>
    </w:pPr>
    <w:rPr>
      <w:rFonts w:ascii="Times New Roman" w:hAnsi="Times New Roman" w:eastAsia="黑体" w:cstheme="majorBidi"/>
      <w:bCs/>
      <w:kern w:val="44"/>
      <w:sz w:val="30"/>
      <w:szCs w:val="30"/>
      <w:highlight w:val="none"/>
    </w:rPr>
  </w:style>
  <w:style w:type="paragraph" w:styleId="5">
    <w:name w:val="heading 3"/>
    <w:basedOn w:val="1"/>
    <w:next w:val="1"/>
    <w:link w:val="65"/>
    <w:autoRedefine/>
    <w:unhideWhenUsed/>
    <w:qFormat/>
    <w:uiPriority w:val="0"/>
    <w:pPr>
      <w:adjustRightInd/>
      <w:snapToGrid/>
      <w:spacing w:beforeAutospacing="1" w:line="240" w:lineRule="auto"/>
      <w:ind w:firstLine="0" w:firstLineChars="0"/>
      <w:outlineLvl w:val="2"/>
    </w:pPr>
    <w:rPr>
      <w:rFonts w:ascii="Times New Roman" w:hAnsi="Times New Roman" w:eastAsia="黑体"/>
      <w:sz w:val="28"/>
    </w:rPr>
  </w:style>
  <w:style w:type="paragraph" w:styleId="6">
    <w:name w:val="heading 4"/>
    <w:basedOn w:val="1"/>
    <w:next w:val="1"/>
    <w:link w:val="66"/>
    <w:autoRedefine/>
    <w:unhideWhenUsed/>
    <w:qFormat/>
    <w:uiPriority w:val="0"/>
    <w:pPr>
      <w:keepNext/>
      <w:keepLines/>
      <w:adjustRightInd/>
      <w:snapToGrid/>
      <w:spacing w:beforeAutospacing="1" w:line="240" w:lineRule="auto"/>
      <w:ind w:firstLine="0" w:firstLineChars="0"/>
      <w:outlineLvl w:val="3"/>
    </w:pPr>
    <w:rPr>
      <w:rFonts w:ascii="Times New Roman" w:hAnsi="Times New Roman" w:eastAsia="黑体" w:cstheme="majorBidi"/>
      <w:szCs w:val="28"/>
    </w:rPr>
  </w:style>
  <w:style w:type="paragraph" w:styleId="7">
    <w:name w:val="heading 5"/>
    <w:basedOn w:val="1"/>
    <w:next w:val="1"/>
    <w:link w:val="67"/>
    <w:autoRedefine/>
    <w:unhideWhenUsed/>
    <w:qFormat/>
    <w:uiPriority w:val="0"/>
    <w:pPr>
      <w:keepNext w:val="0"/>
      <w:keepLines w:val="0"/>
      <w:widowControl/>
      <w:spacing w:line="240" w:lineRule="auto"/>
      <w:ind w:firstLine="0" w:firstLineChars="0"/>
      <w:jc w:val="center"/>
      <w:outlineLvl w:val="4"/>
    </w:pPr>
    <w:rPr>
      <w:rFonts w:ascii="Times New Roman" w:hAnsi="Times New Roman" w:eastAsia="宋体"/>
      <w:b/>
      <w:color w:val="000000"/>
      <w:kern w:val="0"/>
      <w:sz w:val="21"/>
      <w:szCs w:val="28"/>
    </w:rPr>
  </w:style>
  <w:style w:type="paragraph" w:styleId="8">
    <w:name w:val="heading 6"/>
    <w:basedOn w:val="1"/>
    <w:next w:val="1"/>
    <w:link w:val="68"/>
    <w:autoRedefine/>
    <w:unhideWhenUsed/>
    <w:qFormat/>
    <w:uiPriority w:val="0"/>
    <w:pPr>
      <w:keepNext w:val="0"/>
      <w:keepLines w:val="0"/>
      <w:widowControl/>
      <w:spacing w:line="240" w:lineRule="auto"/>
      <w:ind w:firstLine="0" w:firstLineChars="0"/>
      <w:jc w:val="center"/>
      <w:outlineLvl w:val="9"/>
    </w:pPr>
    <w:rPr>
      <w:rFonts w:ascii="Times New Roman" w:hAnsi="Times New Roman" w:eastAsia="宋体"/>
      <w:color w:val="000000"/>
      <w:kern w:val="0"/>
      <w:sz w:val="21"/>
    </w:rPr>
  </w:style>
  <w:style w:type="paragraph" w:styleId="9">
    <w:name w:val="heading 7"/>
    <w:basedOn w:val="3"/>
    <w:next w:val="1"/>
    <w:link w:val="69"/>
    <w:autoRedefine/>
    <w:semiHidden/>
    <w:unhideWhenUsed/>
    <w:qFormat/>
    <w:uiPriority w:val="99"/>
    <w:pPr>
      <w:widowControl/>
      <w:spacing w:before="240" w:after="64" w:line="316" w:lineRule="auto"/>
      <w:ind w:firstLine="425" w:firstLineChars="177"/>
      <w:outlineLvl w:val="6"/>
    </w:pPr>
    <w:rPr>
      <w:color w:val="000000"/>
      <w:kern w:val="0"/>
      <w:sz w:val="24"/>
      <w:szCs w:val="24"/>
    </w:rPr>
  </w:style>
  <w:style w:type="paragraph" w:styleId="10">
    <w:name w:val="heading 8"/>
    <w:basedOn w:val="3"/>
    <w:next w:val="1"/>
    <w:link w:val="70"/>
    <w:autoRedefine/>
    <w:semiHidden/>
    <w:unhideWhenUsed/>
    <w:qFormat/>
    <w:uiPriority w:val="99"/>
    <w:pPr>
      <w:widowControl/>
      <w:spacing w:before="240" w:after="64" w:line="316" w:lineRule="auto"/>
      <w:ind w:firstLine="425" w:firstLineChars="177"/>
      <w:outlineLvl w:val="7"/>
    </w:pPr>
    <w:rPr>
      <w:rFonts w:ascii="Arial" w:hAnsi="Arial" w:eastAsia="黑体"/>
      <w:bCs w:val="0"/>
      <w:color w:val="000000"/>
      <w:kern w:val="0"/>
      <w:sz w:val="24"/>
      <w:szCs w:val="24"/>
    </w:rPr>
  </w:style>
  <w:style w:type="paragraph" w:styleId="11">
    <w:name w:val="heading 9"/>
    <w:basedOn w:val="1"/>
    <w:next w:val="1"/>
    <w:link w:val="71"/>
    <w:autoRedefine/>
    <w:semiHidden/>
    <w:unhideWhenUsed/>
    <w:qFormat/>
    <w:uiPriority w:val="99"/>
    <w:pPr>
      <w:widowControl/>
      <w:spacing w:beforeLines="50" w:after="64" w:line="400" w:lineRule="exact"/>
      <w:ind w:firstLine="425" w:firstLineChars="177"/>
      <w:jc w:val="center"/>
      <w:outlineLvl w:val="8"/>
    </w:pPr>
    <w:rPr>
      <w:color w:val="000000"/>
      <w:kern w:val="0"/>
      <w:sz w:val="24"/>
      <w:szCs w:val="21"/>
    </w:rPr>
  </w:style>
  <w:style w:type="character" w:default="1" w:styleId="49">
    <w:name w:val="Default Paragraph Font"/>
    <w:autoRedefine/>
    <w:semiHidden/>
    <w:unhideWhenUsed/>
    <w:qFormat/>
    <w:uiPriority w:val="1"/>
  </w:style>
  <w:style w:type="table" w:default="1" w:styleId="4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macro"/>
    <w:qFormat/>
    <w:uiPriority w:val="0"/>
    <w:pPr>
      <w:widowControl w:val="0"/>
      <w:kinsoku w:val="0"/>
      <w:overflowPunct w:val="0"/>
      <w:autoSpaceDE w:val="0"/>
      <w:autoSpaceDN w:val="0"/>
      <w:snapToGrid w:val="0"/>
      <w:spacing w:line="320" w:lineRule="exact"/>
      <w:jc w:val="center"/>
    </w:pPr>
    <w:rPr>
      <w:rFonts w:ascii="Courier New" w:hAnsi="Courier New" w:eastAsia="宋体" w:cs="Times New Roman"/>
      <w:kern w:val="2"/>
      <w:sz w:val="24"/>
      <w:szCs w:val="24"/>
      <w:lang w:val="en-US" w:eastAsia="zh-CN" w:bidi="ar-SA"/>
    </w:rPr>
  </w:style>
  <w:style w:type="paragraph" w:styleId="12">
    <w:name w:val="List 3"/>
    <w:basedOn w:val="1"/>
    <w:autoRedefine/>
    <w:semiHidden/>
    <w:unhideWhenUsed/>
    <w:qFormat/>
    <w:uiPriority w:val="99"/>
    <w:pPr>
      <w:ind w:left="100" w:leftChars="400" w:hanging="200" w:hangingChars="200"/>
      <w:contextualSpacing/>
    </w:pPr>
  </w:style>
  <w:style w:type="paragraph" w:styleId="13">
    <w:name w:val="Note Heading"/>
    <w:basedOn w:val="3"/>
    <w:next w:val="1"/>
    <w:link w:val="125"/>
    <w:autoRedefine/>
    <w:semiHidden/>
    <w:unhideWhenUsed/>
    <w:qFormat/>
    <w:uiPriority w:val="0"/>
    <w:pPr>
      <w:keepNext w:val="0"/>
      <w:keepLines w:val="0"/>
      <w:spacing w:before="0" w:after="0" w:line="500" w:lineRule="atLeast"/>
      <w:ind w:firstLine="425" w:firstLineChars="177"/>
      <w:jc w:val="center"/>
      <w:outlineLvl w:val="9"/>
    </w:pPr>
    <w:rPr>
      <w:rFonts w:asciiTheme="minorHAnsi" w:hAnsiTheme="minorHAnsi" w:eastAsiaTheme="minorEastAsia" w:cstheme="minorBidi"/>
      <w:bCs w:val="0"/>
      <w:kern w:val="2"/>
      <w:sz w:val="24"/>
      <w:szCs w:val="22"/>
    </w:rPr>
  </w:style>
  <w:style w:type="paragraph" w:styleId="14">
    <w:name w:val="Normal Indent"/>
    <w:basedOn w:val="1"/>
    <w:next w:val="1"/>
    <w:link w:val="114"/>
    <w:autoRedefine/>
    <w:unhideWhenUsed/>
    <w:qFormat/>
    <w:uiPriority w:val="0"/>
    <w:pPr>
      <w:keepNext w:val="0"/>
      <w:keepLines w:val="0"/>
      <w:adjustRightInd w:val="0"/>
      <w:snapToGrid w:val="0"/>
      <w:spacing w:before="0" w:after="0" w:line="300" w:lineRule="auto"/>
      <w:ind w:firstLine="200" w:firstLineChars="200"/>
      <w:outlineLvl w:val="9"/>
    </w:pPr>
    <w:rPr>
      <w:rFonts w:ascii="仿宋_GB2312" w:eastAsia="仿宋_GB2312" w:hAnsiTheme="minorHAnsi" w:cstheme="minorBidi"/>
      <w:kern w:val="2"/>
      <w:sz w:val="28"/>
      <w:szCs w:val="24"/>
    </w:rPr>
  </w:style>
  <w:style w:type="paragraph" w:styleId="15">
    <w:name w:val="caption"/>
    <w:basedOn w:val="3"/>
    <w:next w:val="1"/>
    <w:link w:val="117"/>
    <w:autoRedefine/>
    <w:unhideWhenUsed/>
    <w:qFormat/>
    <w:uiPriority w:val="35"/>
    <w:pPr>
      <w:keepNext w:val="0"/>
      <w:keepLines w:val="0"/>
      <w:spacing w:before="0" w:after="0" w:line="500" w:lineRule="atLeast"/>
      <w:ind w:firstLine="521" w:firstLineChars="200"/>
      <w:outlineLvl w:val="9"/>
    </w:pPr>
    <w:rPr>
      <w:rFonts w:asciiTheme="minorHAnsi" w:hAnsiTheme="minorHAnsi" w:eastAsiaTheme="minorEastAsia" w:cstheme="minorBidi"/>
      <w:bCs w:val="0"/>
      <w:color w:val="000000"/>
      <w:kern w:val="2"/>
      <w:sz w:val="28"/>
      <w:szCs w:val="22"/>
    </w:rPr>
  </w:style>
  <w:style w:type="paragraph" w:styleId="16">
    <w:name w:val="Document Map"/>
    <w:basedOn w:val="1"/>
    <w:link w:val="81"/>
    <w:autoRedefine/>
    <w:semiHidden/>
    <w:unhideWhenUsed/>
    <w:qFormat/>
    <w:uiPriority w:val="99"/>
    <w:rPr>
      <w:rFonts w:ascii="宋体"/>
      <w:sz w:val="18"/>
      <w:szCs w:val="18"/>
    </w:rPr>
  </w:style>
  <w:style w:type="paragraph" w:styleId="17">
    <w:name w:val="annotation text"/>
    <w:basedOn w:val="1"/>
    <w:link w:val="115"/>
    <w:autoRedefine/>
    <w:unhideWhenUsed/>
    <w:qFormat/>
    <w:uiPriority w:val="99"/>
    <w:pPr>
      <w:jc w:val="left"/>
    </w:pPr>
    <w:rPr>
      <w:rFonts w:ascii="Calibri" w:hAnsi="Calibri" w:eastAsiaTheme="minorEastAsia" w:cstheme="minorBidi"/>
      <w:color w:val="000000"/>
      <w:sz w:val="24"/>
    </w:rPr>
  </w:style>
  <w:style w:type="paragraph" w:styleId="18">
    <w:name w:val="Body Text 3"/>
    <w:basedOn w:val="1"/>
    <w:link w:val="128"/>
    <w:autoRedefine/>
    <w:semiHidden/>
    <w:unhideWhenUsed/>
    <w:qFormat/>
    <w:uiPriority w:val="0"/>
    <w:pPr>
      <w:spacing w:after="120"/>
    </w:pPr>
    <w:rPr>
      <w:rFonts w:ascii="Calibri" w:hAnsi="Calibri" w:eastAsiaTheme="minorEastAsia" w:cstheme="minorBidi"/>
      <w:color w:val="000000"/>
      <w:sz w:val="16"/>
      <w:szCs w:val="16"/>
    </w:rPr>
  </w:style>
  <w:style w:type="paragraph" w:styleId="19">
    <w:name w:val="Body Text"/>
    <w:basedOn w:val="1"/>
    <w:next w:val="1"/>
    <w:link w:val="94"/>
    <w:autoRedefine/>
    <w:unhideWhenUsed/>
    <w:qFormat/>
    <w:uiPriority w:val="0"/>
    <w:pPr>
      <w:spacing w:after="120"/>
    </w:pPr>
  </w:style>
  <w:style w:type="paragraph" w:styleId="20">
    <w:name w:val="Body Text Indent"/>
    <w:basedOn w:val="1"/>
    <w:link w:val="119"/>
    <w:autoRedefine/>
    <w:semiHidden/>
    <w:unhideWhenUsed/>
    <w:qFormat/>
    <w:uiPriority w:val="0"/>
    <w:pPr>
      <w:keepNext w:val="0"/>
      <w:keepLines w:val="0"/>
      <w:spacing w:before="0" w:after="0" w:line="240" w:lineRule="auto"/>
      <w:ind w:firstLine="480" w:firstLineChars="200"/>
      <w:outlineLvl w:val="9"/>
    </w:pPr>
    <w:rPr>
      <w:rFonts w:asciiTheme="minorHAnsi" w:hAnsiTheme="minorHAnsi" w:eastAsiaTheme="minorEastAsia" w:cstheme="minorBidi"/>
      <w:kern w:val="2"/>
      <w:sz w:val="24"/>
      <w:szCs w:val="24"/>
    </w:rPr>
  </w:style>
  <w:style w:type="paragraph" w:styleId="21">
    <w:name w:val="List 2"/>
    <w:basedOn w:val="1"/>
    <w:link w:val="118"/>
    <w:autoRedefine/>
    <w:semiHidden/>
    <w:unhideWhenUsed/>
    <w:qFormat/>
    <w:uiPriority w:val="0"/>
    <w:pPr>
      <w:ind w:left="100" w:leftChars="200" w:hanging="200" w:hangingChars="200"/>
      <w:contextualSpacing/>
    </w:pPr>
    <w:rPr>
      <w:rFonts w:ascii="楷体_GB2312" w:hAnsi="宋体" w:eastAsia="楷体_GB2312" w:cstheme="minorBidi"/>
      <w:color w:val="000000"/>
      <w:sz w:val="24"/>
      <w:szCs w:val="28"/>
    </w:rPr>
  </w:style>
  <w:style w:type="paragraph" w:styleId="22">
    <w:name w:val="Block Text"/>
    <w:basedOn w:val="1"/>
    <w:autoRedefine/>
    <w:semiHidden/>
    <w:unhideWhenUsed/>
    <w:qFormat/>
    <w:uiPriority w:val="0"/>
    <w:pPr>
      <w:spacing w:after="120"/>
      <w:ind w:left="1440" w:leftChars="700" w:right="1440" w:rightChars="700"/>
    </w:pPr>
  </w:style>
  <w:style w:type="paragraph" w:styleId="23">
    <w:name w:val="toc 3"/>
    <w:basedOn w:val="1"/>
    <w:next w:val="1"/>
    <w:autoRedefine/>
    <w:semiHidden/>
    <w:unhideWhenUsed/>
    <w:qFormat/>
    <w:uiPriority w:val="39"/>
    <w:pPr>
      <w:ind w:left="0" w:leftChars="0"/>
      <w:jc w:val="left"/>
    </w:pPr>
    <w:rPr>
      <w:rFonts w:ascii="Times New Roman" w:hAnsi="Times New Roman" w:eastAsia="宋体"/>
      <w:sz w:val="21"/>
    </w:rPr>
  </w:style>
  <w:style w:type="paragraph" w:styleId="24">
    <w:name w:val="Plain Text"/>
    <w:basedOn w:val="3"/>
    <w:next w:val="1"/>
    <w:link w:val="132"/>
    <w:autoRedefine/>
    <w:unhideWhenUsed/>
    <w:qFormat/>
    <w:uiPriority w:val="0"/>
    <w:pPr>
      <w:keepNext w:val="0"/>
      <w:keepLines w:val="0"/>
      <w:spacing w:before="0" w:after="0" w:line="240" w:lineRule="auto"/>
      <w:outlineLvl w:val="9"/>
    </w:pPr>
    <w:rPr>
      <w:rFonts w:ascii="宋体" w:hAnsi="Courier New" w:cs="Courier New"/>
      <w:bCs w:val="0"/>
      <w:kern w:val="2"/>
      <w:sz w:val="21"/>
      <w:szCs w:val="21"/>
    </w:rPr>
  </w:style>
  <w:style w:type="paragraph" w:styleId="25">
    <w:name w:val="Date"/>
    <w:basedOn w:val="1"/>
    <w:next w:val="1"/>
    <w:link w:val="121"/>
    <w:autoRedefine/>
    <w:semiHidden/>
    <w:unhideWhenUsed/>
    <w:qFormat/>
    <w:uiPriority w:val="99"/>
    <w:pPr>
      <w:ind w:left="100" w:leftChars="2500"/>
    </w:pPr>
    <w:rPr>
      <w:rFonts w:asciiTheme="minorHAnsi" w:hAnsiTheme="minorHAnsi" w:eastAsiaTheme="minorEastAsia" w:cstheme="minorBidi"/>
    </w:rPr>
  </w:style>
  <w:style w:type="paragraph" w:styleId="26">
    <w:name w:val="Body Text Indent 2"/>
    <w:basedOn w:val="3"/>
    <w:next w:val="1"/>
    <w:link w:val="129"/>
    <w:autoRedefine/>
    <w:unhideWhenUsed/>
    <w:qFormat/>
    <w:uiPriority w:val="0"/>
    <w:pPr>
      <w:keepNext w:val="0"/>
      <w:keepLines w:val="0"/>
      <w:spacing w:before="0" w:after="0" w:line="360" w:lineRule="auto"/>
      <w:ind w:firstLine="480" w:firstLineChars="200"/>
      <w:outlineLvl w:val="9"/>
    </w:pPr>
    <w:rPr>
      <w:rFonts w:ascii="Calibri" w:hAnsi="Calibri" w:eastAsiaTheme="minorEastAsia" w:cstheme="minorBidi"/>
      <w:bCs w:val="0"/>
      <w:color w:val="000000"/>
      <w:kern w:val="2"/>
      <w:sz w:val="21"/>
      <w:szCs w:val="22"/>
    </w:rPr>
  </w:style>
  <w:style w:type="paragraph" w:styleId="27">
    <w:name w:val="endnote text"/>
    <w:basedOn w:val="1"/>
    <w:link w:val="715"/>
    <w:autoRedefine/>
    <w:semiHidden/>
    <w:unhideWhenUsed/>
    <w:qFormat/>
    <w:uiPriority w:val="99"/>
    <w:pPr>
      <w:snapToGrid w:val="0"/>
      <w:jc w:val="left"/>
    </w:pPr>
  </w:style>
  <w:style w:type="paragraph" w:styleId="28">
    <w:name w:val="Balloon Text"/>
    <w:basedOn w:val="1"/>
    <w:link w:val="82"/>
    <w:autoRedefine/>
    <w:semiHidden/>
    <w:unhideWhenUsed/>
    <w:qFormat/>
    <w:uiPriority w:val="0"/>
    <w:rPr>
      <w:sz w:val="18"/>
      <w:szCs w:val="18"/>
    </w:rPr>
  </w:style>
  <w:style w:type="paragraph" w:styleId="29">
    <w:name w:val="footer"/>
    <w:basedOn w:val="1"/>
    <w:link w:val="72"/>
    <w:autoRedefine/>
    <w:unhideWhenUsed/>
    <w:qFormat/>
    <w:uiPriority w:val="99"/>
    <w:pPr>
      <w:tabs>
        <w:tab w:val="center" w:pos="4153"/>
        <w:tab w:val="right" w:pos="8306"/>
      </w:tabs>
      <w:snapToGrid w:val="0"/>
      <w:jc w:val="left"/>
    </w:pPr>
    <w:rPr>
      <w:sz w:val="18"/>
      <w:szCs w:val="18"/>
    </w:rPr>
  </w:style>
  <w:style w:type="paragraph" w:styleId="30">
    <w:name w:val="header"/>
    <w:basedOn w:val="1"/>
    <w:link w:val="8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unhideWhenUsed/>
    <w:qFormat/>
    <w:uiPriority w:val="39"/>
    <w:pPr>
      <w:tabs>
        <w:tab w:val="right" w:leader="dot" w:pos="8302"/>
      </w:tabs>
      <w:ind w:firstLine="0" w:firstLineChars="0"/>
      <w:jc w:val="center"/>
    </w:pPr>
    <w:rPr>
      <w:rFonts w:ascii="Times New Roman" w:hAnsi="Times New Roman" w:eastAsia="宋体"/>
      <w:b/>
      <w:bCs/>
      <w:iCs/>
      <w:kern w:val="0"/>
      <w:sz w:val="28"/>
      <w:szCs w:val="28"/>
    </w:rPr>
  </w:style>
  <w:style w:type="paragraph" w:styleId="32">
    <w:name w:val="Subtitle"/>
    <w:basedOn w:val="1"/>
    <w:next w:val="1"/>
    <w:link w:val="75"/>
    <w:autoRedefine/>
    <w:qFormat/>
    <w:uiPriority w:val="11"/>
    <w:pPr>
      <w:spacing w:before="200" w:after="200" w:line="360" w:lineRule="auto"/>
      <w:ind w:firstLine="496" w:firstLineChars="177"/>
      <w:jc w:val="left"/>
      <w:outlineLvl w:val="1"/>
    </w:pPr>
    <w:rPr>
      <w:rFonts w:ascii="黑体" w:hAnsi="黑体" w:eastAsia="黑体"/>
      <w:bCs/>
      <w:kern w:val="44"/>
      <w:sz w:val="28"/>
      <w:szCs w:val="28"/>
    </w:rPr>
  </w:style>
  <w:style w:type="paragraph" w:styleId="33">
    <w:name w:val="List"/>
    <w:basedOn w:val="1"/>
    <w:autoRedefine/>
    <w:semiHidden/>
    <w:unhideWhenUsed/>
    <w:qFormat/>
    <w:uiPriority w:val="0"/>
    <w:pPr>
      <w:ind w:left="200" w:hanging="200" w:hangingChars="200"/>
      <w:contextualSpacing/>
    </w:pPr>
  </w:style>
  <w:style w:type="paragraph" w:styleId="34">
    <w:name w:val="Body Text Indent 3"/>
    <w:basedOn w:val="1"/>
    <w:link w:val="131"/>
    <w:autoRedefine/>
    <w:semiHidden/>
    <w:unhideWhenUsed/>
    <w:qFormat/>
    <w:uiPriority w:val="0"/>
    <w:pPr>
      <w:spacing w:after="120"/>
      <w:ind w:left="420" w:leftChars="200"/>
    </w:pPr>
    <w:rPr>
      <w:rFonts w:ascii="Calibri" w:hAnsi="Calibri" w:eastAsiaTheme="minorEastAsia" w:cstheme="minorBidi"/>
      <w:color w:val="000000"/>
      <w:sz w:val="16"/>
      <w:szCs w:val="16"/>
    </w:rPr>
  </w:style>
  <w:style w:type="paragraph" w:styleId="35">
    <w:name w:val="toc 2"/>
    <w:basedOn w:val="1"/>
    <w:next w:val="1"/>
    <w:autoRedefine/>
    <w:unhideWhenUsed/>
    <w:qFormat/>
    <w:uiPriority w:val="39"/>
    <w:pPr>
      <w:tabs>
        <w:tab w:val="right" w:leader="dot" w:pos="8296"/>
      </w:tabs>
      <w:spacing w:line="360" w:lineRule="auto"/>
      <w:ind w:firstLine="320" w:firstLineChars="100"/>
      <w:jc w:val="left"/>
    </w:pPr>
    <w:rPr>
      <w:rFonts w:ascii="Times New Roman" w:hAnsi="Times New Roman" w:eastAsia="宋体"/>
      <w:b/>
      <w:bCs/>
      <w:color w:val="000000"/>
      <w:kern w:val="0"/>
    </w:rPr>
  </w:style>
  <w:style w:type="paragraph" w:styleId="36">
    <w:name w:val="Body Text 2"/>
    <w:basedOn w:val="1"/>
    <w:link w:val="127"/>
    <w:autoRedefine/>
    <w:unhideWhenUsed/>
    <w:qFormat/>
    <w:uiPriority w:val="99"/>
    <w:pPr>
      <w:spacing w:after="120" w:line="480" w:lineRule="auto"/>
    </w:pPr>
    <w:rPr>
      <w:rFonts w:asciiTheme="minorHAnsi" w:hAnsiTheme="minorHAnsi" w:eastAsiaTheme="minorEastAsia" w:cstheme="minorBidi"/>
      <w:sz w:val="24"/>
    </w:rPr>
  </w:style>
  <w:style w:type="paragraph" w:styleId="37">
    <w:name w:val="Message Header"/>
    <w:basedOn w:val="1"/>
    <w:link w:val="761"/>
    <w:autoRedefine/>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38">
    <w:name w:val="HTML Preformatted"/>
    <w:basedOn w:val="1"/>
    <w:link w:val="109"/>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atLeast"/>
      <w:ind w:firstLine="425" w:firstLineChars="177"/>
      <w:jc w:val="left"/>
    </w:pPr>
    <w:rPr>
      <w:rFonts w:ascii="宋体" w:hAnsi="宋体" w:cs="宋体"/>
      <w:sz w:val="24"/>
    </w:rPr>
  </w:style>
  <w:style w:type="paragraph" w:styleId="39">
    <w:name w:val="Normal (Web)"/>
    <w:basedOn w:val="3"/>
    <w:next w:val="1"/>
    <w:autoRedefine/>
    <w:unhideWhenUsed/>
    <w:qFormat/>
    <w:uiPriority w:val="0"/>
    <w:pPr>
      <w:keepNext w:val="0"/>
      <w:keepLines w:val="0"/>
      <w:spacing w:before="0" w:after="0" w:line="240" w:lineRule="auto"/>
      <w:contextualSpacing/>
      <w:jc w:val="center"/>
      <w:outlineLvl w:val="9"/>
    </w:pPr>
    <w:rPr>
      <w:kern w:val="2"/>
      <w:position w:val="2"/>
      <w:sz w:val="21"/>
      <w:szCs w:val="21"/>
    </w:rPr>
  </w:style>
  <w:style w:type="paragraph" w:styleId="40">
    <w:name w:val="Title"/>
    <w:basedOn w:val="1"/>
    <w:next w:val="1"/>
    <w:link w:val="73"/>
    <w:autoRedefine/>
    <w:qFormat/>
    <w:uiPriority w:val="10"/>
    <w:pPr>
      <w:tabs>
        <w:tab w:val="left" w:pos="5400"/>
      </w:tabs>
      <w:snapToGrid w:val="0"/>
      <w:spacing w:before="200" w:after="200" w:line="360" w:lineRule="auto"/>
      <w:ind w:firstLine="581" w:firstLineChars="177"/>
      <w:jc w:val="left"/>
      <w:outlineLvl w:val="0"/>
    </w:pPr>
    <w:rPr>
      <w:rFonts w:ascii="黑体" w:hAnsi="黑体" w:eastAsia="黑体"/>
      <w:color w:val="000000"/>
      <w:spacing w:val="4"/>
      <w:kern w:val="44"/>
      <w:sz w:val="32"/>
      <w:szCs w:val="32"/>
    </w:rPr>
  </w:style>
  <w:style w:type="paragraph" w:styleId="41">
    <w:name w:val="annotation subject"/>
    <w:basedOn w:val="17"/>
    <w:next w:val="17"/>
    <w:link w:val="135"/>
    <w:autoRedefine/>
    <w:semiHidden/>
    <w:unhideWhenUsed/>
    <w:qFormat/>
    <w:uiPriority w:val="0"/>
    <w:rPr>
      <w:b/>
      <w:bCs/>
    </w:rPr>
  </w:style>
  <w:style w:type="paragraph" w:styleId="42">
    <w:name w:val="Body Text First Indent"/>
    <w:basedOn w:val="19"/>
    <w:next w:val="1"/>
    <w:link w:val="122"/>
    <w:autoRedefine/>
    <w:unhideWhenUsed/>
    <w:qFormat/>
    <w:uiPriority w:val="0"/>
    <w:pPr>
      <w:spacing w:after="0" w:line="360" w:lineRule="auto"/>
      <w:ind w:firstLine="480" w:firstLineChars="200"/>
    </w:pPr>
    <w:rPr>
      <w:rFonts w:hAnsiTheme="minorEastAsia" w:eastAsiaTheme="minorEastAsia"/>
      <w:bCs/>
      <w:sz w:val="24"/>
    </w:rPr>
  </w:style>
  <w:style w:type="paragraph" w:styleId="43">
    <w:name w:val="Body Text First Indent 2"/>
    <w:basedOn w:val="20"/>
    <w:link w:val="124"/>
    <w:autoRedefine/>
    <w:semiHidden/>
    <w:unhideWhenUsed/>
    <w:qFormat/>
    <w:uiPriority w:val="0"/>
    <w:pPr>
      <w:spacing w:after="120"/>
      <w:ind w:left="420" w:leftChars="200" w:firstLine="420"/>
    </w:pPr>
    <w:rPr>
      <w:sz w:val="28"/>
    </w:rPr>
  </w:style>
  <w:style w:type="table" w:styleId="45">
    <w:name w:val="Table Grid"/>
    <w:basedOn w:val="44"/>
    <w:autoRedefine/>
    <w:qFormat/>
    <w:uiPriority w:val="59"/>
    <w:pPr>
      <w:widowControl w:val="0"/>
      <w:spacing w:line="240" w:lineRule="auto"/>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Elegant"/>
    <w:basedOn w:val="44"/>
    <w:autoRedefine/>
    <w:semiHidden/>
    <w:unhideWhenUsed/>
    <w:qFormat/>
    <w:uiPriority w:val="0"/>
    <w:pPr>
      <w:widowControl w:val="0"/>
      <w:spacing w:line="240" w:lineRule="auto"/>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47">
    <w:name w:val="Table Grid 1"/>
    <w:basedOn w:val="44"/>
    <w:autoRedefine/>
    <w:semiHidden/>
    <w:unhideWhenUsed/>
    <w:qFormat/>
    <w:uiPriority w:val="0"/>
    <w:pPr>
      <w:widowControl w:val="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48">
    <w:name w:val="Table Grid 6"/>
    <w:basedOn w:val="44"/>
    <w:autoRedefine/>
    <w:semiHidden/>
    <w:unhideWhenUsed/>
    <w:qFormat/>
    <w:uiPriority w:val="0"/>
    <w:pPr>
      <w:widowControl w:val="0"/>
      <w:spacing w:line="440" w:lineRule="exact"/>
      <w:ind w:firstLine="496"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0">
    <w:name w:val="Strong"/>
    <w:basedOn w:val="49"/>
    <w:autoRedefine/>
    <w:qFormat/>
    <w:uiPriority w:val="22"/>
    <w:rPr>
      <w:b/>
      <w:bCs/>
    </w:rPr>
  </w:style>
  <w:style w:type="character" w:styleId="51">
    <w:name w:val="endnote reference"/>
    <w:basedOn w:val="49"/>
    <w:autoRedefine/>
    <w:semiHidden/>
    <w:unhideWhenUsed/>
    <w:qFormat/>
    <w:uiPriority w:val="99"/>
    <w:rPr>
      <w:vertAlign w:val="superscript"/>
    </w:rPr>
  </w:style>
  <w:style w:type="character" w:styleId="52">
    <w:name w:val="FollowedHyperlink"/>
    <w:basedOn w:val="49"/>
    <w:autoRedefine/>
    <w:semiHidden/>
    <w:unhideWhenUsed/>
    <w:qFormat/>
    <w:uiPriority w:val="99"/>
    <w:rPr>
      <w:color w:val="800080" w:themeColor="followedHyperlink"/>
      <w:u w:val="single"/>
      <w14:textFill>
        <w14:solidFill>
          <w14:schemeClr w14:val="folHlink"/>
        </w14:solidFill>
      </w14:textFill>
    </w:rPr>
  </w:style>
  <w:style w:type="character" w:styleId="53">
    <w:name w:val="HTML Typewriter"/>
    <w:autoRedefine/>
    <w:semiHidden/>
    <w:unhideWhenUsed/>
    <w:qFormat/>
    <w:uiPriority w:val="0"/>
    <w:rPr>
      <w:rFonts w:hint="eastAsia" w:ascii="宋体" w:hAnsi="宋体" w:eastAsia="宋体" w:cs="宋体"/>
      <w:sz w:val="24"/>
      <w:szCs w:val="24"/>
    </w:rPr>
  </w:style>
  <w:style w:type="character" w:styleId="54">
    <w:name w:val="Hyperlink"/>
    <w:autoRedefine/>
    <w:unhideWhenUsed/>
    <w:qFormat/>
    <w:uiPriority w:val="99"/>
    <w:rPr>
      <w:color w:val="0000FF"/>
      <w:u w:val="single"/>
    </w:rPr>
  </w:style>
  <w:style w:type="character" w:styleId="55">
    <w:name w:val="annotation reference"/>
    <w:autoRedefine/>
    <w:semiHidden/>
    <w:unhideWhenUsed/>
    <w:qFormat/>
    <w:uiPriority w:val="0"/>
    <w:rPr>
      <w:sz w:val="21"/>
      <w:szCs w:val="21"/>
    </w:rPr>
  </w:style>
  <w:style w:type="paragraph" w:customStyle="1" w:styleId="56">
    <w:name w:val="xl27"/>
    <w:basedOn w:val="3"/>
    <w:autoRedefine/>
    <w:qFormat/>
    <w:uiPriority w:val="99"/>
    <w:pPr>
      <w:keepNext w:val="0"/>
      <w:keepLines w:val="0"/>
      <w:widowControl/>
      <w:pBdr>
        <w:bottom w:val="single" w:color="auto" w:sz="12" w:space="0"/>
      </w:pBdr>
      <w:spacing w:before="100" w:after="100" w:line="500" w:lineRule="atLeast"/>
      <w:ind w:firstLine="425" w:firstLineChars="177"/>
      <w:jc w:val="center"/>
      <w:outlineLvl w:val="9"/>
    </w:pPr>
    <w:rPr>
      <w:rFonts w:ascii="宋体" w:hAnsi="宋体"/>
      <w:bCs w:val="0"/>
      <w:kern w:val="0"/>
      <w:sz w:val="24"/>
      <w:szCs w:val="20"/>
    </w:rPr>
  </w:style>
  <w:style w:type="paragraph" w:customStyle="1" w:styleId="57">
    <w:name w:val="Normal (Web)1"/>
    <w:basedOn w:val="1"/>
    <w:next w:val="58"/>
    <w:autoRedefine/>
    <w:qFormat/>
    <w:uiPriority w:val="0"/>
    <w:pPr>
      <w:widowControl/>
      <w:spacing w:line="360" w:lineRule="auto"/>
      <w:jc w:val="left"/>
    </w:pPr>
    <w:rPr>
      <w:rFonts w:ascii="宋体" w:hAnsi="Calibri"/>
      <w:kern w:val="0"/>
      <w:sz w:val="24"/>
      <w:szCs w:val="21"/>
    </w:rPr>
  </w:style>
  <w:style w:type="paragraph" w:customStyle="1" w:styleId="58">
    <w:name w:val="Date1"/>
    <w:basedOn w:val="3"/>
    <w:next w:val="1"/>
    <w:autoRedefine/>
    <w:qFormat/>
    <w:uiPriority w:val="99"/>
    <w:pPr>
      <w:keepNext w:val="0"/>
      <w:keepLines w:val="0"/>
      <w:adjustRightInd w:val="0"/>
      <w:spacing w:before="0" w:after="0" w:line="500" w:lineRule="atLeast"/>
      <w:ind w:firstLine="425" w:firstLineChars="177"/>
      <w:outlineLvl w:val="9"/>
    </w:pPr>
    <w:rPr>
      <w:bCs w:val="0"/>
      <w:kern w:val="2"/>
      <w:sz w:val="24"/>
      <w:szCs w:val="20"/>
    </w:rPr>
  </w:style>
  <w:style w:type="paragraph" w:customStyle="1" w:styleId="59">
    <w:name w:val="样式 正文文本缩进 + 行距: 1.5 倍行距"/>
    <w:basedOn w:val="20"/>
    <w:qFormat/>
    <w:uiPriority w:val="0"/>
    <w:pPr>
      <w:spacing w:after="120"/>
      <w:ind w:left="90" w:leftChars="32" w:firstLine="560"/>
    </w:pPr>
    <w:rPr>
      <w:rFonts w:ascii="Times New Roman" w:hAnsi="Times New Roman"/>
      <w:lang w:val="en-US"/>
    </w:rPr>
  </w:style>
  <w:style w:type="paragraph" w:customStyle="1" w:styleId="60">
    <w:name w:val="11111"/>
    <w:next w:val="1"/>
    <w:autoRedefine/>
    <w:qFormat/>
    <w:uiPriority w:val="0"/>
    <w:pPr>
      <w:widowControl w:val="0"/>
      <w:spacing w:line="360" w:lineRule="auto"/>
      <w:ind w:firstLine="200" w:firstLineChars="200"/>
      <w:jc w:val="both"/>
    </w:pPr>
    <w:rPr>
      <w:rFonts w:ascii="Calibri" w:hAnsi="宋体" w:eastAsia="宋体" w:cs="宋体"/>
      <w:kern w:val="2"/>
      <w:sz w:val="21"/>
      <w:szCs w:val="24"/>
      <w:lang w:val="en-US" w:eastAsia="zh-CN" w:bidi="ar-SA"/>
    </w:rPr>
  </w:style>
  <w:style w:type="paragraph" w:customStyle="1" w:styleId="61">
    <w:name w:val="Default"/>
    <w:basedOn w:val="62"/>
    <w:next w:val="1"/>
    <w:link w:val="221"/>
    <w:autoRedefine/>
    <w:qFormat/>
    <w:uiPriority w:val="0"/>
    <w:pPr>
      <w:widowControl w:val="0"/>
      <w:autoSpaceDE w:val="0"/>
      <w:autoSpaceDN w:val="0"/>
      <w:adjustRightInd w:val="0"/>
      <w:spacing w:line="360" w:lineRule="auto"/>
      <w:ind w:firstLine="480" w:firstLineChars="200"/>
      <w:jc w:val="both"/>
    </w:pPr>
    <w:rPr>
      <w:rFonts w:ascii="Times New Roman" w:cs="Times New Roman" w:hAnsiTheme="minorEastAsia" w:eastAsiaTheme="minorEastAsia"/>
      <w:bCs/>
      <w:kern w:val="2"/>
      <w:sz w:val="24"/>
      <w:szCs w:val="24"/>
      <w:lang w:val="zh-CN" w:eastAsia="zh-CN" w:bidi="ar-SA"/>
    </w:rPr>
  </w:style>
  <w:style w:type="paragraph" w:customStyle="1" w:styleId="62">
    <w:name w:val="纯文本1"/>
    <w:basedOn w:val="3"/>
    <w:autoRedefine/>
    <w:qFormat/>
    <w:uiPriority w:val="99"/>
    <w:pPr>
      <w:keepNext w:val="0"/>
      <w:keepLines w:val="0"/>
      <w:adjustRightInd w:val="0"/>
      <w:spacing w:before="0" w:after="0" w:line="500" w:lineRule="atLeast"/>
      <w:ind w:firstLine="425" w:firstLineChars="177"/>
      <w:outlineLvl w:val="9"/>
    </w:pPr>
    <w:rPr>
      <w:rFonts w:ascii="宋体" w:hAnsi="Courier New"/>
      <w:bCs w:val="0"/>
      <w:color w:val="000000"/>
      <w:kern w:val="2"/>
      <w:sz w:val="24"/>
      <w:szCs w:val="20"/>
    </w:rPr>
  </w:style>
  <w:style w:type="character" w:customStyle="1" w:styleId="63">
    <w:name w:val="标题 1 Char"/>
    <w:link w:val="3"/>
    <w:autoRedefine/>
    <w:qFormat/>
    <w:uiPriority w:val="0"/>
    <w:rPr>
      <w:rFonts w:ascii="Times New Roman" w:hAnsi="Times New Roman" w:eastAsia="黑体" w:cs="Times New Roman"/>
      <w:bCs/>
      <w:kern w:val="44"/>
      <w:sz w:val="32"/>
      <w:szCs w:val="44"/>
      <w:highlight w:val="none"/>
      <w:lang w:val="en-US" w:eastAsia="zh-CN" w:bidi="ar-SA"/>
    </w:rPr>
  </w:style>
  <w:style w:type="character" w:customStyle="1" w:styleId="64">
    <w:name w:val="标题 2 Char"/>
    <w:link w:val="4"/>
    <w:autoRedefine/>
    <w:qFormat/>
    <w:uiPriority w:val="0"/>
    <w:rPr>
      <w:rFonts w:ascii="Times New Roman" w:hAnsi="Times New Roman" w:eastAsia="黑体" w:cstheme="majorBidi"/>
      <w:bCs/>
      <w:kern w:val="44"/>
      <w:sz w:val="30"/>
      <w:szCs w:val="30"/>
      <w:highlight w:val="none"/>
      <w:lang w:val="en-US" w:eastAsia="zh-CN" w:bidi="ar-SA"/>
    </w:rPr>
  </w:style>
  <w:style w:type="character" w:customStyle="1" w:styleId="65">
    <w:name w:val="标题 3 Char"/>
    <w:link w:val="5"/>
    <w:autoRedefine/>
    <w:qFormat/>
    <w:uiPriority w:val="0"/>
    <w:rPr>
      <w:rFonts w:ascii="Times New Roman" w:hAnsi="Times New Roman" w:eastAsia="黑体" w:cstheme="majorBidi"/>
      <w:bCs/>
      <w:kern w:val="44"/>
      <w:sz w:val="28"/>
      <w:szCs w:val="30"/>
      <w:highlight w:val="none"/>
      <w:lang w:val="en-US" w:eastAsia="zh-CN" w:bidi="ar-SA"/>
    </w:rPr>
  </w:style>
  <w:style w:type="character" w:customStyle="1" w:styleId="66">
    <w:name w:val="标题 4 Char"/>
    <w:basedOn w:val="49"/>
    <w:link w:val="6"/>
    <w:autoRedefine/>
    <w:qFormat/>
    <w:uiPriority w:val="0"/>
    <w:rPr>
      <w:rFonts w:ascii="Times New Roman" w:hAnsi="Times New Roman" w:eastAsia="黑体" w:cstheme="majorBidi"/>
      <w:sz w:val="24"/>
      <w:szCs w:val="28"/>
    </w:rPr>
  </w:style>
  <w:style w:type="character" w:customStyle="1" w:styleId="67">
    <w:name w:val="标题 5 Char"/>
    <w:link w:val="7"/>
    <w:autoRedefine/>
    <w:semiHidden/>
    <w:qFormat/>
    <w:uiPriority w:val="0"/>
    <w:rPr>
      <w:rFonts w:ascii="Times New Roman" w:hAnsi="Times New Roman" w:eastAsia="宋体" w:cs="Times New Roman"/>
      <w:b/>
      <w:color w:val="000000"/>
      <w:kern w:val="0"/>
      <w:sz w:val="21"/>
      <w:szCs w:val="28"/>
      <w:lang w:val="en-US" w:eastAsia="zh-CN" w:bidi="ar-SA"/>
    </w:rPr>
  </w:style>
  <w:style w:type="character" w:customStyle="1" w:styleId="68">
    <w:name w:val="标题 6 Char"/>
    <w:link w:val="8"/>
    <w:autoRedefine/>
    <w:semiHidden/>
    <w:qFormat/>
    <w:uiPriority w:val="0"/>
    <w:rPr>
      <w:rFonts w:ascii="Times New Roman" w:hAnsi="Times New Roman" w:eastAsia="宋体" w:cs="Times New Roman"/>
      <w:color w:val="000000"/>
      <w:kern w:val="0"/>
      <w:sz w:val="21"/>
      <w:szCs w:val="24"/>
      <w:lang w:val="en-US" w:eastAsia="zh-CN" w:bidi="ar-SA"/>
    </w:rPr>
  </w:style>
  <w:style w:type="character" w:customStyle="1" w:styleId="69">
    <w:name w:val="标题 7 Char"/>
    <w:basedOn w:val="49"/>
    <w:link w:val="9"/>
    <w:autoRedefine/>
    <w:semiHidden/>
    <w:qFormat/>
    <w:uiPriority w:val="99"/>
    <w:rPr>
      <w:rFonts w:ascii="Times New Roman" w:hAnsi="Times New Roman" w:eastAsia="宋体" w:cs="Times New Roman"/>
      <w:b/>
      <w:bCs/>
      <w:color w:val="000000"/>
      <w:kern w:val="0"/>
      <w:sz w:val="24"/>
      <w:szCs w:val="24"/>
    </w:rPr>
  </w:style>
  <w:style w:type="character" w:customStyle="1" w:styleId="70">
    <w:name w:val="标题 8 Char"/>
    <w:basedOn w:val="49"/>
    <w:link w:val="10"/>
    <w:autoRedefine/>
    <w:semiHidden/>
    <w:qFormat/>
    <w:uiPriority w:val="99"/>
    <w:rPr>
      <w:rFonts w:ascii="Arial" w:hAnsi="Arial" w:eastAsia="黑体" w:cs="Times New Roman"/>
      <w:color w:val="000000"/>
      <w:kern w:val="0"/>
      <w:sz w:val="24"/>
      <w:szCs w:val="24"/>
    </w:rPr>
  </w:style>
  <w:style w:type="character" w:customStyle="1" w:styleId="71">
    <w:name w:val="标题 9 Char"/>
    <w:basedOn w:val="49"/>
    <w:link w:val="11"/>
    <w:autoRedefine/>
    <w:semiHidden/>
    <w:qFormat/>
    <w:uiPriority w:val="99"/>
    <w:rPr>
      <w:rFonts w:ascii="Times New Roman" w:hAnsi="Times New Roman" w:eastAsia="宋体" w:cs="Times New Roman"/>
      <w:color w:val="000000"/>
      <w:kern w:val="0"/>
      <w:sz w:val="24"/>
      <w:szCs w:val="21"/>
    </w:rPr>
  </w:style>
  <w:style w:type="character" w:customStyle="1" w:styleId="72">
    <w:name w:val="页脚 Char"/>
    <w:basedOn w:val="49"/>
    <w:link w:val="29"/>
    <w:autoRedefine/>
    <w:qFormat/>
    <w:uiPriority w:val="99"/>
    <w:rPr>
      <w:rFonts w:ascii="Times New Roman" w:hAnsi="Times New Roman" w:eastAsia="宋体" w:cs="Times New Roman"/>
      <w:sz w:val="18"/>
      <w:szCs w:val="18"/>
    </w:rPr>
  </w:style>
  <w:style w:type="character" w:customStyle="1" w:styleId="73">
    <w:name w:val="标题 Char1"/>
    <w:basedOn w:val="49"/>
    <w:link w:val="40"/>
    <w:autoRedefine/>
    <w:qFormat/>
    <w:locked/>
    <w:uiPriority w:val="10"/>
    <w:rPr>
      <w:rFonts w:ascii="黑体" w:hAnsi="黑体" w:eastAsia="黑体" w:cs="Times New Roman"/>
      <w:color w:val="000000"/>
      <w:spacing w:val="4"/>
      <w:kern w:val="44"/>
      <w:sz w:val="32"/>
      <w:szCs w:val="32"/>
    </w:rPr>
  </w:style>
  <w:style w:type="character" w:customStyle="1" w:styleId="74">
    <w:name w:val="标题 Char"/>
    <w:basedOn w:val="49"/>
    <w:autoRedefine/>
    <w:qFormat/>
    <w:uiPriority w:val="10"/>
    <w:rPr>
      <w:rFonts w:eastAsia="宋体" w:asciiTheme="majorHAnsi" w:hAnsiTheme="majorHAnsi" w:cstheme="majorBidi"/>
      <w:b/>
      <w:bCs/>
      <w:sz w:val="32"/>
      <w:szCs w:val="32"/>
    </w:rPr>
  </w:style>
  <w:style w:type="character" w:customStyle="1" w:styleId="75">
    <w:name w:val="副标题 Char"/>
    <w:basedOn w:val="49"/>
    <w:link w:val="32"/>
    <w:autoRedefine/>
    <w:qFormat/>
    <w:uiPriority w:val="11"/>
    <w:rPr>
      <w:rFonts w:ascii="黑体" w:hAnsi="黑体" w:eastAsia="黑体" w:cs="Times New Roman"/>
      <w:bCs/>
      <w:kern w:val="44"/>
      <w:sz w:val="28"/>
      <w:szCs w:val="28"/>
    </w:rPr>
  </w:style>
  <w:style w:type="character" w:customStyle="1" w:styleId="76">
    <w:name w:val="【正文】 Char"/>
    <w:basedOn w:val="49"/>
    <w:link w:val="77"/>
    <w:autoRedefine/>
    <w:qFormat/>
    <w:locked/>
    <w:uiPriority w:val="0"/>
    <w:rPr>
      <w:sz w:val="24"/>
      <w:szCs w:val="24"/>
    </w:rPr>
  </w:style>
  <w:style w:type="paragraph" w:customStyle="1" w:styleId="77">
    <w:name w:val="【正文】"/>
    <w:basedOn w:val="1"/>
    <w:next w:val="37"/>
    <w:link w:val="76"/>
    <w:autoRedefine/>
    <w:qFormat/>
    <w:uiPriority w:val="0"/>
    <w:pPr>
      <w:widowControl/>
      <w:adjustRightInd w:val="0"/>
      <w:snapToGrid w:val="0"/>
      <w:spacing w:line="360" w:lineRule="auto"/>
      <w:ind w:firstLine="480" w:firstLineChars="200"/>
      <w:jc w:val="left"/>
    </w:pPr>
    <w:rPr>
      <w:rFonts w:asciiTheme="minorHAnsi" w:hAnsiTheme="minorHAnsi" w:eastAsiaTheme="minorEastAsia" w:cstheme="minorBidi"/>
      <w:sz w:val="24"/>
    </w:rPr>
  </w:style>
  <w:style w:type="character" w:customStyle="1" w:styleId="78">
    <w:name w:val="【表头】 Char"/>
    <w:link w:val="79"/>
    <w:autoRedefine/>
    <w:qFormat/>
    <w:locked/>
    <w:uiPriority w:val="0"/>
    <w:rPr>
      <w:rFonts w:ascii="宋体" w:hAnsi="宋体" w:eastAsia="宋体"/>
      <w:b/>
      <w:szCs w:val="21"/>
    </w:rPr>
  </w:style>
  <w:style w:type="paragraph" w:customStyle="1" w:styleId="79">
    <w:name w:val="【表头】"/>
    <w:basedOn w:val="1"/>
    <w:link w:val="78"/>
    <w:autoRedefine/>
    <w:qFormat/>
    <w:uiPriority w:val="0"/>
    <w:pPr>
      <w:spacing w:line="500" w:lineRule="atLeast"/>
      <w:ind w:firstLine="425" w:firstLineChars="177"/>
      <w:jc w:val="center"/>
    </w:pPr>
    <w:rPr>
      <w:rFonts w:ascii="宋体" w:hAnsi="宋体" w:cstheme="minorBidi"/>
      <w:b/>
      <w:szCs w:val="21"/>
    </w:rPr>
  </w:style>
  <w:style w:type="table" w:customStyle="1" w:styleId="80">
    <w:name w:val="环评表格"/>
    <w:basedOn w:val="44"/>
    <w:autoRedefine/>
    <w:qFormat/>
    <w:uiPriority w:val="0"/>
    <w:pPr>
      <w:snapToGrid w:val="0"/>
      <w:jc w:val="center"/>
    </w:pPr>
    <w:rPr>
      <w:rFonts w:ascii="Times New Roman" w:hAnsi="Times New Roman" w:eastAsia="宋体" w:cs="Times New Roman"/>
      <w:kern w:val="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81">
    <w:name w:val="文档结构图 Char"/>
    <w:basedOn w:val="49"/>
    <w:link w:val="16"/>
    <w:autoRedefine/>
    <w:semiHidden/>
    <w:qFormat/>
    <w:uiPriority w:val="99"/>
    <w:rPr>
      <w:rFonts w:ascii="宋体" w:hAnsi="Times New Roman" w:eastAsia="宋体" w:cs="Times New Roman"/>
      <w:sz w:val="18"/>
      <w:szCs w:val="18"/>
    </w:rPr>
  </w:style>
  <w:style w:type="character" w:customStyle="1" w:styleId="82">
    <w:name w:val="批注框文本 Char"/>
    <w:basedOn w:val="49"/>
    <w:link w:val="28"/>
    <w:autoRedefine/>
    <w:semiHidden/>
    <w:qFormat/>
    <w:uiPriority w:val="0"/>
    <w:rPr>
      <w:rFonts w:ascii="Times New Roman" w:hAnsi="Times New Roman" w:eastAsia="宋体" w:cs="Times New Roman"/>
      <w:sz w:val="18"/>
      <w:szCs w:val="18"/>
    </w:rPr>
  </w:style>
  <w:style w:type="character" w:customStyle="1" w:styleId="83">
    <w:name w:val="页眉 Char"/>
    <w:basedOn w:val="49"/>
    <w:link w:val="30"/>
    <w:autoRedefine/>
    <w:semiHidden/>
    <w:qFormat/>
    <w:uiPriority w:val="99"/>
    <w:rPr>
      <w:rFonts w:ascii="Times New Roman" w:hAnsi="Times New Roman" w:eastAsia="宋体" w:cs="Times New Roman"/>
      <w:sz w:val="18"/>
      <w:szCs w:val="18"/>
    </w:rPr>
  </w:style>
  <w:style w:type="character" w:customStyle="1" w:styleId="84">
    <w:name w:val="fontstyle01"/>
    <w:basedOn w:val="49"/>
    <w:autoRedefine/>
    <w:qFormat/>
    <w:uiPriority w:val="0"/>
    <w:rPr>
      <w:rFonts w:hint="eastAsia" w:ascii="宋体" w:hAnsi="宋体" w:eastAsia="宋体"/>
      <w:color w:val="000000"/>
      <w:sz w:val="24"/>
      <w:szCs w:val="24"/>
    </w:rPr>
  </w:style>
  <w:style w:type="character" w:customStyle="1" w:styleId="85">
    <w:name w:val="fontstyle11"/>
    <w:basedOn w:val="49"/>
    <w:autoRedefine/>
    <w:qFormat/>
    <w:uiPriority w:val="0"/>
    <w:rPr>
      <w:rFonts w:hint="default" w:ascii="TimesNewRomanPSMT" w:hAnsi="TimesNewRomanPSMT"/>
      <w:color w:val="000000"/>
      <w:sz w:val="24"/>
      <w:szCs w:val="24"/>
    </w:rPr>
  </w:style>
  <w:style w:type="character" w:customStyle="1" w:styleId="86">
    <w:name w:val="【表中文字】 Char Char"/>
    <w:link w:val="87"/>
    <w:autoRedefine/>
    <w:qFormat/>
    <w:locked/>
    <w:uiPriority w:val="0"/>
    <w:rPr>
      <w:rFonts w:ascii="Times New Roman" w:eastAsia="宋体" w:cs="Times New Roman" w:hAnsiTheme="minorEastAsia"/>
      <w:szCs w:val="21"/>
    </w:rPr>
  </w:style>
  <w:style w:type="paragraph" w:customStyle="1" w:styleId="87">
    <w:name w:val="【表中文字】"/>
    <w:basedOn w:val="88"/>
    <w:link w:val="86"/>
    <w:autoRedefine/>
    <w:qFormat/>
    <w:uiPriority w:val="0"/>
    <w:pPr>
      <w:jc w:val="center"/>
    </w:pPr>
    <w:rPr>
      <w:rFonts w:hAnsiTheme="minorEastAsia"/>
      <w:szCs w:val="21"/>
    </w:rPr>
  </w:style>
  <w:style w:type="paragraph" w:customStyle="1" w:styleId="88">
    <w:name w:val=".表1-1-1内容"/>
    <w:basedOn w:val="1"/>
    <w:autoRedefine/>
    <w:qFormat/>
    <w:uiPriority w:val="0"/>
    <w:pPr>
      <w:spacing w:line="300" w:lineRule="exact"/>
      <w:jc w:val="center"/>
    </w:pPr>
    <w:rPr>
      <w:kern w:val="0"/>
      <w:szCs w:val="21"/>
    </w:rPr>
  </w:style>
  <w:style w:type="paragraph" w:customStyle="1" w:styleId="89">
    <w:name w:val="p17"/>
    <w:basedOn w:val="1"/>
    <w:autoRedefine/>
    <w:qFormat/>
    <w:uiPriority w:val="0"/>
    <w:pPr>
      <w:widowControl/>
      <w:spacing w:line="560" w:lineRule="atLeast"/>
    </w:pPr>
    <w:rPr>
      <w:rFonts w:ascii="Arial" w:hAnsi="Arial"/>
      <w:b/>
      <w:kern w:val="0"/>
      <w:sz w:val="36"/>
      <w:szCs w:val="20"/>
    </w:rPr>
  </w:style>
  <w:style w:type="table" w:customStyle="1" w:styleId="90">
    <w:name w:val="&gt;&gt; 表格样式 &lt;&lt;"/>
    <w:basedOn w:val="44"/>
    <w:autoRedefine/>
    <w:qFormat/>
    <w:uiPriority w:val="0"/>
    <w:pPr>
      <w:keepLines/>
      <w:spacing w:line="240" w:lineRule="auto"/>
      <w:jc w:val="center"/>
    </w:pPr>
    <w:rPr>
      <w:rFonts w:ascii="Times New Roman" w:hAnsi="Times New Roman" w:eastAsia="宋体" w:cs="Times New Roman"/>
      <w:kern w:val="0"/>
      <w:szCs w:val="21"/>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tcPr>
      <w:vAlign w:val="center"/>
    </w:tcPr>
    <w:tblStylePr w:type="firstRow">
      <w:rPr>
        <w:rFonts w:hint="eastAsia" w:ascii="宋体" w:hAnsi="宋体" w:eastAsia="宋体"/>
        <w:b w:val="0"/>
        <w:sz w:val="21"/>
        <w:szCs w:val="21"/>
      </w:rPr>
      <w:tcPr>
        <w:tcBorders>
          <w:top w:val="single" w:color="auto" w:sz="12" w:space="0"/>
          <w:left w:val="nil"/>
          <w:bottom w:val="single" w:color="auto" w:sz="8" w:space="0"/>
          <w:right w:val="nil"/>
          <w:insideH w:val="nil"/>
          <w:insideV w:val="single" w:sz="8" w:space="0"/>
          <w:tl2br w:val="nil"/>
          <w:tr2bl w:val="nil"/>
        </w:tcBorders>
      </w:tcPr>
    </w:tblStylePr>
    <w:tblStylePr w:type="lastRow">
      <w:tcPr>
        <w:tcBorders>
          <w:top w:val="single" w:color="auto" w:sz="8" w:space="0"/>
          <w:left w:val="nil"/>
          <w:bottom w:val="single" w:color="auto" w:sz="12" w:space="0"/>
          <w:right w:val="nil"/>
          <w:insideH w:val="nil"/>
          <w:insideV w:val="single" w:sz="8" w:space="0"/>
          <w:tl2br w:val="nil"/>
          <w:tr2bl w:val="nil"/>
        </w:tcBorders>
      </w:tcPr>
    </w:tblStylePr>
    <w:tblStylePr w:type="firstCol">
      <w:pPr>
        <w:jc w:val="center"/>
      </w:pPr>
      <w:rPr>
        <w:rFonts w:hint="eastAsia" w:ascii="宋体" w:hAnsi="宋体" w:eastAsia="宋体"/>
        <w:b w:val="0"/>
        <w:sz w:val="21"/>
        <w:szCs w:val="21"/>
      </w:rPr>
      <w:tcPr>
        <w:tcBorders>
          <w:top w:val="single" w:color="auto" w:sz="12" w:space="0"/>
          <w:left w:val="nil"/>
          <w:bottom w:val="single" w:color="auto" w:sz="12" w:space="0"/>
          <w:right w:val="single" w:color="auto" w:sz="8" w:space="0"/>
          <w:insideH w:val="nil"/>
          <w:insideV w:val="nil"/>
          <w:tl2br w:val="nil"/>
          <w:tr2bl w:val="nil"/>
        </w:tcBorders>
      </w:tcPr>
    </w:tblStylePr>
    <w:tblStylePr w:type="lastCol">
      <w:tcPr>
        <w:tcBorders>
          <w:top w:val="single" w:color="auto" w:sz="12" w:space="0"/>
          <w:left w:val="single" w:color="auto" w:sz="8" w:space="0"/>
          <w:bottom w:val="single" w:color="auto" w:sz="12" w:space="0"/>
          <w:right w:val="nil"/>
          <w:insideH w:val="nil"/>
          <w:insideV w:val="nil"/>
          <w:tl2br w:val="nil"/>
          <w:tr2bl w:val="nil"/>
        </w:tcBorders>
      </w:tcPr>
    </w:tblStylePr>
  </w:style>
  <w:style w:type="character" w:customStyle="1" w:styleId="91">
    <w:name w:val="【表中文字】 Char"/>
    <w:autoRedefine/>
    <w:qFormat/>
    <w:locked/>
    <w:uiPriority w:val="0"/>
    <w:rPr>
      <w:rFonts w:ascii="Times New Roman" w:hAnsi="Times New Roman" w:cs="Times New Roman"/>
    </w:rPr>
  </w:style>
  <w:style w:type="character" w:customStyle="1" w:styleId="92">
    <w:name w:val="3级标题 Char"/>
    <w:basedOn w:val="49"/>
    <w:link w:val="93"/>
    <w:autoRedefine/>
    <w:qFormat/>
    <w:locked/>
    <w:uiPriority w:val="0"/>
    <w:rPr>
      <w:rFonts w:ascii="黑体" w:hAnsi="黑体" w:eastAsia="黑体"/>
      <w:sz w:val="24"/>
      <w:szCs w:val="24"/>
    </w:rPr>
  </w:style>
  <w:style w:type="paragraph" w:customStyle="1" w:styleId="93">
    <w:name w:val="3级标题"/>
    <w:basedOn w:val="1"/>
    <w:link w:val="92"/>
    <w:autoRedefine/>
    <w:qFormat/>
    <w:uiPriority w:val="0"/>
    <w:pPr>
      <w:spacing w:before="160" w:after="160" w:line="360" w:lineRule="auto"/>
      <w:ind w:firstLine="425" w:firstLineChars="177"/>
    </w:pPr>
    <w:rPr>
      <w:rFonts w:ascii="黑体" w:hAnsi="黑体" w:eastAsia="黑体" w:cstheme="minorBidi"/>
      <w:sz w:val="24"/>
    </w:rPr>
  </w:style>
  <w:style w:type="character" w:customStyle="1" w:styleId="94">
    <w:name w:val="正文文本 Char"/>
    <w:basedOn w:val="49"/>
    <w:link w:val="19"/>
    <w:autoRedefine/>
    <w:qFormat/>
    <w:locked/>
    <w:uiPriority w:val="0"/>
    <w:rPr>
      <w:rFonts w:ascii="Times New Roman" w:hAnsi="Times New Roman" w:eastAsia="宋体" w:cs="Times New Roman"/>
      <w:szCs w:val="24"/>
    </w:rPr>
  </w:style>
  <w:style w:type="character" w:customStyle="1" w:styleId="95">
    <w:name w:val="正文文本 Char1"/>
    <w:basedOn w:val="49"/>
    <w:autoRedefine/>
    <w:qFormat/>
    <w:uiPriority w:val="0"/>
    <w:rPr>
      <w:rFonts w:ascii="Times New Roman" w:hAnsi="Times New Roman" w:eastAsia="宋体" w:cs="Times New Roman"/>
      <w:szCs w:val="24"/>
    </w:rPr>
  </w:style>
  <w:style w:type="table" w:customStyle="1" w:styleId="96">
    <w:name w:val="&gt;&gt; 表格样式 &lt;&lt;1"/>
    <w:basedOn w:val="44"/>
    <w:autoRedefine/>
    <w:qFormat/>
    <w:uiPriority w:val="0"/>
    <w:pPr>
      <w:keepLines/>
      <w:spacing w:line="240" w:lineRule="auto"/>
      <w:jc w:val="center"/>
    </w:pPr>
    <w:rPr>
      <w:rFonts w:ascii="Times New Roman" w:hAnsi="Times New Roman" w:eastAsia="宋体" w:cs="Times New Roman"/>
      <w:kern w:val="0"/>
      <w:szCs w:val="21"/>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tcPr>
      <w:vAlign w:val="center"/>
    </w:tcPr>
    <w:tblStylePr w:type="firstRow">
      <w:rPr>
        <w:rFonts w:hint="eastAsia" w:ascii="宋体" w:hAnsi="宋体" w:eastAsia="宋体"/>
        <w:b w:val="0"/>
        <w:sz w:val="21"/>
        <w:szCs w:val="21"/>
      </w:rPr>
      <w:tcPr>
        <w:tcBorders>
          <w:top w:val="single" w:color="auto" w:sz="12" w:space="0"/>
          <w:left w:val="nil"/>
          <w:bottom w:val="single" w:color="auto" w:sz="8" w:space="0"/>
          <w:right w:val="nil"/>
          <w:insideH w:val="nil"/>
          <w:insideV w:val="single" w:sz="8" w:space="0"/>
          <w:tl2br w:val="nil"/>
          <w:tr2bl w:val="nil"/>
        </w:tcBorders>
      </w:tcPr>
    </w:tblStylePr>
    <w:tblStylePr w:type="lastRow">
      <w:tcPr>
        <w:tcBorders>
          <w:top w:val="single" w:color="auto" w:sz="8" w:space="0"/>
          <w:left w:val="nil"/>
          <w:bottom w:val="single" w:color="auto" w:sz="12" w:space="0"/>
          <w:right w:val="nil"/>
          <w:insideH w:val="nil"/>
          <w:insideV w:val="single" w:sz="8" w:space="0"/>
          <w:tl2br w:val="nil"/>
          <w:tr2bl w:val="nil"/>
        </w:tcBorders>
      </w:tcPr>
    </w:tblStylePr>
    <w:tblStylePr w:type="firstCol">
      <w:pPr>
        <w:jc w:val="center"/>
      </w:pPr>
      <w:rPr>
        <w:rFonts w:hint="eastAsia" w:ascii="宋体" w:hAnsi="宋体" w:eastAsia="宋体"/>
        <w:b w:val="0"/>
        <w:sz w:val="21"/>
        <w:szCs w:val="21"/>
      </w:rPr>
      <w:tcPr>
        <w:tcBorders>
          <w:top w:val="single" w:color="auto" w:sz="12" w:space="0"/>
          <w:left w:val="nil"/>
          <w:bottom w:val="single" w:color="auto" w:sz="12" w:space="0"/>
          <w:right w:val="single" w:color="auto" w:sz="8" w:space="0"/>
          <w:insideH w:val="nil"/>
          <w:insideV w:val="nil"/>
          <w:tl2br w:val="nil"/>
          <w:tr2bl w:val="nil"/>
        </w:tcBorders>
      </w:tcPr>
    </w:tblStylePr>
    <w:tblStylePr w:type="lastCol">
      <w:tcPr>
        <w:tcBorders>
          <w:top w:val="single" w:color="auto" w:sz="12" w:space="0"/>
          <w:left w:val="single" w:color="auto" w:sz="8" w:space="0"/>
          <w:bottom w:val="single" w:color="auto" w:sz="12" w:space="0"/>
          <w:right w:val="nil"/>
          <w:insideH w:val="nil"/>
          <w:insideV w:val="nil"/>
          <w:tl2br w:val="nil"/>
          <w:tr2bl w:val="nil"/>
        </w:tcBorders>
      </w:tcPr>
    </w:tblStylePr>
  </w:style>
  <w:style w:type="paragraph" w:customStyle="1" w:styleId="97">
    <w:name w:val="表格"/>
    <w:basedOn w:val="1"/>
    <w:link w:val="98"/>
    <w:autoRedefine/>
    <w:qFormat/>
    <w:uiPriority w:val="0"/>
    <w:pPr>
      <w:adjustRightInd w:val="0"/>
      <w:spacing w:before="40" w:after="40"/>
    </w:pPr>
    <w:rPr>
      <w:rFonts w:ascii="昆仑仿宋" w:eastAsia="昆仑仿宋"/>
      <w:kern w:val="0"/>
      <w:sz w:val="24"/>
      <w:szCs w:val="20"/>
    </w:rPr>
  </w:style>
  <w:style w:type="character" w:customStyle="1" w:styleId="98">
    <w:name w:val="表格 Char"/>
    <w:link w:val="97"/>
    <w:autoRedefine/>
    <w:qFormat/>
    <w:locked/>
    <w:uiPriority w:val="0"/>
    <w:rPr>
      <w:rFonts w:ascii="昆仑仿宋" w:hAnsi="Times New Roman" w:eastAsia="昆仑仿宋" w:cs="Times New Roman"/>
      <w:kern w:val="0"/>
      <w:sz w:val="24"/>
      <w:szCs w:val="20"/>
    </w:rPr>
  </w:style>
  <w:style w:type="character" w:customStyle="1" w:styleId="99">
    <w:name w:val="Char Char2"/>
    <w:autoRedefine/>
    <w:qFormat/>
    <w:uiPriority w:val="0"/>
    <w:rPr>
      <w:rFonts w:hint="eastAsia" w:ascii="黑体" w:hAnsi="黑体" w:eastAsia="黑体"/>
      <w:bCs/>
      <w:kern w:val="44"/>
      <w:sz w:val="28"/>
      <w:szCs w:val="44"/>
      <w:lang w:val="en-US" w:eastAsia="zh-CN" w:bidi="ar-SA"/>
    </w:rPr>
  </w:style>
  <w:style w:type="table" w:customStyle="1" w:styleId="100">
    <w:name w:val="环评表格1"/>
    <w:basedOn w:val="44"/>
    <w:autoRedefine/>
    <w:qFormat/>
    <w:uiPriority w:val="0"/>
    <w:pPr>
      <w:snapToGrid w:val="0"/>
      <w:spacing w:line="240" w:lineRule="auto"/>
      <w:jc w:val="center"/>
    </w:pPr>
    <w:rPr>
      <w:rFonts w:ascii="Times New Roman" w:hAnsi="Times New Roman" w:eastAsia="宋体" w:cs="Times New Roman"/>
      <w:kern w:val="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01">
    <w:name w:val="内容 Char"/>
    <w:link w:val="102"/>
    <w:autoRedefine/>
    <w:qFormat/>
    <w:locked/>
    <w:uiPriority w:val="0"/>
    <w:rPr>
      <w:rFonts w:ascii="Calibri" w:hAnsi="Calibri"/>
      <w:color w:val="000000"/>
      <w:sz w:val="24"/>
      <w:szCs w:val="24"/>
    </w:rPr>
  </w:style>
  <w:style w:type="paragraph" w:customStyle="1" w:styleId="102">
    <w:name w:val="内容"/>
    <w:basedOn w:val="1"/>
    <w:link w:val="101"/>
    <w:autoRedefine/>
    <w:qFormat/>
    <w:uiPriority w:val="0"/>
    <w:pPr>
      <w:spacing w:beforeLines="50"/>
      <w:ind w:firstLine="200" w:firstLineChars="200"/>
    </w:pPr>
    <w:rPr>
      <w:rFonts w:ascii="Calibri" w:hAnsi="Calibri" w:eastAsiaTheme="minorEastAsia" w:cstheme="minorBidi"/>
      <w:color w:val="000000"/>
      <w:sz w:val="24"/>
    </w:rPr>
  </w:style>
  <w:style w:type="character" w:customStyle="1" w:styleId="103">
    <w:name w:val="标题 1 Char1"/>
    <w:autoRedefine/>
    <w:qFormat/>
    <w:uiPriority w:val="0"/>
    <w:rPr>
      <w:rFonts w:hint="default" w:ascii="Times New Roman" w:hAnsi="Times New Roman" w:eastAsia="宋体" w:cs="Times New Roman"/>
      <w:b/>
      <w:kern w:val="0"/>
      <w:sz w:val="24"/>
      <w:szCs w:val="24"/>
    </w:rPr>
  </w:style>
  <w:style w:type="character" w:customStyle="1" w:styleId="104">
    <w:name w:val="标题 2 Char1"/>
    <w:basedOn w:val="49"/>
    <w:autoRedefine/>
    <w:semiHidden/>
    <w:qFormat/>
    <w:uiPriority w:val="0"/>
    <w:rPr>
      <w:rFonts w:hint="default" w:asciiTheme="majorHAnsi" w:hAnsiTheme="majorHAnsi" w:eastAsiaTheme="majorEastAsia" w:cstheme="majorBidi"/>
      <w:b/>
      <w:bCs/>
      <w:kern w:val="2"/>
      <w:sz w:val="32"/>
      <w:szCs w:val="32"/>
    </w:rPr>
  </w:style>
  <w:style w:type="character" w:customStyle="1" w:styleId="105">
    <w:name w:val="标题 3 Char1"/>
    <w:basedOn w:val="49"/>
    <w:autoRedefine/>
    <w:semiHidden/>
    <w:qFormat/>
    <w:uiPriority w:val="0"/>
    <w:rPr>
      <w:b/>
      <w:bCs/>
      <w:kern w:val="2"/>
      <w:sz w:val="32"/>
      <w:szCs w:val="32"/>
    </w:rPr>
  </w:style>
  <w:style w:type="character" w:customStyle="1" w:styleId="106">
    <w:name w:val="标题 4 Char1"/>
    <w:basedOn w:val="49"/>
    <w:autoRedefine/>
    <w:semiHidden/>
    <w:qFormat/>
    <w:uiPriority w:val="0"/>
    <w:rPr>
      <w:rFonts w:hint="default" w:asciiTheme="majorHAnsi" w:hAnsiTheme="majorHAnsi" w:eastAsiaTheme="majorEastAsia" w:cstheme="majorBidi"/>
      <w:b/>
      <w:bCs/>
      <w:kern w:val="2"/>
      <w:sz w:val="28"/>
      <w:szCs w:val="28"/>
    </w:rPr>
  </w:style>
  <w:style w:type="character" w:customStyle="1" w:styleId="107">
    <w:name w:val="标题 5 Char1"/>
    <w:basedOn w:val="49"/>
    <w:autoRedefine/>
    <w:semiHidden/>
    <w:qFormat/>
    <w:uiPriority w:val="0"/>
    <w:rPr>
      <w:rFonts w:hint="eastAsia" w:asciiTheme="minorEastAsia" w:hAnsiTheme="minorEastAsia" w:eastAsiaTheme="minorEastAsia"/>
      <w:b/>
      <w:bCs/>
      <w:kern w:val="2"/>
      <w:sz w:val="28"/>
      <w:szCs w:val="28"/>
    </w:rPr>
  </w:style>
  <w:style w:type="character" w:customStyle="1" w:styleId="108">
    <w:name w:val="标题 6 Char1"/>
    <w:basedOn w:val="49"/>
    <w:autoRedefine/>
    <w:semiHidden/>
    <w:qFormat/>
    <w:uiPriority w:val="0"/>
    <w:rPr>
      <w:rFonts w:hint="default" w:asciiTheme="majorHAnsi" w:hAnsiTheme="majorHAnsi" w:eastAsiaTheme="majorEastAsia" w:cstheme="majorBidi"/>
      <w:b/>
      <w:bCs/>
      <w:kern w:val="2"/>
      <w:sz w:val="24"/>
      <w:szCs w:val="24"/>
    </w:rPr>
  </w:style>
  <w:style w:type="character" w:customStyle="1" w:styleId="109">
    <w:name w:val="HTML 预设格式 Char1"/>
    <w:basedOn w:val="49"/>
    <w:link w:val="38"/>
    <w:autoRedefine/>
    <w:semiHidden/>
    <w:qFormat/>
    <w:locked/>
    <w:uiPriority w:val="99"/>
    <w:rPr>
      <w:rFonts w:ascii="宋体" w:hAnsi="宋体" w:eastAsia="宋体" w:cs="宋体"/>
      <w:sz w:val="24"/>
      <w:szCs w:val="24"/>
    </w:rPr>
  </w:style>
  <w:style w:type="character" w:customStyle="1" w:styleId="110">
    <w:name w:val="HTML 预设格式 Char"/>
    <w:basedOn w:val="49"/>
    <w:autoRedefine/>
    <w:semiHidden/>
    <w:qFormat/>
    <w:uiPriority w:val="99"/>
    <w:rPr>
      <w:rFonts w:ascii="Courier New" w:hAnsi="Courier New" w:eastAsia="宋体" w:cs="Courier New"/>
      <w:sz w:val="20"/>
      <w:szCs w:val="20"/>
    </w:rPr>
  </w:style>
  <w:style w:type="character" w:customStyle="1" w:styleId="111">
    <w:name w:val="标题 7 Char1"/>
    <w:basedOn w:val="49"/>
    <w:autoRedefine/>
    <w:semiHidden/>
    <w:qFormat/>
    <w:uiPriority w:val="99"/>
    <w:rPr>
      <w:rFonts w:hint="eastAsia" w:asciiTheme="minorEastAsia" w:hAnsiTheme="minorEastAsia" w:eastAsiaTheme="minorEastAsia"/>
      <w:b/>
      <w:bCs/>
      <w:kern w:val="2"/>
      <w:sz w:val="24"/>
      <w:szCs w:val="24"/>
    </w:rPr>
  </w:style>
  <w:style w:type="character" w:customStyle="1" w:styleId="112">
    <w:name w:val="标题 8 Char1"/>
    <w:basedOn w:val="49"/>
    <w:autoRedefine/>
    <w:semiHidden/>
    <w:qFormat/>
    <w:uiPriority w:val="99"/>
    <w:rPr>
      <w:rFonts w:hint="default" w:asciiTheme="majorHAnsi" w:hAnsiTheme="majorHAnsi" w:eastAsiaTheme="majorEastAsia" w:cstheme="majorBidi"/>
      <w:kern w:val="2"/>
      <w:sz w:val="24"/>
      <w:szCs w:val="24"/>
    </w:rPr>
  </w:style>
  <w:style w:type="character" w:customStyle="1" w:styleId="113">
    <w:name w:val="标题 9 Char1"/>
    <w:basedOn w:val="49"/>
    <w:autoRedefine/>
    <w:semiHidden/>
    <w:qFormat/>
    <w:uiPriority w:val="99"/>
    <w:rPr>
      <w:rFonts w:hint="default" w:asciiTheme="majorHAnsi" w:hAnsiTheme="majorHAnsi" w:eastAsiaTheme="majorEastAsia" w:cstheme="majorBidi"/>
      <w:kern w:val="2"/>
      <w:sz w:val="21"/>
      <w:szCs w:val="21"/>
    </w:rPr>
  </w:style>
  <w:style w:type="character" w:customStyle="1" w:styleId="114">
    <w:name w:val="正文缩进 Char"/>
    <w:basedOn w:val="49"/>
    <w:link w:val="14"/>
    <w:autoRedefine/>
    <w:qFormat/>
    <w:locked/>
    <w:uiPriority w:val="0"/>
    <w:rPr>
      <w:rFonts w:ascii="仿宋_GB2312" w:eastAsia="仿宋_GB2312"/>
      <w:sz w:val="28"/>
      <w:szCs w:val="24"/>
    </w:rPr>
  </w:style>
  <w:style w:type="character" w:customStyle="1" w:styleId="115">
    <w:name w:val="批注文字 Char"/>
    <w:basedOn w:val="49"/>
    <w:link w:val="17"/>
    <w:autoRedefine/>
    <w:qFormat/>
    <w:locked/>
    <w:uiPriority w:val="99"/>
    <w:rPr>
      <w:rFonts w:ascii="Calibri" w:hAnsi="Calibri"/>
      <w:color w:val="000000"/>
      <w:sz w:val="24"/>
      <w:szCs w:val="24"/>
    </w:rPr>
  </w:style>
  <w:style w:type="character" w:customStyle="1" w:styleId="116">
    <w:name w:val="页眉 Char1"/>
    <w:basedOn w:val="49"/>
    <w:autoRedefine/>
    <w:semiHidden/>
    <w:qFormat/>
    <w:uiPriority w:val="99"/>
    <w:rPr>
      <w:rFonts w:ascii="Times New Roman" w:hAnsi="Times New Roman" w:eastAsia="宋体" w:cs="Times New Roman"/>
      <w:sz w:val="18"/>
      <w:szCs w:val="18"/>
    </w:rPr>
  </w:style>
  <w:style w:type="character" w:customStyle="1" w:styleId="117">
    <w:name w:val="题注 Char"/>
    <w:basedOn w:val="49"/>
    <w:link w:val="15"/>
    <w:autoRedefine/>
    <w:semiHidden/>
    <w:qFormat/>
    <w:locked/>
    <w:uiPriority w:val="35"/>
    <w:rPr>
      <w:color w:val="000000"/>
      <w:sz w:val="28"/>
    </w:rPr>
  </w:style>
  <w:style w:type="character" w:customStyle="1" w:styleId="118">
    <w:name w:val="列表 2 Char"/>
    <w:link w:val="21"/>
    <w:autoRedefine/>
    <w:semiHidden/>
    <w:qFormat/>
    <w:locked/>
    <w:uiPriority w:val="0"/>
    <w:rPr>
      <w:rFonts w:ascii="楷体_GB2312" w:hAnsi="宋体" w:eastAsia="楷体_GB2312"/>
      <w:color w:val="000000"/>
      <w:sz w:val="24"/>
      <w:szCs w:val="28"/>
    </w:rPr>
  </w:style>
  <w:style w:type="character" w:customStyle="1" w:styleId="119">
    <w:name w:val="正文文本缩进 Char"/>
    <w:basedOn w:val="49"/>
    <w:link w:val="20"/>
    <w:autoRedefine/>
    <w:semiHidden/>
    <w:qFormat/>
    <w:locked/>
    <w:uiPriority w:val="0"/>
    <w:rPr>
      <w:sz w:val="24"/>
      <w:szCs w:val="24"/>
    </w:rPr>
  </w:style>
  <w:style w:type="character" w:customStyle="1" w:styleId="120">
    <w:name w:val="正文文本缩进 Char1"/>
    <w:basedOn w:val="49"/>
    <w:autoRedefine/>
    <w:semiHidden/>
    <w:qFormat/>
    <w:uiPriority w:val="99"/>
    <w:rPr>
      <w:rFonts w:ascii="Times New Roman" w:hAnsi="Times New Roman" w:eastAsia="宋体" w:cs="Times New Roman"/>
      <w:szCs w:val="24"/>
    </w:rPr>
  </w:style>
  <w:style w:type="character" w:customStyle="1" w:styleId="121">
    <w:name w:val="日期 Char"/>
    <w:basedOn w:val="49"/>
    <w:link w:val="25"/>
    <w:autoRedefine/>
    <w:semiHidden/>
    <w:qFormat/>
    <w:locked/>
    <w:uiPriority w:val="99"/>
    <w:rPr>
      <w:szCs w:val="24"/>
    </w:rPr>
  </w:style>
  <w:style w:type="character" w:customStyle="1" w:styleId="122">
    <w:name w:val="正文首行缩进 Char"/>
    <w:basedOn w:val="49"/>
    <w:link w:val="42"/>
    <w:autoRedefine/>
    <w:qFormat/>
    <w:locked/>
    <w:uiPriority w:val="0"/>
    <w:rPr>
      <w:rFonts w:ascii="Times New Roman" w:cs="Times New Roman" w:hAnsiTheme="minorEastAsia"/>
      <w:bCs/>
      <w:sz w:val="24"/>
      <w:szCs w:val="24"/>
    </w:rPr>
  </w:style>
  <w:style w:type="character" w:customStyle="1" w:styleId="123">
    <w:name w:val="正文首行缩进 Char1"/>
    <w:basedOn w:val="94"/>
    <w:autoRedefine/>
    <w:semiHidden/>
    <w:qFormat/>
    <w:uiPriority w:val="0"/>
    <w:rPr>
      <w:rFonts w:ascii="Times New Roman" w:hAnsi="Times New Roman" w:eastAsia="宋体" w:cs="Times New Roman"/>
      <w:szCs w:val="24"/>
    </w:rPr>
  </w:style>
  <w:style w:type="character" w:customStyle="1" w:styleId="124">
    <w:name w:val="正文首行缩进 2 Char"/>
    <w:basedOn w:val="119"/>
    <w:link w:val="43"/>
    <w:autoRedefine/>
    <w:semiHidden/>
    <w:qFormat/>
    <w:locked/>
    <w:uiPriority w:val="0"/>
    <w:rPr>
      <w:sz w:val="28"/>
      <w:szCs w:val="24"/>
    </w:rPr>
  </w:style>
  <w:style w:type="character" w:customStyle="1" w:styleId="125">
    <w:name w:val="注释标题 Char"/>
    <w:basedOn w:val="49"/>
    <w:link w:val="13"/>
    <w:autoRedefine/>
    <w:semiHidden/>
    <w:qFormat/>
    <w:locked/>
    <w:uiPriority w:val="0"/>
    <w:rPr>
      <w:sz w:val="24"/>
    </w:rPr>
  </w:style>
  <w:style w:type="character" w:customStyle="1" w:styleId="126">
    <w:name w:val="注释标题 Char1"/>
    <w:basedOn w:val="49"/>
    <w:autoRedefine/>
    <w:semiHidden/>
    <w:qFormat/>
    <w:uiPriority w:val="0"/>
    <w:rPr>
      <w:rFonts w:ascii="Times New Roman" w:hAnsi="Times New Roman" w:eastAsia="宋体" w:cs="Times New Roman"/>
      <w:szCs w:val="24"/>
    </w:rPr>
  </w:style>
  <w:style w:type="character" w:customStyle="1" w:styleId="127">
    <w:name w:val="正文文本 2 Char"/>
    <w:link w:val="36"/>
    <w:autoRedefine/>
    <w:qFormat/>
    <w:locked/>
    <w:uiPriority w:val="99"/>
    <w:rPr>
      <w:sz w:val="24"/>
      <w:szCs w:val="24"/>
    </w:rPr>
  </w:style>
  <w:style w:type="character" w:customStyle="1" w:styleId="128">
    <w:name w:val="正文文本 3 Char"/>
    <w:basedOn w:val="49"/>
    <w:link w:val="18"/>
    <w:autoRedefine/>
    <w:semiHidden/>
    <w:qFormat/>
    <w:locked/>
    <w:uiPriority w:val="0"/>
    <w:rPr>
      <w:rFonts w:ascii="Calibri" w:hAnsi="Calibri"/>
      <w:color w:val="000000"/>
      <w:sz w:val="16"/>
      <w:szCs w:val="16"/>
    </w:rPr>
  </w:style>
  <w:style w:type="character" w:customStyle="1" w:styleId="129">
    <w:name w:val="正文文本缩进 2 Char"/>
    <w:basedOn w:val="49"/>
    <w:link w:val="26"/>
    <w:autoRedefine/>
    <w:qFormat/>
    <w:locked/>
    <w:uiPriority w:val="0"/>
    <w:rPr>
      <w:rFonts w:ascii="Calibri" w:hAnsi="Calibri"/>
      <w:color w:val="000000"/>
    </w:rPr>
  </w:style>
  <w:style w:type="character" w:customStyle="1" w:styleId="130">
    <w:name w:val="正文文本缩进 2 Char1"/>
    <w:basedOn w:val="49"/>
    <w:autoRedefine/>
    <w:semiHidden/>
    <w:qFormat/>
    <w:uiPriority w:val="99"/>
    <w:rPr>
      <w:rFonts w:ascii="Times New Roman" w:hAnsi="Times New Roman" w:eastAsia="宋体" w:cs="Times New Roman"/>
      <w:szCs w:val="24"/>
    </w:rPr>
  </w:style>
  <w:style w:type="character" w:customStyle="1" w:styleId="131">
    <w:name w:val="正文文本缩进 3 Char"/>
    <w:basedOn w:val="49"/>
    <w:link w:val="34"/>
    <w:autoRedefine/>
    <w:semiHidden/>
    <w:qFormat/>
    <w:locked/>
    <w:uiPriority w:val="0"/>
    <w:rPr>
      <w:rFonts w:ascii="Calibri" w:hAnsi="Calibri"/>
      <w:color w:val="000000"/>
      <w:sz w:val="16"/>
      <w:szCs w:val="16"/>
    </w:rPr>
  </w:style>
  <w:style w:type="character" w:customStyle="1" w:styleId="132">
    <w:name w:val="纯文本 Char"/>
    <w:basedOn w:val="49"/>
    <w:link w:val="24"/>
    <w:autoRedefine/>
    <w:qFormat/>
    <w:locked/>
    <w:uiPriority w:val="0"/>
    <w:rPr>
      <w:rFonts w:ascii="宋体" w:hAnsi="Courier New" w:eastAsia="宋体" w:cs="Courier New"/>
      <w:szCs w:val="21"/>
    </w:rPr>
  </w:style>
  <w:style w:type="character" w:customStyle="1" w:styleId="133">
    <w:name w:val="纯文本 Char1"/>
    <w:basedOn w:val="49"/>
    <w:autoRedefine/>
    <w:qFormat/>
    <w:uiPriority w:val="0"/>
    <w:rPr>
      <w:rFonts w:ascii="宋体" w:hAnsi="Courier New" w:eastAsia="宋体" w:cs="Courier New"/>
      <w:szCs w:val="21"/>
    </w:rPr>
  </w:style>
  <w:style w:type="character" w:customStyle="1" w:styleId="134">
    <w:name w:val="批注文字 Char1"/>
    <w:basedOn w:val="49"/>
    <w:autoRedefine/>
    <w:semiHidden/>
    <w:qFormat/>
    <w:uiPriority w:val="99"/>
    <w:rPr>
      <w:rFonts w:ascii="Times New Roman" w:hAnsi="Times New Roman" w:eastAsia="宋体" w:cs="Times New Roman"/>
      <w:szCs w:val="24"/>
    </w:rPr>
  </w:style>
  <w:style w:type="character" w:customStyle="1" w:styleId="135">
    <w:name w:val="批注主题 Char"/>
    <w:basedOn w:val="115"/>
    <w:link w:val="41"/>
    <w:autoRedefine/>
    <w:semiHidden/>
    <w:qFormat/>
    <w:locked/>
    <w:uiPriority w:val="0"/>
    <w:rPr>
      <w:rFonts w:ascii="Calibri" w:hAnsi="Calibri"/>
      <w:b/>
      <w:bCs/>
      <w:color w:val="000000"/>
      <w:sz w:val="24"/>
      <w:szCs w:val="24"/>
    </w:rPr>
  </w:style>
  <w:style w:type="character" w:customStyle="1" w:styleId="136">
    <w:name w:val="无间隔 Char"/>
    <w:link w:val="137"/>
    <w:autoRedefine/>
    <w:qFormat/>
    <w:locked/>
    <w:uiPriority w:val="0"/>
    <w:rPr>
      <w:rFonts w:ascii="Calibri" w:hAnsi="Calibri"/>
      <w:color w:val="000000"/>
      <w:sz w:val="24"/>
      <w:szCs w:val="24"/>
    </w:rPr>
  </w:style>
  <w:style w:type="paragraph" w:styleId="137">
    <w:name w:val="No Spacing"/>
    <w:link w:val="136"/>
    <w:autoRedefine/>
    <w:qFormat/>
    <w:uiPriority w:val="1"/>
    <w:pPr>
      <w:widowControl w:val="0"/>
      <w:spacing w:line="240" w:lineRule="auto"/>
      <w:jc w:val="both"/>
    </w:pPr>
    <w:rPr>
      <w:rFonts w:ascii="Calibri" w:hAnsi="Calibri" w:eastAsiaTheme="minorEastAsia" w:cstheme="minorBidi"/>
      <w:color w:val="000000"/>
      <w:kern w:val="2"/>
      <w:sz w:val="24"/>
      <w:szCs w:val="24"/>
      <w:lang w:val="en-US" w:eastAsia="zh-CN" w:bidi="ar-SA"/>
    </w:rPr>
  </w:style>
  <w:style w:type="paragraph" w:customStyle="1" w:styleId="138">
    <w:name w:val="Char Char Char1 Char Char Char Char Char Char Char"/>
    <w:basedOn w:val="3"/>
    <w:next w:val="1"/>
    <w:autoRedefine/>
    <w:semiHidden/>
    <w:qFormat/>
    <w:uiPriority w:val="39"/>
    <w:pPr>
      <w:keepNext w:val="0"/>
      <w:keepLines w:val="0"/>
      <w:spacing w:before="0" w:after="0" w:line="240" w:lineRule="auto"/>
      <w:outlineLvl w:val="9"/>
    </w:pPr>
    <w:rPr>
      <w:bCs w:val="0"/>
      <w:kern w:val="2"/>
      <w:sz w:val="21"/>
      <w:szCs w:val="24"/>
    </w:rPr>
  </w:style>
  <w:style w:type="character" w:customStyle="1" w:styleId="139">
    <w:name w:val="【标题4】 Char Char"/>
    <w:link w:val="140"/>
    <w:autoRedefine/>
    <w:qFormat/>
    <w:locked/>
    <w:uiPriority w:val="0"/>
    <w:rPr>
      <w:rFonts w:ascii="Times New Roman" w:hAnsi="Times New Roman" w:eastAsia="Times New Roman" w:cs="Times New Roman"/>
      <w:b/>
      <w:bCs/>
      <w:sz w:val="24"/>
    </w:rPr>
  </w:style>
  <w:style w:type="paragraph" w:customStyle="1" w:styleId="140">
    <w:name w:val="【标题4】"/>
    <w:basedOn w:val="3"/>
    <w:next w:val="1"/>
    <w:link w:val="139"/>
    <w:autoRedefine/>
    <w:qFormat/>
    <w:uiPriority w:val="0"/>
    <w:pPr>
      <w:keepNext w:val="0"/>
      <w:spacing w:before="0" w:after="0" w:line="440" w:lineRule="exact"/>
      <w:jc w:val="left"/>
      <w:outlineLvl w:val="3"/>
    </w:pPr>
    <w:rPr>
      <w:rFonts w:eastAsia="Times New Roman"/>
      <w:kern w:val="2"/>
      <w:sz w:val="24"/>
      <w:szCs w:val="22"/>
    </w:rPr>
  </w:style>
  <w:style w:type="character" w:customStyle="1" w:styleId="141">
    <w:name w:val="【标题3】 Char Char"/>
    <w:link w:val="142"/>
    <w:autoRedefine/>
    <w:qFormat/>
    <w:locked/>
    <w:uiPriority w:val="0"/>
    <w:rPr>
      <w:b/>
      <w:bCs/>
      <w:sz w:val="24"/>
    </w:rPr>
  </w:style>
  <w:style w:type="paragraph" w:customStyle="1" w:styleId="142">
    <w:name w:val="【标题3】"/>
    <w:basedOn w:val="5"/>
    <w:next w:val="1"/>
    <w:link w:val="141"/>
    <w:autoRedefine/>
    <w:qFormat/>
    <w:uiPriority w:val="0"/>
    <w:pPr>
      <w:keepNext w:val="0"/>
      <w:spacing w:before="60" w:after="60" w:line="440" w:lineRule="exact"/>
      <w:ind w:firstLine="0" w:firstLineChars="0"/>
    </w:pPr>
    <w:rPr>
      <w:rFonts w:asciiTheme="minorHAnsi" w:hAnsiTheme="minorHAnsi" w:eastAsiaTheme="minorEastAsia" w:cstheme="minorBidi"/>
      <w:bCs/>
      <w:sz w:val="24"/>
      <w:szCs w:val="22"/>
    </w:rPr>
  </w:style>
  <w:style w:type="paragraph" w:customStyle="1" w:styleId="143">
    <w:name w:val="缩进"/>
    <w:basedOn w:val="3"/>
    <w:next w:val="1"/>
    <w:autoRedefine/>
    <w:qFormat/>
    <w:uiPriority w:val="99"/>
    <w:pPr>
      <w:keepNext w:val="0"/>
      <w:keepLines w:val="0"/>
      <w:spacing w:before="0" w:after="0" w:line="360" w:lineRule="auto"/>
      <w:ind w:firstLine="200" w:firstLineChars="200"/>
      <w:outlineLvl w:val="9"/>
    </w:pPr>
    <w:rPr>
      <w:rFonts w:ascii="Calibri" w:hAnsi="Calibri"/>
      <w:bCs w:val="0"/>
      <w:kern w:val="2"/>
      <w:sz w:val="24"/>
      <w:szCs w:val="21"/>
    </w:rPr>
  </w:style>
  <w:style w:type="character" w:customStyle="1" w:styleId="144">
    <w:name w:val="正文样式 Char"/>
    <w:link w:val="145"/>
    <w:autoRedefine/>
    <w:qFormat/>
    <w:locked/>
    <w:uiPriority w:val="0"/>
    <w:rPr>
      <w:rFonts w:ascii="宋体" w:hAnsi="宋体" w:eastAsia="宋体"/>
      <w:color w:val="000000"/>
      <w:sz w:val="24"/>
      <w:szCs w:val="24"/>
    </w:rPr>
  </w:style>
  <w:style w:type="paragraph" w:customStyle="1" w:styleId="145">
    <w:name w:val="正文样式"/>
    <w:basedOn w:val="3"/>
    <w:next w:val="1"/>
    <w:link w:val="144"/>
    <w:autoRedefine/>
    <w:qFormat/>
    <w:uiPriority w:val="0"/>
    <w:pPr>
      <w:keepNext w:val="0"/>
      <w:keepLines w:val="0"/>
      <w:spacing w:before="0" w:after="0" w:line="460" w:lineRule="exact"/>
      <w:ind w:firstLine="200" w:firstLineChars="200"/>
      <w:outlineLvl w:val="9"/>
    </w:pPr>
    <w:rPr>
      <w:rFonts w:ascii="宋体" w:hAnsi="宋体" w:cstheme="minorBidi"/>
      <w:bCs w:val="0"/>
      <w:color w:val="000000"/>
      <w:kern w:val="2"/>
      <w:sz w:val="24"/>
      <w:szCs w:val="24"/>
    </w:rPr>
  </w:style>
  <w:style w:type="character" w:customStyle="1" w:styleId="146">
    <w:name w:val="正文00 Char Char"/>
    <w:link w:val="147"/>
    <w:autoRedefine/>
    <w:qFormat/>
    <w:locked/>
    <w:uiPriority w:val="0"/>
    <w:rPr>
      <w:rFonts w:ascii="Times New Roman" w:hAnsi="Times New Roman" w:cs="Times New Roman"/>
      <w:bCs/>
      <w:szCs w:val="21"/>
    </w:rPr>
  </w:style>
  <w:style w:type="paragraph" w:customStyle="1" w:styleId="147">
    <w:name w:val="正文00"/>
    <w:basedOn w:val="3"/>
    <w:next w:val="1"/>
    <w:link w:val="146"/>
    <w:autoRedefine/>
    <w:qFormat/>
    <w:uiPriority w:val="0"/>
    <w:pPr>
      <w:keepNext w:val="0"/>
      <w:keepLines w:val="0"/>
      <w:spacing w:before="0" w:after="0" w:line="0" w:lineRule="atLeast"/>
      <w:contextualSpacing/>
      <w:jc w:val="center"/>
      <w:outlineLvl w:val="9"/>
    </w:pPr>
    <w:rPr>
      <w:rFonts w:eastAsiaTheme="minorEastAsia"/>
      <w:kern w:val="2"/>
      <w:sz w:val="21"/>
      <w:szCs w:val="21"/>
    </w:rPr>
  </w:style>
  <w:style w:type="paragraph" w:customStyle="1" w:styleId="148">
    <w:name w:val="表样式"/>
    <w:basedOn w:val="3"/>
    <w:next w:val="1"/>
    <w:autoRedefine/>
    <w:qFormat/>
    <w:uiPriority w:val="99"/>
    <w:pPr>
      <w:keepNext w:val="0"/>
      <w:keepLines w:val="0"/>
      <w:spacing w:before="0" w:after="0" w:line="500" w:lineRule="atLeast"/>
      <w:ind w:firstLine="425" w:firstLineChars="177"/>
      <w:jc w:val="center"/>
      <w:outlineLvl w:val="9"/>
    </w:pPr>
    <w:rPr>
      <w:rFonts w:ascii="仿宋_GB2312" w:eastAsia="黑体"/>
      <w:bCs w:val="0"/>
      <w:color w:val="000000"/>
      <w:kern w:val="2"/>
      <w:sz w:val="24"/>
      <w:szCs w:val="24"/>
    </w:rPr>
  </w:style>
  <w:style w:type="character" w:customStyle="1" w:styleId="149">
    <w:name w:val="Normal Char"/>
    <w:link w:val="150"/>
    <w:autoRedefine/>
    <w:qFormat/>
    <w:locked/>
    <w:uiPriority w:val="0"/>
    <w:rPr>
      <w:rFonts w:ascii="宋体" w:hAnsi="宋体" w:eastAsia="宋体"/>
      <w:sz w:val="24"/>
      <w:szCs w:val="24"/>
    </w:rPr>
  </w:style>
  <w:style w:type="paragraph" w:customStyle="1" w:styleId="150">
    <w:name w:val="正文1"/>
    <w:next w:val="1"/>
    <w:link w:val="149"/>
    <w:autoRedefine/>
    <w:qFormat/>
    <w:uiPriority w:val="0"/>
    <w:pPr>
      <w:widowControl w:val="0"/>
      <w:adjustRightInd w:val="0"/>
      <w:spacing w:line="360" w:lineRule="atLeast"/>
      <w:jc w:val="left"/>
    </w:pPr>
    <w:rPr>
      <w:rFonts w:ascii="宋体" w:hAnsi="宋体" w:eastAsia="宋体" w:cstheme="minorBidi"/>
      <w:kern w:val="2"/>
      <w:sz w:val="24"/>
      <w:szCs w:val="24"/>
      <w:lang w:val="en-US" w:eastAsia="zh-CN" w:bidi="ar-SA"/>
    </w:rPr>
  </w:style>
  <w:style w:type="character" w:customStyle="1" w:styleId="151">
    <w:name w:val="样式 正文zoe + 幼圆1 Char"/>
    <w:link w:val="152"/>
    <w:autoRedefine/>
    <w:qFormat/>
    <w:locked/>
    <w:uiPriority w:val="0"/>
    <w:rPr>
      <w:rFonts w:ascii="幼圆" w:hAnsi="幼圆" w:eastAsia="幼圆"/>
      <w:sz w:val="24"/>
    </w:rPr>
  </w:style>
  <w:style w:type="paragraph" w:customStyle="1" w:styleId="152">
    <w:name w:val="样式 正文zoe + 幼圆1"/>
    <w:basedOn w:val="3"/>
    <w:next w:val="1"/>
    <w:link w:val="151"/>
    <w:autoRedefine/>
    <w:qFormat/>
    <w:uiPriority w:val="0"/>
    <w:pPr>
      <w:keepNext w:val="0"/>
      <w:keepLines w:val="0"/>
      <w:adjustRightInd w:val="0"/>
      <w:spacing w:before="0" w:after="0" w:line="360" w:lineRule="auto"/>
      <w:ind w:firstLine="480" w:firstLineChars="200"/>
      <w:outlineLvl w:val="9"/>
    </w:pPr>
    <w:rPr>
      <w:rFonts w:ascii="幼圆" w:hAnsi="幼圆" w:eastAsia="幼圆" w:cstheme="minorBidi"/>
      <w:bCs w:val="0"/>
      <w:kern w:val="2"/>
      <w:sz w:val="24"/>
      <w:szCs w:val="22"/>
    </w:rPr>
  </w:style>
  <w:style w:type="paragraph" w:customStyle="1" w:styleId="153">
    <w:name w:val="Char Char Char Char Char Char Char Char Char Char Char Char Char Char Char Char Char Char Char Char Char1 Char"/>
    <w:basedOn w:val="3"/>
    <w:next w:val="1"/>
    <w:autoRedefine/>
    <w:qFormat/>
    <w:uiPriority w:val="99"/>
    <w:pPr>
      <w:keepNext w:val="0"/>
      <w:keepLines w:val="0"/>
      <w:spacing w:before="0" w:after="0" w:line="360" w:lineRule="auto"/>
      <w:ind w:firstLine="200" w:firstLineChars="200"/>
      <w:outlineLvl w:val="9"/>
    </w:pPr>
    <w:rPr>
      <w:rFonts w:ascii="宋体" w:hAnsi="宋体" w:cs="宋体"/>
      <w:bCs w:val="0"/>
      <w:color w:val="000000"/>
      <w:kern w:val="2"/>
      <w:sz w:val="24"/>
      <w:szCs w:val="24"/>
    </w:rPr>
  </w:style>
  <w:style w:type="paragraph" w:customStyle="1" w:styleId="154">
    <w:name w:val="0"/>
    <w:basedOn w:val="3"/>
    <w:next w:val="1"/>
    <w:autoRedefine/>
    <w:qFormat/>
    <w:uiPriority w:val="99"/>
    <w:pPr>
      <w:keepNext w:val="0"/>
      <w:keepLines w:val="0"/>
      <w:widowControl/>
      <w:snapToGrid w:val="0"/>
      <w:spacing w:before="0" w:after="0" w:line="365" w:lineRule="atLeast"/>
      <w:ind w:left="1" w:firstLine="425" w:firstLineChars="177"/>
      <w:outlineLvl w:val="9"/>
    </w:pPr>
    <w:rPr>
      <w:bCs w:val="0"/>
      <w:color w:val="000000"/>
      <w:kern w:val="0"/>
      <w:sz w:val="20"/>
      <w:szCs w:val="20"/>
    </w:rPr>
  </w:style>
  <w:style w:type="character" w:customStyle="1" w:styleId="155">
    <w:name w:val="表头 Char1"/>
    <w:link w:val="156"/>
    <w:autoRedefine/>
    <w:qFormat/>
    <w:locked/>
    <w:uiPriority w:val="0"/>
    <w:rPr>
      <w:rFonts w:ascii="Times New Roman" w:hAnsi="Times New Roman" w:cs="Times New Roman"/>
      <w:color w:val="000000"/>
      <w:sz w:val="24"/>
      <w:szCs w:val="24"/>
    </w:rPr>
  </w:style>
  <w:style w:type="paragraph" w:customStyle="1" w:styleId="156">
    <w:name w:val="表头"/>
    <w:basedOn w:val="3"/>
    <w:next w:val="1"/>
    <w:link w:val="155"/>
    <w:autoRedefine/>
    <w:qFormat/>
    <w:uiPriority w:val="0"/>
    <w:pPr>
      <w:keepNext w:val="0"/>
      <w:keepLines w:val="0"/>
      <w:spacing w:before="0" w:after="0" w:line="360" w:lineRule="auto"/>
      <w:ind w:firstLine="480" w:firstLineChars="200"/>
      <w:jc w:val="center"/>
      <w:outlineLvl w:val="9"/>
    </w:pPr>
    <w:rPr>
      <w:rFonts w:eastAsiaTheme="minorEastAsia"/>
      <w:bCs w:val="0"/>
      <w:color w:val="000000"/>
      <w:kern w:val="2"/>
      <w:sz w:val="24"/>
      <w:szCs w:val="24"/>
    </w:rPr>
  </w:style>
  <w:style w:type="character" w:customStyle="1" w:styleId="157">
    <w:name w:val="正文内容 Char Char"/>
    <w:link w:val="158"/>
    <w:autoRedefine/>
    <w:qFormat/>
    <w:locked/>
    <w:uiPriority w:val="0"/>
    <w:rPr>
      <w:sz w:val="28"/>
      <w:szCs w:val="28"/>
    </w:rPr>
  </w:style>
  <w:style w:type="paragraph" w:customStyle="1" w:styleId="158">
    <w:name w:val="正文内容"/>
    <w:basedOn w:val="3"/>
    <w:next w:val="1"/>
    <w:link w:val="157"/>
    <w:autoRedefine/>
    <w:qFormat/>
    <w:uiPriority w:val="0"/>
    <w:pPr>
      <w:keepNext w:val="0"/>
      <w:keepLines w:val="0"/>
      <w:overflowPunct w:val="0"/>
      <w:topLinePunct/>
      <w:spacing w:beforeLines="50" w:after="0" w:line="480" w:lineRule="exact"/>
      <w:ind w:firstLine="560" w:firstLineChars="200"/>
      <w:outlineLvl w:val="9"/>
    </w:pPr>
    <w:rPr>
      <w:rFonts w:asciiTheme="minorHAnsi" w:hAnsiTheme="minorHAnsi" w:eastAsiaTheme="minorEastAsia" w:cstheme="minorBidi"/>
      <w:bCs w:val="0"/>
      <w:kern w:val="2"/>
      <w:sz w:val="28"/>
      <w:szCs w:val="28"/>
    </w:rPr>
  </w:style>
  <w:style w:type="paragraph" w:customStyle="1" w:styleId="159">
    <w:name w:val="中文报告书样式"/>
    <w:basedOn w:val="3"/>
    <w:next w:val="1"/>
    <w:autoRedefine/>
    <w:qFormat/>
    <w:uiPriority w:val="99"/>
    <w:pPr>
      <w:keepNext w:val="0"/>
      <w:keepLines w:val="0"/>
      <w:adjustRightInd w:val="0"/>
      <w:spacing w:before="0" w:after="0" w:line="480" w:lineRule="atLeast"/>
      <w:ind w:firstLine="482" w:firstLineChars="177"/>
      <w:outlineLvl w:val="9"/>
    </w:pPr>
    <w:rPr>
      <w:bCs w:val="0"/>
      <w:color w:val="000000"/>
      <w:kern w:val="24"/>
      <w:sz w:val="24"/>
      <w:szCs w:val="20"/>
    </w:rPr>
  </w:style>
  <w:style w:type="paragraph" w:customStyle="1" w:styleId="160">
    <w:name w:val="表内文"/>
    <w:basedOn w:val="3"/>
    <w:next w:val="1"/>
    <w:autoRedefine/>
    <w:qFormat/>
    <w:uiPriority w:val="99"/>
    <w:pPr>
      <w:keepNext w:val="0"/>
      <w:keepLines w:val="0"/>
      <w:spacing w:before="0" w:after="0" w:line="320" w:lineRule="atLeast"/>
      <w:ind w:firstLine="425" w:firstLineChars="177"/>
      <w:jc w:val="center"/>
      <w:outlineLvl w:val="9"/>
    </w:pPr>
    <w:rPr>
      <w:bCs w:val="0"/>
      <w:color w:val="000000"/>
      <w:kern w:val="2"/>
      <w:sz w:val="24"/>
      <w:szCs w:val="20"/>
    </w:rPr>
  </w:style>
  <w:style w:type="paragraph" w:customStyle="1" w:styleId="161">
    <w:name w:val="表格式"/>
    <w:basedOn w:val="33"/>
    <w:next w:val="1"/>
    <w:autoRedefine/>
    <w:qFormat/>
    <w:uiPriority w:val="99"/>
    <w:pPr>
      <w:spacing w:line="480" w:lineRule="exact"/>
      <w:ind w:left="0" w:firstLine="0" w:firstLineChars="0"/>
      <w:contextualSpacing w:val="0"/>
      <w:jc w:val="center"/>
    </w:pPr>
    <w:rPr>
      <w:rFonts w:ascii="宋体" w:hAnsi="宋体"/>
      <w:color w:val="000000"/>
      <w:sz w:val="24"/>
      <w:szCs w:val="20"/>
    </w:rPr>
  </w:style>
  <w:style w:type="paragraph" w:customStyle="1" w:styleId="162">
    <w:name w:val="默认段落字体 Para Char Char Char Char"/>
    <w:basedOn w:val="3"/>
    <w:next w:val="1"/>
    <w:autoRedefine/>
    <w:qFormat/>
    <w:uiPriority w:val="99"/>
    <w:pPr>
      <w:keepNext w:val="0"/>
      <w:keepLines w:val="0"/>
      <w:spacing w:before="0" w:after="0" w:line="500" w:lineRule="atLeast"/>
      <w:ind w:firstLine="425" w:firstLineChars="177"/>
      <w:outlineLvl w:val="9"/>
    </w:pPr>
    <w:rPr>
      <w:bCs w:val="0"/>
      <w:color w:val="000000"/>
      <w:kern w:val="2"/>
      <w:sz w:val="24"/>
      <w:szCs w:val="24"/>
    </w:rPr>
  </w:style>
  <w:style w:type="paragraph" w:customStyle="1" w:styleId="163">
    <w:name w:val="Char Char Char1 Char Char Char Char Char Char1 Char Char Char Char Char Char"/>
    <w:basedOn w:val="3"/>
    <w:next w:val="1"/>
    <w:autoRedefine/>
    <w:qFormat/>
    <w:uiPriority w:val="99"/>
    <w:pPr>
      <w:keepNext w:val="0"/>
      <w:keepLines w:val="0"/>
      <w:snapToGrid w:val="0"/>
      <w:spacing w:before="0" w:after="0" w:line="360" w:lineRule="auto"/>
      <w:ind w:firstLine="200" w:firstLineChars="200"/>
      <w:outlineLvl w:val="9"/>
    </w:pPr>
    <w:rPr>
      <w:rFonts w:eastAsia="仿宋_GB2312"/>
      <w:bCs w:val="0"/>
      <w:color w:val="000000"/>
      <w:kern w:val="2"/>
      <w:sz w:val="24"/>
      <w:szCs w:val="24"/>
    </w:rPr>
  </w:style>
  <w:style w:type="character" w:customStyle="1" w:styleId="164">
    <w:name w:val="正文(首行缩进) Char"/>
    <w:link w:val="165"/>
    <w:autoRedefine/>
    <w:qFormat/>
    <w:locked/>
    <w:uiPriority w:val="0"/>
    <w:rPr>
      <w:snapToGrid w:val="0"/>
      <w:sz w:val="24"/>
      <w:szCs w:val="24"/>
    </w:rPr>
  </w:style>
  <w:style w:type="paragraph" w:customStyle="1" w:styleId="165">
    <w:name w:val="正文(首行缩进)"/>
    <w:basedOn w:val="3"/>
    <w:next w:val="1"/>
    <w:link w:val="164"/>
    <w:autoRedefine/>
    <w:qFormat/>
    <w:uiPriority w:val="0"/>
    <w:pPr>
      <w:keepNext w:val="0"/>
      <w:keepLines w:val="0"/>
      <w:adjustRightInd w:val="0"/>
      <w:snapToGrid w:val="0"/>
      <w:spacing w:before="0" w:after="0" w:line="360" w:lineRule="auto"/>
      <w:ind w:firstLine="200" w:firstLineChars="200"/>
      <w:outlineLvl w:val="9"/>
    </w:pPr>
    <w:rPr>
      <w:rFonts w:asciiTheme="minorHAnsi" w:hAnsiTheme="minorHAnsi" w:eastAsiaTheme="minorEastAsia" w:cstheme="minorBidi"/>
      <w:bCs w:val="0"/>
      <w:snapToGrid w:val="0"/>
      <w:kern w:val="2"/>
      <w:sz w:val="24"/>
      <w:szCs w:val="24"/>
    </w:rPr>
  </w:style>
  <w:style w:type="paragraph" w:customStyle="1" w:styleId="166">
    <w:name w:val="纯文本2"/>
    <w:basedOn w:val="3"/>
    <w:next w:val="1"/>
    <w:autoRedefine/>
    <w:qFormat/>
    <w:uiPriority w:val="99"/>
    <w:pPr>
      <w:keepNext w:val="0"/>
      <w:keepLines w:val="0"/>
      <w:spacing w:before="0" w:after="0" w:line="500" w:lineRule="atLeast"/>
      <w:ind w:firstLine="425" w:firstLineChars="177"/>
      <w:outlineLvl w:val="9"/>
    </w:pPr>
    <w:rPr>
      <w:rFonts w:ascii="宋体" w:hAnsi="Courier New"/>
      <w:bCs w:val="0"/>
      <w:color w:val="000000"/>
      <w:kern w:val="0"/>
      <w:sz w:val="20"/>
      <w:szCs w:val="21"/>
    </w:rPr>
  </w:style>
  <w:style w:type="paragraph" w:customStyle="1" w:styleId="167">
    <w:name w:val="日期1"/>
    <w:basedOn w:val="3"/>
    <w:next w:val="1"/>
    <w:autoRedefine/>
    <w:qFormat/>
    <w:uiPriority w:val="99"/>
    <w:pPr>
      <w:keepNext w:val="0"/>
      <w:keepLines w:val="0"/>
      <w:spacing w:before="0" w:after="0" w:line="500" w:lineRule="atLeast"/>
      <w:ind w:left="100" w:leftChars="2500" w:firstLine="425" w:firstLineChars="177"/>
      <w:outlineLvl w:val="9"/>
    </w:pPr>
    <w:rPr>
      <w:rFonts w:ascii="Calibri" w:hAnsi="Calibri"/>
      <w:bCs w:val="0"/>
      <w:color w:val="000000"/>
      <w:kern w:val="0"/>
      <w:sz w:val="20"/>
      <w:szCs w:val="20"/>
    </w:rPr>
  </w:style>
  <w:style w:type="paragraph" w:customStyle="1" w:styleId="168">
    <w:name w:val="无间隔1"/>
    <w:next w:val="1"/>
    <w:autoRedefine/>
    <w:qFormat/>
    <w:uiPriority w:val="99"/>
    <w:pPr>
      <w:spacing w:line="240" w:lineRule="auto"/>
      <w:jc w:val="left"/>
    </w:pPr>
    <w:rPr>
      <w:rFonts w:ascii="Calibri" w:hAnsi="Calibri" w:eastAsia="宋体" w:cs="Times New Roman"/>
      <w:color w:val="000000"/>
      <w:kern w:val="0"/>
      <w:sz w:val="24"/>
      <w:szCs w:val="20"/>
      <w:lang w:val="en-US" w:eastAsia="zh-CN" w:bidi="ar-SA"/>
    </w:rPr>
  </w:style>
  <w:style w:type="paragraph" w:customStyle="1" w:styleId="169">
    <w:name w:val="正文（我）"/>
    <w:basedOn w:val="3"/>
    <w:next w:val="1"/>
    <w:autoRedefine/>
    <w:qFormat/>
    <w:uiPriority w:val="99"/>
    <w:pPr>
      <w:keepNext w:val="0"/>
      <w:keepLines w:val="0"/>
      <w:spacing w:before="0" w:after="0" w:line="500" w:lineRule="atLeast"/>
      <w:ind w:firstLine="200" w:firstLineChars="200"/>
      <w:outlineLvl w:val="9"/>
    </w:pPr>
    <w:rPr>
      <w:bCs w:val="0"/>
      <w:color w:val="000000"/>
      <w:kern w:val="2"/>
      <w:sz w:val="28"/>
      <w:szCs w:val="24"/>
    </w:rPr>
  </w:style>
  <w:style w:type="paragraph" w:customStyle="1" w:styleId="170">
    <w:name w:val="Char1"/>
    <w:basedOn w:val="3"/>
    <w:next w:val="1"/>
    <w:autoRedefine/>
    <w:qFormat/>
    <w:uiPriority w:val="99"/>
    <w:pPr>
      <w:keepNext w:val="0"/>
      <w:keepLines w:val="0"/>
      <w:spacing w:before="0" w:after="0" w:line="500" w:lineRule="atLeast"/>
      <w:ind w:left="510" w:firstLine="425" w:firstLineChars="177"/>
      <w:outlineLvl w:val="9"/>
    </w:pPr>
    <w:rPr>
      <w:bCs w:val="0"/>
      <w:color w:val="000000"/>
      <w:kern w:val="2"/>
      <w:sz w:val="24"/>
      <w:szCs w:val="21"/>
    </w:rPr>
  </w:style>
  <w:style w:type="paragraph" w:customStyle="1" w:styleId="171">
    <w:name w:val="Char"/>
    <w:basedOn w:val="3"/>
    <w:next w:val="19"/>
    <w:autoRedefine/>
    <w:qFormat/>
    <w:uiPriority w:val="99"/>
    <w:pPr>
      <w:keepNext w:val="0"/>
      <w:keepLines w:val="0"/>
      <w:spacing w:before="0" w:after="0" w:line="360" w:lineRule="auto"/>
      <w:ind w:firstLine="200" w:firstLineChars="200"/>
      <w:jc w:val="center"/>
      <w:outlineLvl w:val="9"/>
    </w:pPr>
    <w:rPr>
      <w:rFonts w:ascii="宋体" w:hAnsi="宋体" w:cs="宋体"/>
      <w:bCs w:val="0"/>
      <w:color w:val="000000"/>
      <w:kern w:val="2"/>
      <w:sz w:val="30"/>
      <w:szCs w:val="30"/>
    </w:rPr>
  </w:style>
  <w:style w:type="paragraph" w:customStyle="1" w:styleId="172">
    <w:name w:val="Char Char Char1 Char Char Char Char Char Char Char Char"/>
    <w:basedOn w:val="3"/>
    <w:next w:val="1"/>
    <w:autoRedefine/>
    <w:qFormat/>
    <w:uiPriority w:val="99"/>
    <w:pPr>
      <w:keepNext w:val="0"/>
      <w:keepLines w:val="0"/>
      <w:spacing w:before="0" w:after="0" w:line="360" w:lineRule="auto"/>
      <w:ind w:firstLine="200" w:firstLineChars="200"/>
      <w:outlineLvl w:val="9"/>
    </w:pPr>
    <w:rPr>
      <w:rFonts w:ascii="宋体" w:hAnsi="宋体" w:cs="宋体"/>
      <w:bCs w:val="0"/>
      <w:color w:val="000000"/>
      <w:kern w:val="2"/>
      <w:sz w:val="24"/>
      <w:szCs w:val="24"/>
    </w:rPr>
  </w:style>
  <w:style w:type="paragraph" w:customStyle="1" w:styleId="173">
    <w:name w:val="Char Char Char Char Char Char Char Char Char Char Char Char Char Char Char Char"/>
    <w:basedOn w:val="3"/>
    <w:next w:val="1"/>
    <w:autoRedefine/>
    <w:qFormat/>
    <w:uiPriority w:val="99"/>
    <w:pPr>
      <w:keepNext w:val="0"/>
      <w:keepLines w:val="0"/>
      <w:spacing w:before="0" w:after="0" w:line="360" w:lineRule="auto"/>
      <w:ind w:firstLine="200" w:firstLineChars="200"/>
      <w:outlineLvl w:val="9"/>
    </w:pPr>
    <w:rPr>
      <w:rFonts w:ascii="宋体" w:hAnsi="宋体" w:cs="宋体"/>
      <w:bCs w:val="0"/>
      <w:color w:val="000000"/>
      <w:kern w:val="2"/>
      <w:sz w:val="24"/>
      <w:szCs w:val="24"/>
    </w:rPr>
  </w:style>
  <w:style w:type="character" w:customStyle="1" w:styleId="174">
    <w:name w:val="正文文本 (2)_"/>
    <w:link w:val="175"/>
    <w:autoRedefine/>
    <w:qFormat/>
    <w:locked/>
    <w:uiPriority w:val="0"/>
    <w:rPr>
      <w:rFonts w:ascii="MingLiU" w:hAnsi="MingLiU" w:eastAsia="MingLiU"/>
      <w:sz w:val="23"/>
      <w:szCs w:val="23"/>
      <w:shd w:val="clear" w:color="auto" w:fill="FFFFFF"/>
    </w:rPr>
  </w:style>
  <w:style w:type="paragraph" w:customStyle="1" w:styleId="175">
    <w:name w:val="正文文本 (2)"/>
    <w:basedOn w:val="3"/>
    <w:next w:val="1"/>
    <w:link w:val="174"/>
    <w:autoRedefine/>
    <w:qFormat/>
    <w:uiPriority w:val="0"/>
    <w:pPr>
      <w:keepNext w:val="0"/>
      <w:keepLines w:val="0"/>
      <w:shd w:val="clear" w:color="auto" w:fill="FFFFFF"/>
      <w:spacing w:before="0" w:after="0" w:line="466" w:lineRule="exact"/>
      <w:ind w:firstLine="425" w:firstLineChars="177"/>
      <w:jc w:val="distribute"/>
      <w:outlineLvl w:val="9"/>
    </w:pPr>
    <w:rPr>
      <w:rFonts w:ascii="MingLiU" w:hAnsi="MingLiU" w:eastAsia="MingLiU" w:cstheme="minorBidi"/>
      <w:bCs w:val="0"/>
      <w:kern w:val="2"/>
      <w:sz w:val="23"/>
      <w:szCs w:val="23"/>
    </w:rPr>
  </w:style>
  <w:style w:type="paragraph" w:customStyle="1" w:styleId="176">
    <w:name w:val="公式"/>
    <w:basedOn w:val="3"/>
    <w:next w:val="1"/>
    <w:autoRedefine/>
    <w:qFormat/>
    <w:uiPriority w:val="99"/>
    <w:pPr>
      <w:keepNext w:val="0"/>
      <w:keepLines w:val="0"/>
      <w:spacing w:before="0" w:after="0" w:line="312" w:lineRule="auto"/>
      <w:ind w:firstLine="425" w:firstLineChars="177"/>
      <w:jc w:val="right"/>
      <w:outlineLvl w:val="9"/>
    </w:pPr>
    <w:rPr>
      <w:rFonts w:ascii="宋体" w:hAnsi="宋体"/>
      <w:bCs w:val="0"/>
      <w:color w:val="000000"/>
      <w:kern w:val="2"/>
      <w:sz w:val="24"/>
      <w:szCs w:val="24"/>
    </w:rPr>
  </w:style>
  <w:style w:type="paragraph" w:customStyle="1" w:styleId="177">
    <w:name w:val="纯文本4"/>
    <w:basedOn w:val="3"/>
    <w:next w:val="1"/>
    <w:autoRedefine/>
    <w:qFormat/>
    <w:uiPriority w:val="99"/>
    <w:pPr>
      <w:keepNext w:val="0"/>
      <w:keepLines w:val="0"/>
      <w:spacing w:before="0" w:after="0" w:line="500" w:lineRule="atLeast"/>
      <w:ind w:firstLine="425" w:firstLineChars="177"/>
      <w:outlineLvl w:val="9"/>
    </w:pPr>
    <w:rPr>
      <w:rFonts w:ascii="宋体" w:hAnsi="Courier New"/>
      <w:bCs w:val="0"/>
      <w:kern w:val="0"/>
      <w:sz w:val="20"/>
      <w:szCs w:val="21"/>
    </w:rPr>
  </w:style>
  <w:style w:type="paragraph" w:customStyle="1" w:styleId="178">
    <w:name w:val="日期2"/>
    <w:basedOn w:val="3"/>
    <w:next w:val="1"/>
    <w:autoRedefine/>
    <w:qFormat/>
    <w:uiPriority w:val="99"/>
    <w:pPr>
      <w:keepNext w:val="0"/>
      <w:keepLines w:val="0"/>
      <w:spacing w:before="0" w:after="0" w:line="500" w:lineRule="atLeast"/>
      <w:ind w:left="100" w:leftChars="2500" w:firstLine="425" w:firstLineChars="177"/>
      <w:outlineLvl w:val="9"/>
    </w:pPr>
    <w:rPr>
      <w:rFonts w:ascii="Calibri" w:hAnsi="Calibri"/>
      <w:bCs w:val="0"/>
      <w:kern w:val="0"/>
      <w:sz w:val="20"/>
      <w:szCs w:val="20"/>
    </w:rPr>
  </w:style>
  <w:style w:type="paragraph" w:customStyle="1" w:styleId="179">
    <w:name w:val="无间隔2"/>
    <w:next w:val="1"/>
    <w:autoRedefine/>
    <w:qFormat/>
    <w:uiPriority w:val="99"/>
    <w:pPr>
      <w:spacing w:line="240" w:lineRule="auto"/>
      <w:jc w:val="left"/>
    </w:pPr>
    <w:rPr>
      <w:rFonts w:ascii="Calibri" w:hAnsi="Calibri" w:eastAsia="宋体" w:cs="Times New Roman"/>
      <w:kern w:val="0"/>
      <w:sz w:val="22"/>
      <w:szCs w:val="20"/>
      <w:lang w:val="en-US" w:eastAsia="zh-CN" w:bidi="ar-SA"/>
    </w:rPr>
  </w:style>
  <w:style w:type="paragraph" w:customStyle="1" w:styleId="180">
    <w:name w:val="纯文本5"/>
    <w:basedOn w:val="3"/>
    <w:next w:val="1"/>
    <w:autoRedefine/>
    <w:qFormat/>
    <w:uiPriority w:val="99"/>
    <w:pPr>
      <w:keepNext w:val="0"/>
      <w:keepLines w:val="0"/>
      <w:spacing w:before="0" w:after="0" w:line="500" w:lineRule="atLeast"/>
      <w:ind w:firstLine="425" w:firstLineChars="177"/>
      <w:outlineLvl w:val="9"/>
    </w:pPr>
    <w:rPr>
      <w:rFonts w:ascii="宋体" w:hAnsi="Courier New"/>
      <w:bCs w:val="0"/>
      <w:kern w:val="0"/>
      <w:sz w:val="20"/>
      <w:szCs w:val="21"/>
    </w:rPr>
  </w:style>
  <w:style w:type="paragraph" w:customStyle="1" w:styleId="181">
    <w:name w:val="Char12"/>
    <w:basedOn w:val="3"/>
    <w:next w:val="1"/>
    <w:autoRedefine/>
    <w:qFormat/>
    <w:uiPriority w:val="99"/>
    <w:pPr>
      <w:keepNext w:val="0"/>
      <w:keepLines w:val="0"/>
      <w:spacing w:before="0" w:after="0" w:line="500" w:lineRule="atLeast"/>
      <w:ind w:left="510" w:firstLine="425" w:firstLineChars="177"/>
      <w:outlineLvl w:val="9"/>
    </w:pPr>
    <w:rPr>
      <w:bCs w:val="0"/>
      <w:kern w:val="2"/>
      <w:sz w:val="24"/>
      <w:szCs w:val="21"/>
    </w:rPr>
  </w:style>
  <w:style w:type="paragraph" w:customStyle="1" w:styleId="182">
    <w:name w:val="Char Char Char1 Char Char Char Char Char Char Char Char2"/>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183">
    <w:name w:val="Char Char Char Char Char Char Char Char Char Char Char Char Char Char Char Char2"/>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184">
    <w:name w:val="正文4"/>
    <w:autoRedefine/>
    <w:qFormat/>
    <w:uiPriority w:val="99"/>
    <w:pPr>
      <w:widowControl w:val="0"/>
      <w:adjustRightInd w:val="0"/>
      <w:spacing w:line="360" w:lineRule="atLeast"/>
      <w:jc w:val="left"/>
    </w:pPr>
    <w:rPr>
      <w:rFonts w:ascii="宋体" w:hAnsi="Times New Roman" w:eastAsia="宋体" w:cs="Times New Roman"/>
      <w:kern w:val="0"/>
      <w:sz w:val="24"/>
      <w:szCs w:val="20"/>
      <w:lang w:val="en-US" w:eastAsia="zh-CN" w:bidi="ar-SA"/>
    </w:rPr>
  </w:style>
  <w:style w:type="paragraph" w:customStyle="1" w:styleId="185">
    <w:name w:val="日期3"/>
    <w:basedOn w:val="3"/>
    <w:next w:val="1"/>
    <w:autoRedefine/>
    <w:qFormat/>
    <w:uiPriority w:val="99"/>
    <w:pPr>
      <w:keepNext w:val="0"/>
      <w:keepLines w:val="0"/>
      <w:spacing w:before="0" w:after="0" w:line="500" w:lineRule="atLeast"/>
      <w:ind w:left="100" w:leftChars="2500" w:firstLine="425" w:firstLineChars="177"/>
      <w:outlineLvl w:val="9"/>
    </w:pPr>
    <w:rPr>
      <w:rFonts w:ascii="Calibri" w:hAnsi="Calibri"/>
      <w:bCs w:val="0"/>
      <w:kern w:val="0"/>
      <w:sz w:val="20"/>
      <w:szCs w:val="20"/>
    </w:rPr>
  </w:style>
  <w:style w:type="paragraph" w:customStyle="1" w:styleId="186">
    <w:name w:val="无间隔3"/>
    <w:next w:val="1"/>
    <w:autoRedefine/>
    <w:qFormat/>
    <w:uiPriority w:val="99"/>
    <w:pPr>
      <w:spacing w:line="240" w:lineRule="auto"/>
      <w:jc w:val="left"/>
    </w:pPr>
    <w:rPr>
      <w:rFonts w:ascii="Calibri" w:hAnsi="Calibri" w:eastAsia="宋体" w:cs="Times New Roman"/>
      <w:kern w:val="0"/>
      <w:sz w:val="22"/>
      <w:szCs w:val="20"/>
      <w:lang w:val="en-US" w:eastAsia="zh-CN" w:bidi="ar-SA"/>
    </w:rPr>
  </w:style>
  <w:style w:type="paragraph" w:customStyle="1" w:styleId="187">
    <w:name w:val="Char11"/>
    <w:basedOn w:val="3"/>
    <w:next w:val="1"/>
    <w:autoRedefine/>
    <w:qFormat/>
    <w:uiPriority w:val="99"/>
    <w:pPr>
      <w:keepNext w:val="0"/>
      <w:keepLines w:val="0"/>
      <w:spacing w:before="0" w:after="0" w:line="500" w:lineRule="atLeast"/>
      <w:ind w:left="510" w:firstLine="425" w:firstLineChars="177"/>
      <w:outlineLvl w:val="9"/>
    </w:pPr>
    <w:rPr>
      <w:bCs w:val="0"/>
      <w:kern w:val="2"/>
      <w:sz w:val="24"/>
      <w:szCs w:val="21"/>
    </w:rPr>
  </w:style>
  <w:style w:type="paragraph" w:customStyle="1" w:styleId="188">
    <w:name w:val="Char Char Char1 Char Char Char Char Char Char Char Char1"/>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189">
    <w:name w:val="Char Char Char Char Char Char Char Char Char Char Char Char Char Char Char Char1"/>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character" w:customStyle="1" w:styleId="190">
    <w:name w:val="正缩1 Char Char"/>
    <w:link w:val="191"/>
    <w:autoRedefine/>
    <w:qFormat/>
    <w:locked/>
    <w:uiPriority w:val="0"/>
    <w:rPr>
      <w:rFonts w:ascii="仿宋_GB2312" w:eastAsia="仿宋_GB2312"/>
      <w:snapToGrid w:val="0"/>
      <w:color w:val="000000"/>
      <w:sz w:val="28"/>
    </w:rPr>
  </w:style>
  <w:style w:type="paragraph" w:customStyle="1" w:styleId="191">
    <w:name w:val="正缩1 Char"/>
    <w:basedOn w:val="3"/>
    <w:next w:val="1"/>
    <w:link w:val="190"/>
    <w:autoRedefine/>
    <w:qFormat/>
    <w:uiPriority w:val="0"/>
    <w:pPr>
      <w:keepNext w:val="0"/>
      <w:keepLines w:val="0"/>
      <w:adjustRightInd w:val="0"/>
      <w:snapToGrid w:val="0"/>
      <w:spacing w:before="0" w:after="0" w:line="500" w:lineRule="exact"/>
      <w:ind w:firstLine="567" w:firstLineChars="177"/>
      <w:outlineLvl w:val="9"/>
    </w:pPr>
    <w:rPr>
      <w:rFonts w:ascii="仿宋_GB2312" w:eastAsia="仿宋_GB2312" w:hAnsiTheme="minorHAnsi" w:cstheme="minorBidi"/>
      <w:bCs w:val="0"/>
      <w:snapToGrid w:val="0"/>
      <w:color w:val="000000"/>
      <w:kern w:val="2"/>
      <w:sz w:val="28"/>
      <w:szCs w:val="22"/>
    </w:rPr>
  </w:style>
  <w:style w:type="character" w:customStyle="1" w:styleId="192">
    <w:name w:val="报告正文 Char"/>
    <w:link w:val="193"/>
    <w:autoRedefine/>
    <w:qFormat/>
    <w:locked/>
    <w:uiPriority w:val="0"/>
    <w:rPr>
      <w:sz w:val="24"/>
    </w:rPr>
  </w:style>
  <w:style w:type="paragraph" w:customStyle="1" w:styleId="193">
    <w:name w:val="报告正文"/>
    <w:basedOn w:val="3"/>
    <w:next w:val="1"/>
    <w:link w:val="192"/>
    <w:autoRedefine/>
    <w:qFormat/>
    <w:uiPriority w:val="0"/>
    <w:pPr>
      <w:keepNext w:val="0"/>
      <w:keepLines w:val="0"/>
      <w:spacing w:before="0" w:after="0" w:line="360" w:lineRule="auto"/>
      <w:ind w:firstLine="200" w:firstLineChars="200"/>
      <w:outlineLvl w:val="9"/>
    </w:pPr>
    <w:rPr>
      <w:rFonts w:asciiTheme="minorHAnsi" w:hAnsiTheme="minorHAnsi" w:eastAsiaTheme="minorEastAsia" w:cstheme="minorBidi"/>
      <w:bCs w:val="0"/>
      <w:kern w:val="2"/>
      <w:sz w:val="24"/>
      <w:szCs w:val="22"/>
    </w:rPr>
  </w:style>
  <w:style w:type="character" w:customStyle="1" w:styleId="194">
    <w:name w:val="正文111 Char"/>
    <w:basedOn w:val="49"/>
    <w:link w:val="195"/>
    <w:autoRedefine/>
    <w:qFormat/>
    <w:locked/>
    <w:uiPriority w:val="0"/>
    <w:rPr>
      <w:rFonts w:ascii="仿宋_GB2312" w:eastAsia="仿宋_GB2312"/>
      <w:spacing w:val="6"/>
      <w:sz w:val="24"/>
      <w:szCs w:val="24"/>
    </w:rPr>
  </w:style>
  <w:style w:type="paragraph" w:customStyle="1" w:styleId="195">
    <w:name w:val="正文111"/>
    <w:basedOn w:val="3"/>
    <w:link w:val="194"/>
    <w:autoRedefine/>
    <w:qFormat/>
    <w:uiPriority w:val="0"/>
    <w:pPr>
      <w:keepNext w:val="0"/>
      <w:keepLines w:val="0"/>
      <w:spacing w:before="0" w:after="0" w:line="520" w:lineRule="exact"/>
      <w:ind w:firstLine="200" w:firstLineChars="200"/>
      <w:outlineLvl w:val="9"/>
    </w:pPr>
    <w:rPr>
      <w:rFonts w:ascii="仿宋_GB2312" w:eastAsia="仿宋_GB2312" w:hAnsiTheme="minorHAnsi" w:cstheme="minorBidi"/>
      <w:bCs w:val="0"/>
      <w:spacing w:val="6"/>
      <w:kern w:val="2"/>
      <w:sz w:val="24"/>
      <w:szCs w:val="24"/>
    </w:rPr>
  </w:style>
  <w:style w:type="character" w:customStyle="1" w:styleId="196">
    <w:name w:val="表格内文字 Char1"/>
    <w:basedOn w:val="49"/>
    <w:link w:val="197"/>
    <w:autoRedefine/>
    <w:qFormat/>
    <w:locked/>
    <w:uiPriority w:val="0"/>
    <w:rPr>
      <w:szCs w:val="21"/>
      <w:lang w:val="zh-CN"/>
    </w:rPr>
  </w:style>
  <w:style w:type="paragraph" w:customStyle="1" w:styleId="197">
    <w:name w:val="表格内文字"/>
    <w:next w:val="1"/>
    <w:link w:val="196"/>
    <w:autoRedefine/>
    <w:qFormat/>
    <w:uiPriority w:val="0"/>
    <w:pPr>
      <w:spacing w:line="240" w:lineRule="auto"/>
      <w:jc w:val="left"/>
    </w:pPr>
    <w:rPr>
      <w:rFonts w:asciiTheme="minorHAnsi" w:hAnsiTheme="minorHAnsi" w:eastAsiaTheme="minorEastAsia" w:cstheme="minorBidi"/>
      <w:kern w:val="2"/>
      <w:sz w:val="21"/>
      <w:szCs w:val="21"/>
      <w:lang w:val="zh-CN" w:eastAsia="zh-CN" w:bidi="ar-SA"/>
    </w:rPr>
  </w:style>
  <w:style w:type="paragraph" w:customStyle="1" w:styleId="198">
    <w:name w:val="麦志勤正文 Char"/>
    <w:basedOn w:val="3"/>
    <w:next w:val="1"/>
    <w:autoRedefine/>
    <w:qFormat/>
    <w:uiPriority w:val="99"/>
    <w:pPr>
      <w:keepNext w:val="0"/>
      <w:keepLines w:val="0"/>
      <w:adjustRightInd w:val="0"/>
      <w:snapToGrid w:val="0"/>
      <w:spacing w:beforeLines="20" w:after="0" w:line="300" w:lineRule="auto"/>
      <w:ind w:firstLine="200" w:firstLineChars="200"/>
      <w:outlineLvl w:val="9"/>
    </w:pPr>
    <w:rPr>
      <w:rFonts w:ascii="宋体" w:hAnsi="宋体"/>
      <w:bCs w:val="0"/>
      <w:kern w:val="2"/>
      <w:sz w:val="24"/>
      <w:szCs w:val="20"/>
    </w:rPr>
  </w:style>
  <w:style w:type="character" w:customStyle="1" w:styleId="199">
    <w:name w:val="正文---------------- Char Char"/>
    <w:basedOn w:val="49"/>
    <w:link w:val="200"/>
    <w:autoRedefine/>
    <w:qFormat/>
    <w:locked/>
    <w:uiPriority w:val="0"/>
    <w:rPr>
      <w:rFonts w:ascii="宋体" w:hAnsi="宋体" w:eastAsia="宋体" w:cs="宋体"/>
      <w:spacing w:val="16"/>
      <w:sz w:val="24"/>
    </w:rPr>
  </w:style>
  <w:style w:type="paragraph" w:customStyle="1" w:styleId="200">
    <w:name w:val="正文----------------"/>
    <w:basedOn w:val="3"/>
    <w:next w:val="1"/>
    <w:link w:val="199"/>
    <w:autoRedefine/>
    <w:qFormat/>
    <w:uiPriority w:val="0"/>
    <w:pPr>
      <w:keepNext w:val="0"/>
      <w:keepLines w:val="0"/>
      <w:spacing w:before="0" w:after="0" w:line="440" w:lineRule="exact"/>
      <w:ind w:firstLine="544" w:firstLineChars="200"/>
      <w:outlineLvl w:val="9"/>
    </w:pPr>
    <w:rPr>
      <w:rFonts w:ascii="宋体" w:hAnsi="宋体" w:cs="宋体"/>
      <w:bCs w:val="0"/>
      <w:spacing w:val="16"/>
      <w:kern w:val="2"/>
      <w:sz w:val="24"/>
      <w:szCs w:val="22"/>
    </w:rPr>
  </w:style>
  <w:style w:type="paragraph" w:customStyle="1" w:styleId="201">
    <w:name w:val="样式 样式 样式1 + 首行缩进:  2 字符 + 首行缩进:  2 字符"/>
    <w:basedOn w:val="3"/>
    <w:next w:val="1"/>
    <w:autoRedefine/>
    <w:qFormat/>
    <w:uiPriority w:val="99"/>
    <w:pPr>
      <w:keepNext w:val="0"/>
      <w:keepLines w:val="0"/>
      <w:spacing w:before="0" w:after="0" w:line="360" w:lineRule="auto"/>
      <w:ind w:firstLine="600" w:firstLineChars="250"/>
      <w:outlineLvl w:val="9"/>
    </w:pPr>
    <w:rPr>
      <w:rFonts w:cs="宋体"/>
      <w:kern w:val="2"/>
      <w:sz w:val="24"/>
      <w:szCs w:val="24"/>
    </w:rPr>
  </w:style>
  <w:style w:type="paragraph" w:customStyle="1" w:styleId="202">
    <w:name w:val="样式 宋体 小四 左 行距: 固定值 22 磅"/>
    <w:basedOn w:val="3"/>
    <w:next w:val="1"/>
    <w:autoRedefine/>
    <w:qFormat/>
    <w:uiPriority w:val="99"/>
    <w:pPr>
      <w:keepNext w:val="0"/>
      <w:keepLines w:val="0"/>
      <w:spacing w:before="0" w:after="0" w:line="440" w:lineRule="exact"/>
      <w:ind w:firstLine="200" w:firstLineChars="200"/>
      <w:jc w:val="left"/>
      <w:outlineLvl w:val="9"/>
    </w:pPr>
    <w:rPr>
      <w:rFonts w:ascii="宋体" w:hAnsi="宋体" w:cs="宋体"/>
      <w:bCs w:val="0"/>
      <w:kern w:val="2"/>
      <w:sz w:val="24"/>
      <w:szCs w:val="20"/>
    </w:rPr>
  </w:style>
  <w:style w:type="character" w:customStyle="1" w:styleId="203">
    <w:name w:val="表格标题采用 Char"/>
    <w:link w:val="204"/>
    <w:autoRedefine/>
    <w:qFormat/>
    <w:locked/>
    <w:uiPriority w:val="0"/>
    <w:rPr>
      <w:rFonts w:ascii="宋体" w:hAnsi="宋体" w:eastAsia="宋体"/>
      <w:b/>
      <w:color w:val="000000"/>
      <w:sz w:val="24"/>
      <w:szCs w:val="24"/>
    </w:rPr>
  </w:style>
  <w:style w:type="paragraph" w:customStyle="1" w:styleId="204">
    <w:name w:val="表格标题采用"/>
    <w:basedOn w:val="3"/>
    <w:next w:val="1"/>
    <w:link w:val="203"/>
    <w:autoRedefine/>
    <w:qFormat/>
    <w:uiPriority w:val="0"/>
    <w:pPr>
      <w:keepNext w:val="0"/>
      <w:keepLines w:val="0"/>
      <w:spacing w:before="0" w:after="0" w:line="500" w:lineRule="atLeast"/>
      <w:ind w:firstLine="480" w:firstLineChars="177"/>
      <w:jc w:val="center"/>
      <w:outlineLvl w:val="9"/>
    </w:pPr>
    <w:rPr>
      <w:rFonts w:ascii="宋体" w:hAnsi="宋体" w:cstheme="minorBidi"/>
      <w:bCs w:val="0"/>
      <w:color w:val="000000"/>
      <w:kern w:val="2"/>
      <w:sz w:val="24"/>
      <w:szCs w:val="24"/>
    </w:rPr>
  </w:style>
  <w:style w:type="character" w:customStyle="1" w:styleId="205">
    <w:name w:val="表格内容 Char"/>
    <w:link w:val="206"/>
    <w:autoRedefine/>
    <w:qFormat/>
    <w:locked/>
    <w:uiPriority w:val="0"/>
    <w:rPr>
      <w:snapToGrid w:val="0"/>
      <w:color w:val="FF0000"/>
      <w:szCs w:val="21"/>
    </w:rPr>
  </w:style>
  <w:style w:type="paragraph" w:customStyle="1" w:styleId="206">
    <w:name w:val="表格内容"/>
    <w:basedOn w:val="3"/>
    <w:next w:val="1"/>
    <w:link w:val="205"/>
    <w:autoRedefine/>
    <w:qFormat/>
    <w:uiPriority w:val="0"/>
    <w:pPr>
      <w:keepNext w:val="0"/>
      <w:keepLines w:val="0"/>
      <w:snapToGrid w:val="0"/>
      <w:spacing w:before="0" w:after="0" w:line="240" w:lineRule="exact"/>
      <w:ind w:firstLine="425" w:firstLineChars="177"/>
      <w:jc w:val="center"/>
      <w:outlineLvl w:val="9"/>
    </w:pPr>
    <w:rPr>
      <w:rFonts w:asciiTheme="minorHAnsi" w:hAnsiTheme="minorHAnsi" w:eastAsiaTheme="minorEastAsia" w:cstheme="minorBidi"/>
      <w:bCs w:val="0"/>
      <w:snapToGrid w:val="0"/>
      <w:color w:val="FF0000"/>
      <w:kern w:val="2"/>
      <w:sz w:val="21"/>
      <w:szCs w:val="21"/>
    </w:rPr>
  </w:style>
  <w:style w:type="paragraph" w:customStyle="1" w:styleId="207">
    <w:name w:val="正文段落格式 Char"/>
    <w:basedOn w:val="3"/>
    <w:next w:val="1"/>
    <w:autoRedefine/>
    <w:qFormat/>
    <w:uiPriority w:val="99"/>
    <w:pPr>
      <w:keepNext w:val="0"/>
      <w:keepLines w:val="0"/>
      <w:spacing w:before="0" w:after="0" w:line="360" w:lineRule="auto"/>
      <w:ind w:firstLine="200" w:firstLineChars="200"/>
      <w:outlineLvl w:val="9"/>
    </w:pPr>
    <w:rPr>
      <w:bCs w:val="0"/>
      <w:kern w:val="2"/>
      <w:sz w:val="28"/>
      <w:szCs w:val="20"/>
    </w:rPr>
  </w:style>
  <w:style w:type="paragraph" w:customStyle="1" w:styleId="208">
    <w:name w:val="reader-word-layer"/>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09">
    <w:name w:val="正文 New New New New New New New New New New New New New New New New New New New New New New New New New New New New New New New New New New New New New New New New New New New New New New New"/>
    <w:next w:val="1"/>
    <w:autoRedefine/>
    <w:qFormat/>
    <w:uiPriority w:val="99"/>
    <w:pPr>
      <w:widowControl w:val="0"/>
      <w:spacing w:line="240" w:lineRule="auto"/>
      <w:jc w:val="both"/>
    </w:pPr>
    <w:rPr>
      <w:rFonts w:ascii="Times New Roman" w:hAnsi="Times New Roman" w:eastAsia="宋体" w:cs="Times New Roman"/>
      <w:kern w:val="2"/>
      <w:sz w:val="21"/>
      <w:szCs w:val="24"/>
      <w:lang w:val="en-US" w:eastAsia="zh-CN" w:bidi="ar-SA"/>
    </w:rPr>
  </w:style>
  <w:style w:type="paragraph" w:customStyle="1" w:styleId="210">
    <w:name w:val="表格文字"/>
    <w:basedOn w:val="3"/>
    <w:next w:val="1"/>
    <w:autoRedefine/>
    <w:qFormat/>
    <w:uiPriority w:val="99"/>
    <w:pPr>
      <w:keepNext w:val="0"/>
      <w:keepLines w:val="0"/>
      <w:spacing w:before="0" w:after="0" w:line="500" w:lineRule="atLeast"/>
      <w:ind w:firstLine="425" w:firstLineChars="177"/>
      <w:jc w:val="center"/>
      <w:outlineLvl w:val="9"/>
    </w:pPr>
    <w:rPr>
      <w:rFonts w:ascii="仿宋_GB2312" w:hAnsi="Arial Black" w:eastAsia="仿宋_GB2312"/>
      <w:bCs w:val="0"/>
      <w:sz w:val="24"/>
      <w:szCs w:val="24"/>
    </w:rPr>
  </w:style>
  <w:style w:type="paragraph" w:customStyle="1" w:styleId="211">
    <w:name w:val="表格样式"/>
    <w:basedOn w:val="24"/>
    <w:next w:val="1"/>
    <w:autoRedefine/>
    <w:qFormat/>
    <w:uiPriority w:val="99"/>
    <w:pPr>
      <w:spacing w:line="720" w:lineRule="auto"/>
      <w:ind w:firstLine="425" w:firstLineChars="177"/>
    </w:pPr>
    <w:rPr>
      <w:rFonts w:cs="Times New Roman"/>
      <w:szCs w:val="20"/>
    </w:rPr>
  </w:style>
  <w:style w:type="paragraph" w:customStyle="1" w:styleId="212">
    <w:name w:val="Char3"/>
    <w:basedOn w:val="3"/>
    <w:next w:val="1"/>
    <w:autoRedefine/>
    <w:qFormat/>
    <w:uiPriority w:val="99"/>
    <w:pPr>
      <w:keepNext w:val="0"/>
      <w:keepLines w:val="0"/>
      <w:spacing w:before="0" w:after="0" w:line="500" w:lineRule="atLeast"/>
      <w:ind w:firstLine="425" w:firstLineChars="177"/>
      <w:outlineLvl w:val="9"/>
    </w:pPr>
    <w:rPr>
      <w:bCs w:val="0"/>
      <w:kern w:val="2"/>
      <w:sz w:val="24"/>
      <w:szCs w:val="24"/>
    </w:rPr>
  </w:style>
  <w:style w:type="paragraph" w:customStyle="1" w:styleId="213">
    <w:name w:val="Char2 Char Char Char"/>
    <w:basedOn w:val="3"/>
    <w:next w:val="1"/>
    <w:autoRedefine/>
    <w:qFormat/>
    <w:uiPriority w:val="99"/>
    <w:pPr>
      <w:keepNext w:val="0"/>
      <w:keepLines w:val="0"/>
      <w:autoSpaceDE w:val="0"/>
      <w:autoSpaceDN w:val="0"/>
      <w:adjustRightInd w:val="0"/>
      <w:snapToGrid w:val="0"/>
      <w:spacing w:before="50" w:after="50" w:line="360" w:lineRule="auto"/>
      <w:ind w:firstLine="560" w:firstLineChars="200"/>
      <w:outlineLvl w:val="9"/>
    </w:pPr>
    <w:rPr>
      <w:rFonts w:ascii="宋体" w:hAnsi="宋体" w:eastAsia="仿宋_GB2312"/>
      <w:bCs w:val="0"/>
      <w:color w:val="000000"/>
      <w:kern w:val="2"/>
      <w:sz w:val="24"/>
      <w:szCs w:val="24"/>
    </w:rPr>
  </w:style>
  <w:style w:type="paragraph" w:customStyle="1" w:styleId="214">
    <w:name w:val="Char Char Char Char Char Char Char Char Char Char1 Char Char Char Char Char Char Char Char Char Char Char Char Char"/>
    <w:basedOn w:val="3"/>
    <w:next w:val="1"/>
    <w:autoRedefine/>
    <w:qFormat/>
    <w:uiPriority w:val="99"/>
    <w:pPr>
      <w:keepNext w:val="0"/>
      <w:keepLines w:val="0"/>
      <w:spacing w:before="0" w:after="0" w:line="500" w:lineRule="atLeast"/>
      <w:ind w:firstLine="425" w:firstLineChars="177"/>
      <w:outlineLvl w:val="9"/>
    </w:pPr>
    <w:rPr>
      <w:bCs w:val="0"/>
      <w:kern w:val="2"/>
      <w:sz w:val="24"/>
      <w:szCs w:val="24"/>
    </w:rPr>
  </w:style>
  <w:style w:type="character" w:customStyle="1" w:styleId="215">
    <w:name w:val="Char Char Char Char Char1"/>
    <w:link w:val="216"/>
    <w:autoRedefine/>
    <w:qFormat/>
    <w:locked/>
    <w:uiPriority w:val="99"/>
    <w:rPr>
      <w:rFonts w:ascii="Arial" w:hAnsi="Arial" w:cs="Arial"/>
      <w:b/>
      <w:sz w:val="24"/>
      <w:lang w:eastAsia="en-US"/>
    </w:rPr>
  </w:style>
  <w:style w:type="paragraph" w:customStyle="1" w:styleId="216">
    <w:name w:val="Char Char Char Char"/>
    <w:basedOn w:val="3"/>
    <w:next w:val="1"/>
    <w:link w:val="215"/>
    <w:autoRedefine/>
    <w:qFormat/>
    <w:uiPriority w:val="99"/>
    <w:pPr>
      <w:keepNext w:val="0"/>
      <w:keepLines w:val="0"/>
      <w:widowControl/>
      <w:spacing w:before="0" w:after="160" w:line="240" w:lineRule="exact"/>
      <w:ind w:firstLine="425" w:firstLineChars="177"/>
      <w:jc w:val="left"/>
      <w:outlineLvl w:val="9"/>
    </w:pPr>
    <w:rPr>
      <w:rFonts w:ascii="Arial" w:hAnsi="Arial" w:cs="Arial" w:eastAsiaTheme="minorEastAsia"/>
      <w:bCs w:val="0"/>
      <w:kern w:val="2"/>
      <w:sz w:val="24"/>
      <w:szCs w:val="22"/>
      <w:lang w:eastAsia="en-US"/>
    </w:rPr>
  </w:style>
  <w:style w:type="paragraph" w:customStyle="1" w:styleId="217">
    <w:name w:val="xl24"/>
    <w:basedOn w:val="3"/>
    <w:next w:val="1"/>
    <w:autoRedefine/>
    <w:qFormat/>
    <w:uiPriority w:val="99"/>
    <w:pPr>
      <w:keepNext w:val="0"/>
      <w:keepLines w:val="0"/>
      <w:widowControl/>
      <w:pBdr>
        <w:bottom w:val="single" w:color="auto" w:sz="4" w:space="0"/>
        <w:right w:val="single" w:color="auto" w:sz="4" w:space="0"/>
      </w:pBdr>
      <w:spacing w:before="100" w:beforeAutospacing="1" w:after="100" w:afterAutospacing="1" w:line="500" w:lineRule="atLeast"/>
      <w:ind w:firstLine="425" w:firstLineChars="177"/>
      <w:jc w:val="center"/>
      <w:outlineLvl w:val="9"/>
    </w:pPr>
    <w:rPr>
      <w:rFonts w:ascii="宋体" w:hAnsi="宋体"/>
      <w:bCs w:val="0"/>
      <w:kern w:val="0"/>
      <w:sz w:val="24"/>
      <w:szCs w:val="21"/>
    </w:rPr>
  </w:style>
  <w:style w:type="character" w:customStyle="1" w:styleId="218">
    <w:name w:val="正文文本缩进一 Char"/>
    <w:link w:val="219"/>
    <w:autoRedefine/>
    <w:qFormat/>
    <w:locked/>
    <w:uiPriority w:val="0"/>
    <w:rPr>
      <w:rFonts w:ascii="宋体" w:hAnsi="宋体" w:eastAsia="宋体"/>
      <w:sz w:val="28"/>
      <w:szCs w:val="24"/>
    </w:rPr>
  </w:style>
  <w:style w:type="paragraph" w:customStyle="1" w:styleId="219">
    <w:name w:val="正文文本缩进一"/>
    <w:basedOn w:val="20"/>
    <w:next w:val="1"/>
    <w:link w:val="218"/>
    <w:autoRedefine/>
    <w:qFormat/>
    <w:uiPriority w:val="0"/>
    <w:pPr>
      <w:spacing w:line="360" w:lineRule="auto"/>
      <w:ind w:firstLine="560"/>
    </w:pPr>
    <w:rPr>
      <w:rFonts w:ascii="宋体" w:hAnsi="宋体" w:eastAsia="宋体"/>
      <w:sz w:val="28"/>
    </w:rPr>
  </w:style>
  <w:style w:type="paragraph" w:customStyle="1" w:styleId="220">
    <w:name w:val="正文文本缩进二"/>
    <w:basedOn w:val="26"/>
    <w:next w:val="1"/>
    <w:autoRedefine/>
    <w:qFormat/>
    <w:uiPriority w:val="99"/>
    <w:rPr>
      <w:rFonts w:ascii="Times New Roman" w:hAnsi="Times New Roman"/>
      <w:color w:val="auto"/>
      <w:szCs w:val="24"/>
    </w:rPr>
  </w:style>
  <w:style w:type="character" w:customStyle="1" w:styleId="221">
    <w:name w:val="Default Char"/>
    <w:link w:val="61"/>
    <w:autoRedefine/>
    <w:qFormat/>
    <w:locked/>
    <w:uiPriority w:val="0"/>
    <w:rPr>
      <w:rFonts w:ascii="Times New Roman" w:cs="Times New Roman" w:hAnsiTheme="minorEastAsia"/>
      <w:bCs/>
      <w:sz w:val="24"/>
      <w:szCs w:val="24"/>
      <w:lang w:val="zh-CN"/>
    </w:rPr>
  </w:style>
  <w:style w:type="paragraph" w:customStyle="1" w:styleId="222">
    <w:name w:val="表中文字"/>
    <w:basedOn w:val="3"/>
    <w:autoRedefine/>
    <w:qFormat/>
    <w:uiPriority w:val="99"/>
    <w:pPr>
      <w:keepNext w:val="0"/>
      <w:keepLines w:val="0"/>
      <w:spacing w:before="0" w:after="0" w:line="500" w:lineRule="atLeast"/>
      <w:ind w:firstLine="425" w:firstLineChars="177"/>
      <w:jc w:val="center"/>
      <w:outlineLvl w:val="9"/>
    </w:pPr>
    <w:rPr>
      <w:bCs w:val="0"/>
      <w:kern w:val="2"/>
      <w:sz w:val="24"/>
      <w:szCs w:val="20"/>
    </w:rPr>
  </w:style>
  <w:style w:type="character" w:customStyle="1" w:styleId="223">
    <w:name w:val="正文2 Char"/>
    <w:link w:val="224"/>
    <w:autoRedefine/>
    <w:qFormat/>
    <w:locked/>
    <w:uiPriority w:val="0"/>
    <w:rPr>
      <w:rFonts w:ascii="宋体" w:hAnsi="宋体" w:eastAsia="宋体"/>
      <w:sz w:val="24"/>
    </w:rPr>
  </w:style>
  <w:style w:type="paragraph" w:customStyle="1" w:styleId="224">
    <w:name w:val="正文2"/>
    <w:next w:val="1"/>
    <w:link w:val="223"/>
    <w:autoRedefine/>
    <w:qFormat/>
    <w:uiPriority w:val="0"/>
    <w:pPr>
      <w:widowControl w:val="0"/>
      <w:adjustRightInd w:val="0"/>
      <w:spacing w:line="360" w:lineRule="atLeast"/>
      <w:jc w:val="left"/>
    </w:pPr>
    <w:rPr>
      <w:rFonts w:ascii="宋体" w:hAnsi="宋体" w:eastAsia="宋体" w:cstheme="minorBidi"/>
      <w:kern w:val="2"/>
      <w:sz w:val="24"/>
      <w:szCs w:val="22"/>
      <w:lang w:val="en-US" w:eastAsia="zh-CN" w:bidi="ar-SA"/>
    </w:rPr>
  </w:style>
  <w:style w:type="paragraph" w:customStyle="1" w:styleId="225">
    <w:name w:val="样式 列表 2 + 华文仿宋 居中"/>
    <w:basedOn w:val="21"/>
    <w:next w:val="1"/>
    <w:autoRedefine/>
    <w:qFormat/>
    <w:uiPriority w:val="99"/>
    <w:pPr>
      <w:spacing w:line="500" w:lineRule="exact"/>
      <w:ind w:left="0" w:leftChars="0" w:firstLine="425" w:firstLineChars="177"/>
      <w:contextualSpacing w:val="0"/>
      <w:jc w:val="center"/>
    </w:pPr>
    <w:rPr>
      <w:kern w:val="0"/>
    </w:rPr>
  </w:style>
  <w:style w:type="paragraph" w:customStyle="1" w:styleId="226">
    <w:name w:val="lily 正文"/>
    <w:basedOn w:val="3"/>
    <w:next w:val="1"/>
    <w:autoRedefine/>
    <w:qFormat/>
    <w:uiPriority w:val="99"/>
    <w:pPr>
      <w:keepNext w:val="0"/>
      <w:keepLines w:val="0"/>
      <w:spacing w:before="0" w:after="0" w:line="440" w:lineRule="atLeast"/>
      <w:ind w:firstLine="480" w:firstLineChars="200"/>
      <w:outlineLvl w:val="9"/>
    </w:pPr>
    <w:rPr>
      <w:bCs w:val="0"/>
      <w:kern w:val="2"/>
      <w:sz w:val="24"/>
      <w:szCs w:val="24"/>
    </w:rPr>
  </w:style>
  <w:style w:type="paragraph" w:customStyle="1" w:styleId="227">
    <w:name w:val="lily 表格标题"/>
    <w:basedOn w:val="3"/>
    <w:next w:val="1"/>
    <w:autoRedefine/>
    <w:qFormat/>
    <w:uiPriority w:val="99"/>
    <w:pPr>
      <w:keepNext w:val="0"/>
      <w:keepLines w:val="0"/>
      <w:spacing w:before="0" w:after="0" w:line="440" w:lineRule="atLeast"/>
      <w:ind w:firstLine="425" w:firstLineChars="177"/>
      <w:jc w:val="center"/>
      <w:outlineLvl w:val="9"/>
    </w:pPr>
    <w:rPr>
      <w:rFonts w:eastAsia="黑体"/>
      <w:kern w:val="2"/>
      <w:sz w:val="24"/>
      <w:szCs w:val="24"/>
    </w:rPr>
  </w:style>
  <w:style w:type="paragraph" w:customStyle="1" w:styleId="228">
    <w:name w:val="Char Char Char Char Char Char Char"/>
    <w:basedOn w:val="3"/>
    <w:next w:val="1"/>
    <w:autoRedefine/>
    <w:qFormat/>
    <w:uiPriority w:val="0"/>
    <w:pPr>
      <w:keepNext w:val="0"/>
      <w:keepLines w:val="0"/>
      <w:spacing w:before="0" w:after="0" w:line="360" w:lineRule="auto"/>
      <w:ind w:firstLine="200" w:firstLineChars="200"/>
      <w:outlineLvl w:val="9"/>
    </w:pPr>
    <w:rPr>
      <w:rFonts w:ascii="宋体" w:hAnsi="宋体" w:cs="宋体"/>
      <w:bCs w:val="0"/>
      <w:color w:val="000000"/>
      <w:kern w:val="2"/>
      <w:sz w:val="24"/>
      <w:szCs w:val="18"/>
    </w:rPr>
  </w:style>
  <w:style w:type="paragraph" w:customStyle="1" w:styleId="229">
    <w:name w:val="表内容"/>
    <w:basedOn w:val="3"/>
    <w:next w:val="1"/>
    <w:autoRedefine/>
    <w:qFormat/>
    <w:uiPriority w:val="99"/>
    <w:pPr>
      <w:keepNext w:val="0"/>
      <w:keepLines w:val="0"/>
      <w:spacing w:before="0" w:after="0" w:line="320" w:lineRule="exact"/>
      <w:ind w:firstLine="425" w:firstLineChars="177"/>
      <w:jc w:val="center"/>
      <w:outlineLvl w:val="9"/>
    </w:pPr>
    <w:rPr>
      <w:bCs w:val="0"/>
      <w:kern w:val="2"/>
      <w:sz w:val="24"/>
      <w:szCs w:val="21"/>
    </w:rPr>
  </w:style>
  <w:style w:type="paragraph" w:customStyle="1" w:styleId="230">
    <w:name w:val="小四表文左齐"/>
    <w:basedOn w:val="3"/>
    <w:next w:val="1"/>
    <w:autoRedefine/>
    <w:qFormat/>
    <w:uiPriority w:val="99"/>
    <w:pPr>
      <w:keepNext w:val="0"/>
      <w:keepLines w:val="0"/>
      <w:spacing w:before="0" w:after="0" w:line="360" w:lineRule="auto"/>
      <w:ind w:firstLine="200" w:firstLineChars="200"/>
      <w:jc w:val="center"/>
      <w:outlineLvl w:val="9"/>
    </w:pPr>
    <w:rPr>
      <w:rFonts w:ascii="仿宋_GB2312" w:hAnsi="宋体" w:eastAsia="仿宋_GB2312"/>
      <w:bCs w:val="0"/>
      <w:w w:val="90"/>
      <w:kern w:val="2"/>
      <w:sz w:val="24"/>
      <w:szCs w:val="24"/>
    </w:rPr>
  </w:style>
  <w:style w:type="paragraph" w:customStyle="1" w:styleId="231">
    <w:name w:val="表序号"/>
    <w:basedOn w:val="3"/>
    <w:next w:val="1"/>
    <w:autoRedefine/>
    <w:qFormat/>
    <w:uiPriority w:val="99"/>
    <w:pPr>
      <w:keepNext w:val="0"/>
      <w:keepLines w:val="0"/>
      <w:pageBreakBefore/>
      <w:numPr>
        <w:ilvl w:val="5"/>
        <w:numId w:val="1"/>
      </w:numPr>
      <w:tabs>
        <w:tab w:val="left" w:pos="360"/>
        <w:tab w:val="left" w:pos="2977"/>
      </w:tabs>
      <w:spacing w:beforeLines="50" w:afterLines="50" w:line="500" w:lineRule="exact"/>
      <w:ind w:left="2637" w:hanging="432" w:firstLineChars="177"/>
      <w:jc w:val="left"/>
    </w:pPr>
    <w:rPr>
      <w:rFonts w:ascii="宋体" w:hAnsi="宋体"/>
      <w:bCs w:val="0"/>
      <w:kern w:val="2"/>
      <w:sz w:val="32"/>
      <w:szCs w:val="32"/>
    </w:rPr>
  </w:style>
  <w:style w:type="paragraph" w:customStyle="1" w:styleId="232">
    <w:name w:val="样式 标题 1标题1章标题 + 宋体"/>
    <w:basedOn w:val="3"/>
    <w:next w:val="1"/>
    <w:autoRedefine/>
    <w:qFormat/>
    <w:uiPriority w:val="99"/>
    <w:pPr>
      <w:keepNext w:val="0"/>
      <w:keepLines w:val="0"/>
      <w:pageBreakBefore/>
      <w:tabs>
        <w:tab w:val="left" w:pos="2977"/>
      </w:tabs>
      <w:spacing w:beforeLines="50" w:afterLines="50" w:line="500" w:lineRule="exact"/>
      <w:ind w:left="2637" w:hanging="432" w:firstLineChars="177"/>
      <w:jc w:val="center"/>
    </w:pPr>
    <w:rPr>
      <w:rFonts w:ascii="宋体" w:hAnsi="宋体"/>
      <w:kern w:val="2"/>
      <w:sz w:val="32"/>
      <w:szCs w:val="32"/>
    </w:rPr>
  </w:style>
  <w:style w:type="paragraph" w:customStyle="1" w:styleId="233">
    <w:name w:val="样式1"/>
    <w:basedOn w:val="3"/>
    <w:next w:val="22"/>
    <w:autoRedefine/>
    <w:qFormat/>
    <w:uiPriority w:val="99"/>
    <w:pPr>
      <w:keepNext w:val="0"/>
      <w:keepLines w:val="0"/>
      <w:adjustRightInd w:val="0"/>
      <w:snapToGrid w:val="0"/>
      <w:spacing w:before="0" w:after="0" w:line="360" w:lineRule="auto"/>
      <w:ind w:firstLine="200" w:firstLineChars="200"/>
      <w:jc w:val="center"/>
      <w:outlineLvl w:val="9"/>
    </w:pPr>
    <w:rPr>
      <w:rFonts w:ascii="仿宋_GB2312" w:hAnsi="宋体" w:eastAsia="仿宋_GB2312"/>
      <w:kern w:val="2"/>
      <w:sz w:val="24"/>
      <w:szCs w:val="24"/>
    </w:rPr>
  </w:style>
  <w:style w:type="paragraph" w:customStyle="1" w:styleId="234">
    <w:name w:val="样式 表格标题 + 首行缩进:  0.61 字符"/>
    <w:basedOn w:val="3"/>
    <w:next w:val="1"/>
    <w:autoRedefine/>
    <w:qFormat/>
    <w:uiPriority w:val="99"/>
    <w:pPr>
      <w:keepNext w:val="0"/>
      <w:keepLines w:val="0"/>
      <w:wordWrap w:val="0"/>
      <w:adjustRightInd w:val="0"/>
      <w:snapToGrid w:val="0"/>
      <w:spacing w:before="0" w:after="0" w:line="400" w:lineRule="exact"/>
      <w:ind w:left="-143" w:leftChars="-68" w:firstLine="128" w:firstLineChars="61"/>
      <w:jc w:val="center"/>
      <w:outlineLvl w:val="9"/>
    </w:pPr>
    <w:rPr>
      <w:rFonts w:cs="宋体"/>
      <w:bCs w:val="0"/>
      <w:kern w:val="2"/>
      <w:sz w:val="24"/>
      <w:szCs w:val="20"/>
    </w:rPr>
  </w:style>
  <w:style w:type="paragraph" w:customStyle="1" w:styleId="235">
    <w:name w:val="正文3"/>
    <w:next w:val="1"/>
    <w:autoRedefine/>
    <w:qFormat/>
    <w:uiPriority w:val="99"/>
    <w:pPr>
      <w:widowControl w:val="0"/>
      <w:adjustRightInd w:val="0"/>
      <w:spacing w:line="360" w:lineRule="atLeast"/>
      <w:jc w:val="left"/>
    </w:pPr>
    <w:rPr>
      <w:rFonts w:ascii="宋体" w:hAnsi="Times New Roman" w:eastAsia="宋体" w:cs="Times New Roman"/>
      <w:kern w:val="0"/>
      <w:sz w:val="24"/>
      <w:szCs w:val="20"/>
      <w:lang w:val="en-US" w:eastAsia="zh-CN" w:bidi="ar-SA"/>
    </w:rPr>
  </w:style>
  <w:style w:type="paragraph" w:customStyle="1" w:styleId="236">
    <w:name w:val="表文字"/>
    <w:basedOn w:val="3"/>
    <w:next w:val="1"/>
    <w:autoRedefine/>
    <w:qFormat/>
    <w:uiPriority w:val="99"/>
    <w:pPr>
      <w:keepNext w:val="0"/>
      <w:keepLines w:val="0"/>
      <w:tabs>
        <w:tab w:val="left" w:pos="945"/>
        <w:tab w:val="right" w:leader="dot" w:pos="1155"/>
        <w:tab w:val="left" w:pos="8715"/>
      </w:tabs>
      <w:adjustRightInd w:val="0"/>
      <w:snapToGrid w:val="0"/>
      <w:spacing w:beforeLines="15" w:after="0" w:line="360" w:lineRule="auto"/>
      <w:ind w:firstLine="425" w:firstLineChars="177"/>
      <w:jc w:val="center"/>
      <w:outlineLvl w:val="9"/>
    </w:pPr>
    <w:rPr>
      <w:rFonts w:ascii="宋体" w:hAnsi="宋体"/>
      <w:bCs w:val="0"/>
      <w:color w:val="000000"/>
      <w:kern w:val="0"/>
      <w:sz w:val="24"/>
      <w:szCs w:val="9"/>
    </w:rPr>
  </w:style>
  <w:style w:type="paragraph" w:customStyle="1" w:styleId="237">
    <w:name w:val="Document"/>
    <w:basedOn w:val="3"/>
    <w:next w:val="1"/>
    <w:autoRedefine/>
    <w:qFormat/>
    <w:uiPriority w:val="99"/>
    <w:pPr>
      <w:keepNext w:val="0"/>
      <w:keepLines w:val="0"/>
      <w:widowControl/>
      <w:spacing w:before="0" w:after="0" w:line="500" w:lineRule="atLeast"/>
      <w:ind w:firstLine="425" w:firstLineChars="177"/>
      <w:jc w:val="center"/>
      <w:outlineLvl w:val="9"/>
    </w:pPr>
    <w:rPr>
      <w:rFonts w:ascii="Financial  (MF)" w:hAnsi="Financial  (MF)"/>
      <w:bCs w:val="0"/>
      <w:kern w:val="0"/>
      <w:sz w:val="24"/>
      <w:szCs w:val="20"/>
      <w:lang w:eastAsia="en-US"/>
    </w:rPr>
  </w:style>
  <w:style w:type="paragraph" w:customStyle="1" w:styleId="238">
    <w:name w:val="表题"/>
    <w:basedOn w:val="3"/>
    <w:next w:val="1"/>
    <w:autoRedefine/>
    <w:qFormat/>
    <w:uiPriority w:val="99"/>
    <w:pPr>
      <w:keepNext w:val="0"/>
      <w:keepLines w:val="0"/>
      <w:tabs>
        <w:tab w:val="right" w:pos="0"/>
      </w:tabs>
      <w:adjustRightInd w:val="0"/>
      <w:snapToGrid w:val="0"/>
      <w:spacing w:before="0" w:after="0" w:line="500" w:lineRule="atLeast"/>
      <w:ind w:firstLine="425" w:firstLineChars="177"/>
      <w:jc w:val="center"/>
      <w:outlineLvl w:val="9"/>
    </w:pPr>
    <w:rPr>
      <w:rFonts w:ascii="宋体" w:hAnsi="宋体"/>
      <w:bCs w:val="0"/>
      <w:spacing w:val="12"/>
      <w:kern w:val="2"/>
      <w:sz w:val="24"/>
      <w:szCs w:val="24"/>
    </w:rPr>
  </w:style>
  <w:style w:type="paragraph" w:customStyle="1" w:styleId="239">
    <w:name w:val="图框文"/>
    <w:basedOn w:val="3"/>
    <w:next w:val="1"/>
    <w:autoRedefine/>
    <w:qFormat/>
    <w:uiPriority w:val="99"/>
    <w:pPr>
      <w:keepNext w:val="0"/>
      <w:keepLines w:val="0"/>
      <w:kinsoku w:val="0"/>
      <w:wordWrap w:val="0"/>
      <w:overflowPunct w:val="0"/>
      <w:autoSpaceDE w:val="0"/>
      <w:autoSpaceDN w:val="0"/>
      <w:spacing w:before="0" w:after="0" w:line="0" w:lineRule="atLeast"/>
      <w:ind w:firstLine="425" w:firstLineChars="177"/>
      <w:jc w:val="center"/>
      <w:outlineLvl w:val="9"/>
    </w:pPr>
    <w:rPr>
      <w:rFonts w:ascii="仿宋_GB2312" w:eastAsia="仿宋_GB2312"/>
      <w:bCs w:val="0"/>
      <w:kern w:val="2"/>
      <w:sz w:val="24"/>
      <w:szCs w:val="20"/>
    </w:rPr>
  </w:style>
  <w:style w:type="paragraph" w:customStyle="1" w:styleId="240">
    <w:name w:val="流程图"/>
    <w:basedOn w:val="3"/>
    <w:next w:val="1"/>
    <w:autoRedefine/>
    <w:qFormat/>
    <w:uiPriority w:val="99"/>
    <w:pPr>
      <w:keepNext w:val="0"/>
      <w:keepLines w:val="0"/>
      <w:tabs>
        <w:tab w:val="left" w:pos="0"/>
      </w:tabs>
      <w:autoSpaceDE w:val="0"/>
      <w:autoSpaceDN w:val="0"/>
      <w:adjustRightInd w:val="0"/>
      <w:spacing w:before="0" w:after="0" w:line="240" w:lineRule="atLeast"/>
      <w:ind w:firstLine="425" w:firstLineChars="177"/>
      <w:jc w:val="center"/>
      <w:outlineLvl w:val="9"/>
    </w:pPr>
    <w:rPr>
      <w:rFonts w:ascii="宋体"/>
      <w:bCs w:val="0"/>
      <w:kern w:val="2"/>
      <w:sz w:val="24"/>
      <w:szCs w:val="20"/>
    </w:rPr>
  </w:style>
  <w:style w:type="paragraph" w:customStyle="1" w:styleId="241">
    <w:name w:val="Char1 Char Char Char"/>
    <w:basedOn w:val="3"/>
    <w:next w:val="1"/>
    <w:autoRedefine/>
    <w:qFormat/>
    <w:uiPriority w:val="99"/>
    <w:pPr>
      <w:keepNext w:val="0"/>
      <w:keepLines w:val="0"/>
      <w:spacing w:before="0" w:after="0" w:line="500" w:lineRule="atLeast"/>
      <w:ind w:firstLine="480" w:firstLineChars="200"/>
      <w:outlineLvl w:val="9"/>
    </w:pPr>
    <w:rPr>
      <w:rFonts w:ascii="宋体"/>
      <w:bCs w:val="0"/>
      <w:kern w:val="2"/>
      <w:sz w:val="28"/>
      <w:szCs w:val="24"/>
    </w:rPr>
  </w:style>
  <w:style w:type="character" w:customStyle="1" w:styleId="242">
    <w:name w:val="5文章(治) Char"/>
    <w:link w:val="243"/>
    <w:autoRedefine/>
    <w:qFormat/>
    <w:locked/>
    <w:uiPriority w:val="0"/>
    <w:rPr>
      <w:sz w:val="24"/>
      <w:szCs w:val="28"/>
    </w:rPr>
  </w:style>
  <w:style w:type="paragraph" w:customStyle="1" w:styleId="243">
    <w:name w:val="5文章(治)"/>
    <w:basedOn w:val="3"/>
    <w:next w:val="1"/>
    <w:link w:val="242"/>
    <w:autoRedefine/>
    <w:qFormat/>
    <w:uiPriority w:val="0"/>
    <w:pPr>
      <w:keepNext w:val="0"/>
      <w:keepLines w:val="0"/>
      <w:spacing w:before="0" w:after="0" w:line="360" w:lineRule="auto"/>
      <w:ind w:firstLine="560" w:firstLineChars="200"/>
      <w:outlineLvl w:val="9"/>
    </w:pPr>
    <w:rPr>
      <w:rFonts w:asciiTheme="minorHAnsi" w:hAnsiTheme="minorHAnsi" w:eastAsiaTheme="minorEastAsia" w:cstheme="minorBidi"/>
      <w:bCs w:val="0"/>
      <w:kern w:val="2"/>
      <w:sz w:val="24"/>
      <w:szCs w:val="28"/>
    </w:rPr>
  </w:style>
  <w:style w:type="character" w:customStyle="1" w:styleId="244">
    <w:name w:val="7表格(治) Char"/>
    <w:link w:val="245"/>
    <w:autoRedefine/>
    <w:qFormat/>
    <w:locked/>
    <w:uiPriority w:val="0"/>
    <w:rPr>
      <w:rFonts w:ascii="Times New Roman" w:hAnsi="Times New Roman" w:eastAsia="宋体" w:cs="Times New Roman"/>
      <w:kern w:val="0"/>
      <w:sz w:val="20"/>
      <w:szCs w:val="20"/>
    </w:rPr>
  </w:style>
  <w:style w:type="paragraph" w:customStyle="1" w:styleId="245">
    <w:name w:val="7表格(治)"/>
    <w:next w:val="1"/>
    <w:link w:val="244"/>
    <w:autoRedefine/>
    <w:qFormat/>
    <w:uiPriority w:val="0"/>
    <w:pPr>
      <w:spacing w:line="240" w:lineRule="auto"/>
      <w:jc w:val="center"/>
    </w:pPr>
    <w:rPr>
      <w:rFonts w:ascii="Times New Roman" w:hAnsi="Times New Roman" w:eastAsia="宋体" w:cs="Times New Roman"/>
      <w:kern w:val="0"/>
      <w:sz w:val="20"/>
      <w:szCs w:val="20"/>
      <w:lang w:val="en-US" w:eastAsia="zh-CN" w:bidi="ar-SA"/>
    </w:rPr>
  </w:style>
  <w:style w:type="paragraph" w:customStyle="1" w:styleId="246">
    <w:name w:val="Char Char Char Char Char Char Char3"/>
    <w:basedOn w:val="3"/>
    <w:next w:val="1"/>
    <w:autoRedefine/>
    <w:qFormat/>
    <w:uiPriority w:val="99"/>
    <w:pPr>
      <w:keepNext w:val="0"/>
      <w:keepLines w:val="0"/>
      <w:spacing w:before="0" w:after="0" w:line="500" w:lineRule="atLeast"/>
      <w:ind w:firstLine="425" w:firstLineChars="177"/>
      <w:outlineLvl w:val="9"/>
    </w:pPr>
    <w:rPr>
      <w:bCs w:val="0"/>
      <w:kern w:val="2"/>
      <w:sz w:val="24"/>
      <w:szCs w:val="21"/>
    </w:rPr>
  </w:style>
  <w:style w:type="paragraph" w:customStyle="1" w:styleId="247">
    <w:name w:val="Char Char19"/>
    <w:basedOn w:val="3"/>
    <w:next w:val="1"/>
    <w:autoRedefine/>
    <w:qFormat/>
    <w:uiPriority w:val="99"/>
    <w:pPr>
      <w:keepNext w:val="0"/>
      <w:keepLines w:val="0"/>
      <w:spacing w:before="0" w:after="0" w:line="500" w:lineRule="atLeast"/>
      <w:ind w:firstLine="425" w:firstLineChars="177"/>
      <w:outlineLvl w:val="9"/>
    </w:pPr>
    <w:rPr>
      <w:bCs w:val="0"/>
      <w:kern w:val="2"/>
      <w:sz w:val="24"/>
      <w:szCs w:val="21"/>
    </w:rPr>
  </w:style>
  <w:style w:type="paragraph" w:customStyle="1" w:styleId="248">
    <w:name w:val="图表文字"/>
    <w:next w:val="1"/>
    <w:autoRedefine/>
    <w:qFormat/>
    <w:uiPriority w:val="99"/>
    <w:pPr>
      <w:widowControl w:val="0"/>
      <w:spacing w:line="260" w:lineRule="exact"/>
      <w:ind w:right="-149" w:rightChars="-71"/>
      <w:jc w:val="center"/>
    </w:pPr>
    <w:rPr>
      <w:rFonts w:ascii="Times New Roman" w:hAnsi="Times New Roman" w:eastAsia="宋体" w:cs="Times New Roman"/>
      <w:kern w:val="2"/>
      <w:sz w:val="21"/>
      <w:szCs w:val="21"/>
      <w:lang w:val="en-US" w:eastAsia="zh-CN" w:bidi="ar-SA"/>
    </w:rPr>
  </w:style>
  <w:style w:type="paragraph" w:customStyle="1" w:styleId="249">
    <w:name w:val="表1"/>
    <w:next w:val="1"/>
    <w:autoRedefine/>
    <w:qFormat/>
    <w:uiPriority w:val="99"/>
    <w:pPr>
      <w:adjustRightInd w:val="0"/>
      <w:snapToGrid w:val="0"/>
      <w:spacing w:line="240" w:lineRule="auto"/>
      <w:jc w:val="center"/>
    </w:pPr>
    <w:rPr>
      <w:rFonts w:ascii="宋体" w:hAnsi="Times New Roman" w:eastAsia="宋体" w:cs="Times New Roman"/>
      <w:kern w:val="0"/>
      <w:sz w:val="21"/>
      <w:szCs w:val="20"/>
      <w:lang w:val="en-US" w:eastAsia="zh-CN" w:bidi="ar-SA"/>
    </w:rPr>
  </w:style>
  <w:style w:type="paragraph" w:customStyle="1" w:styleId="250">
    <w:name w:val="Char Char Char Char1"/>
    <w:basedOn w:val="3"/>
    <w:next w:val="1"/>
    <w:autoRedefine/>
    <w:qFormat/>
    <w:uiPriority w:val="99"/>
    <w:pPr>
      <w:keepNext w:val="0"/>
      <w:keepLines w:val="0"/>
      <w:spacing w:before="120" w:after="120" w:line="360" w:lineRule="auto"/>
      <w:ind w:firstLine="420" w:firstLineChars="177"/>
      <w:outlineLvl w:val="9"/>
    </w:pPr>
    <w:rPr>
      <w:bCs w:val="0"/>
      <w:kern w:val="2"/>
      <w:sz w:val="24"/>
      <w:szCs w:val="24"/>
    </w:rPr>
  </w:style>
  <w:style w:type="character" w:customStyle="1" w:styleId="251">
    <w:name w:val="表头1 Char"/>
    <w:link w:val="252"/>
    <w:autoRedefine/>
    <w:qFormat/>
    <w:locked/>
    <w:uiPriority w:val="0"/>
    <w:rPr>
      <w:rFonts w:ascii="黑体" w:hAnsi="黑体" w:eastAsia="黑体"/>
      <w:sz w:val="24"/>
      <w:szCs w:val="28"/>
    </w:rPr>
  </w:style>
  <w:style w:type="paragraph" w:customStyle="1" w:styleId="252">
    <w:name w:val="表头1"/>
    <w:basedOn w:val="3"/>
    <w:next w:val="1"/>
    <w:link w:val="251"/>
    <w:autoRedefine/>
    <w:qFormat/>
    <w:uiPriority w:val="0"/>
    <w:pPr>
      <w:keepNext w:val="0"/>
      <w:keepLines w:val="0"/>
      <w:tabs>
        <w:tab w:val="left" w:pos="605"/>
      </w:tabs>
      <w:adjustRightInd w:val="0"/>
      <w:snapToGrid w:val="0"/>
      <w:spacing w:before="0" w:after="0" w:line="500" w:lineRule="atLeast"/>
      <w:ind w:firstLine="425" w:firstLineChars="177"/>
      <w:jc w:val="center"/>
      <w:outlineLvl w:val="9"/>
    </w:pPr>
    <w:rPr>
      <w:rFonts w:ascii="黑体" w:hAnsi="黑体" w:eastAsia="黑体" w:cstheme="minorBidi"/>
      <w:bCs w:val="0"/>
      <w:kern w:val="2"/>
      <w:sz w:val="24"/>
      <w:szCs w:val="28"/>
    </w:rPr>
  </w:style>
  <w:style w:type="paragraph" w:customStyle="1" w:styleId="253">
    <w:name w:val="列表1"/>
    <w:basedOn w:val="3"/>
    <w:next w:val="1"/>
    <w:autoRedefine/>
    <w:qFormat/>
    <w:uiPriority w:val="99"/>
    <w:pPr>
      <w:keepNext w:val="0"/>
      <w:keepLines w:val="0"/>
      <w:spacing w:before="0" w:after="0" w:line="360" w:lineRule="exact"/>
      <w:ind w:firstLine="425" w:firstLineChars="177"/>
      <w:jc w:val="center"/>
      <w:outlineLvl w:val="9"/>
    </w:pPr>
    <w:rPr>
      <w:rFonts w:ascii="仿宋_GB2312" w:eastAsia="仿宋_GB2312"/>
      <w:bCs w:val="0"/>
      <w:kern w:val="2"/>
      <w:sz w:val="28"/>
      <w:szCs w:val="20"/>
    </w:rPr>
  </w:style>
  <w:style w:type="character" w:customStyle="1" w:styleId="254">
    <w:name w:val="样式127 Char"/>
    <w:link w:val="255"/>
    <w:autoRedefine/>
    <w:qFormat/>
    <w:locked/>
    <w:uiPriority w:val="0"/>
    <w:rPr>
      <w:snapToGrid w:val="0"/>
      <w:color w:val="000000"/>
      <w:sz w:val="24"/>
      <w:szCs w:val="28"/>
    </w:rPr>
  </w:style>
  <w:style w:type="paragraph" w:customStyle="1" w:styleId="255">
    <w:name w:val="样式127"/>
    <w:basedOn w:val="3"/>
    <w:next w:val="1"/>
    <w:link w:val="254"/>
    <w:autoRedefine/>
    <w:qFormat/>
    <w:uiPriority w:val="0"/>
    <w:pPr>
      <w:keepNext w:val="0"/>
      <w:keepLines w:val="0"/>
      <w:snapToGrid w:val="0"/>
      <w:spacing w:before="0" w:after="0" w:line="520" w:lineRule="exact"/>
      <w:ind w:firstLine="480" w:firstLineChars="200"/>
      <w:outlineLvl w:val="9"/>
    </w:pPr>
    <w:rPr>
      <w:rFonts w:asciiTheme="minorHAnsi" w:hAnsiTheme="minorHAnsi" w:eastAsiaTheme="minorEastAsia" w:cstheme="minorBidi"/>
      <w:bCs w:val="0"/>
      <w:snapToGrid w:val="0"/>
      <w:color w:val="000000"/>
      <w:kern w:val="2"/>
      <w:sz w:val="24"/>
      <w:szCs w:val="28"/>
    </w:rPr>
  </w:style>
  <w:style w:type="paragraph" w:customStyle="1" w:styleId="256">
    <w:name w:val="Char Char Char Char Char Char Char1"/>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257">
    <w:name w:val="样式5"/>
    <w:basedOn w:val="33"/>
    <w:next w:val="1"/>
    <w:autoRedefine/>
    <w:qFormat/>
    <w:uiPriority w:val="99"/>
    <w:pPr>
      <w:spacing w:line="500" w:lineRule="atLeast"/>
      <w:ind w:left="482" w:firstLine="0" w:firstLineChars="0"/>
      <w:contextualSpacing w:val="0"/>
    </w:pPr>
    <w:rPr>
      <w:sz w:val="24"/>
    </w:rPr>
  </w:style>
  <w:style w:type="paragraph" w:customStyle="1" w:styleId="258">
    <w:name w:val="正文文字-1"/>
    <w:next w:val="1"/>
    <w:autoRedefine/>
    <w:qFormat/>
    <w:uiPriority w:val="99"/>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259">
    <w:name w:val="样式 样式 正文文字-1 + 首行缩进:  2.1 字符1 + 首行缩进:  2.1 字符"/>
    <w:basedOn w:val="3"/>
    <w:next w:val="1"/>
    <w:autoRedefine/>
    <w:qFormat/>
    <w:uiPriority w:val="99"/>
    <w:pPr>
      <w:keepNext w:val="0"/>
      <w:keepLines w:val="0"/>
      <w:spacing w:before="120" w:after="120" w:line="400" w:lineRule="exact"/>
      <w:ind w:firstLine="210" w:firstLineChars="210"/>
      <w:outlineLvl w:val="9"/>
    </w:pPr>
    <w:rPr>
      <w:rFonts w:cs="宋体"/>
      <w:bCs w:val="0"/>
      <w:kern w:val="2"/>
      <w:sz w:val="24"/>
      <w:szCs w:val="20"/>
    </w:rPr>
  </w:style>
  <w:style w:type="paragraph" w:customStyle="1" w:styleId="260">
    <w:name w:val="样式 正文文字-1 + 首行缩进:  2.1 字符"/>
    <w:basedOn w:val="3"/>
    <w:next w:val="1"/>
    <w:autoRedefine/>
    <w:qFormat/>
    <w:uiPriority w:val="99"/>
    <w:pPr>
      <w:keepNext w:val="0"/>
      <w:keepLines w:val="0"/>
      <w:spacing w:before="60" w:after="60" w:line="440" w:lineRule="exact"/>
      <w:ind w:firstLine="210" w:firstLineChars="210"/>
      <w:outlineLvl w:val="9"/>
    </w:pPr>
    <w:rPr>
      <w:rFonts w:cs="宋体"/>
      <w:bCs w:val="0"/>
      <w:kern w:val="2"/>
      <w:sz w:val="24"/>
      <w:szCs w:val="20"/>
    </w:rPr>
  </w:style>
  <w:style w:type="paragraph" w:customStyle="1" w:styleId="261">
    <w:name w:val="样式 正文文字-1 + 首行缩进:  2.1 字符1"/>
    <w:basedOn w:val="3"/>
    <w:next w:val="1"/>
    <w:autoRedefine/>
    <w:qFormat/>
    <w:uiPriority w:val="0"/>
    <w:pPr>
      <w:keepNext w:val="0"/>
      <w:keepLines w:val="0"/>
      <w:spacing w:before="120" w:after="120" w:line="440" w:lineRule="exact"/>
      <w:ind w:firstLine="210" w:firstLineChars="210"/>
      <w:outlineLvl w:val="9"/>
    </w:pPr>
    <w:rPr>
      <w:rFonts w:cs="宋体"/>
      <w:bCs w:val="0"/>
      <w:kern w:val="2"/>
      <w:sz w:val="24"/>
      <w:szCs w:val="20"/>
    </w:rPr>
  </w:style>
  <w:style w:type="paragraph" w:customStyle="1" w:styleId="262">
    <w:name w:val="样式 四号 行距: 1.5 倍行距"/>
    <w:basedOn w:val="3"/>
    <w:next w:val="1"/>
    <w:autoRedefine/>
    <w:qFormat/>
    <w:uiPriority w:val="99"/>
    <w:pPr>
      <w:keepNext w:val="0"/>
      <w:keepLines w:val="0"/>
      <w:spacing w:before="0" w:after="0" w:line="360" w:lineRule="auto"/>
      <w:ind w:firstLine="560" w:firstLineChars="200"/>
      <w:outlineLvl w:val="9"/>
    </w:pPr>
    <w:rPr>
      <w:rFonts w:cs="宋体"/>
      <w:bCs w:val="0"/>
      <w:kern w:val="2"/>
      <w:sz w:val="24"/>
      <w:szCs w:val="20"/>
    </w:rPr>
  </w:style>
  <w:style w:type="character" w:customStyle="1" w:styleId="263">
    <w:name w:val="国电正文 Char"/>
    <w:link w:val="264"/>
    <w:autoRedefine/>
    <w:semiHidden/>
    <w:qFormat/>
    <w:locked/>
    <w:uiPriority w:val="0"/>
    <w:rPr>
      <w:color w:val="000000"/>
      <w:sz w:val="24"/>
    </w:rPr>
  </w:style>
  <w:style w:type="paragraph" w:customStyle="1" w:styleId="264">
    <w:name w:val="国电正文"/>
    <w:basedOn w:val="3"/>
    <w:next w:val="1"/>
    <w:link w:val="263"/>
    <w:autoRedefine/>
    <w:semiHidden/>
    <w:qFormat/>
    <w:uiPriority w:val="0"/>
    <w:pPr>
      <w:keepNext w:val="0"/>
      <w:keepLines w:val="0"/>
      <w:spacing w:before="0" w:after="0" w:line="360" w:lineRule="auto"/>
      <w:ind w:firstLine="480" w:firstLineChars="200"/>
      <w:outlineLvl w:val="9"/>
    </w:pPr>
    <w:rPr>
      <w:rFonts w:asciiTheme="minorHAnsi" w:hAnsiTheme="minorHAnsi" w:eastAsiaTheme="minorEastAsia" w:cstheme="minorBidi"/>
      <w:bCs w:val="0"/>
      <w:color w:val="000000"/>
      <w:kern w:val="2"/>
      <w:sz w:val="24"/>
      <w:szCs w:val="22"/>
    </w:rPr>
  </w:style>
  <w:style w:type="character" w:customStyle="1" w:styleId="265">
    <w:name w:val="正文文字-1 Char Char"/>
    <w:basedOn w:val="49"/>
    <w:link w:val="266"/>
    <w:autoRedefine/>
    <w:qFormat/>
    <w:locked/>
    <w:uiPriority w:val="0"/>
    <w:rPr>
      <w:sz w:val="24"/>
      <w:szCs w:val="24"/>
    </w:rPr>
  </w:style>
  <w:style w:type="paragraph" w:customStyle="1" w:styleId="266">
    <w:name w:val="正文文字-1 Char"/>
    <w:next w:val="1"/>
    <w:link w:val="265"/>
    <w:autoRedefine/>
    <w:qFormat/>
    <w:uiPriority w:val="0"/>
    <w:pPr>
      <w:widowControl w:val="0"/>
      <w:spacing w:before="120" w:after="120" w:line="480" w:lineRule="exact"/>
      <w:ind w:firstLine="588" w:firstLineChars="210"/>
      <w:jc w:val="both"/>
    </w:pPr>
    <w:rPr>
      <w:rFonts w:asciiTheme="minorHAnsi" w:hAnsiTheme="minorHAnsi" w:eastAsiaTheme="minorEastAsia" w:cstheme="minorBidi"/>
      <w:kern w:val="2"/>
      <w:sz w:val="24"/>
      <w:szCs w:val="24"/>
      <w:lang w:val="en-US" w:eastAsia="zh-CN" w:bidi="ar-SA"/>
    </w:rPr>
  </w:style>
  <w:style w:type="paragraph" w:customStyle="1" w:styleId="267">
    <w:name w:val="Char1 Char Char Char1"/>
    <w:basedOn w:val="3"/>
    <w:next w:val="1"/>
    <w:autoRedefine/>
    <w:qFormat/>
    <w:uiPriority w:val="99"/>
    <w:pPr>
      <w:keepNext w:val="0"/>
      <w:keepLines w:val="0"/>
      <w:spacing w:before="0" w:after="0" w:line="500" w:lineRule="atLeast"/>
      <w:ind w:firstLine="480" w:firstLineChars="200"/>
      <w:outlineLvl w:val="9"/>
    </w:pPr>
    <w:rPr>
      <w:bCs w:val="0"/>
      <w:kern w:val="2"/>
      <w:sz w:val="24"/>
      <w:szCs w:val="24"/>
    </w:rPr>
  </w:style>
  <w:style w:type="paragraph" w:customStyle="1" w:styleId="268">
    <w:name w:val="Char1 Char Char Char Char Char"/>
    <w:basedOn w:val="3"/>
    <w:next w:val="1"/>
    <w:autoRedefine/>
    <w:qFormat/>
    <w:uiPriority w:val="99"/>
    <w:pPr>
      <w:keepNext w:val="0"/>
      <w:keepLines w:val="0"/>
      <w:spacing w:before="0" w:after="0" w:line="360" w:lineRule="auto"/>
      <w:ind w:firstLine="200" w:firstLineChars="200"/>
      <w:outlineLvl w:val="9"/>
    </w:pPr>
    <w:rPr>
      <w:rFonts w:ascii="Tahoma" w:hAnsi="Tahoma"/>
      <w:bCs w:val="0"/>
      <w:kern w:val="2"/>
      <w:sz w:val="24"/>
      <w:szCs w:val="20"/>
    </w:rPr>
  </w:style>
  <w:style w:type="paragraph" w:customStyle="1" w:styleId="269">
    <w:name w:val="Char Char Char Char Char Char Char2"/>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270">
    <w:name w:val="样式 四号 行距: 1.5 倍行距2"/>
    <w:basedOn w:val="3"/>
    <w:next w:val="1"/>
    <w:autoRedefine/>
    <w:qFormat/>
    <w:uiPriority w:val="99"/>
    <w:pPr>
      <w:keepNext w:val="0"/>
      <w:keepLines w:val="0"/>
      <w:spacing w:before="0" w:after="0" w:line="360" w:lineRule="auto"/>
      <w:ind w:firstLine="560" w:firstLineChars="200"/>
      <w:outlineLvl w:val="9"/>
    </w:pPr>
    <w:rPr>
      <w:rFonts w:cs="宋体"/>
      <w:bCs w:val="0"/>
      <w:kern w:val="2"/>
      <w:sz w:val="24"/>
      <w:szCs w:val="20"/>
    </w:rPr>
  </w:style>
  <w:style w:type="paragraph" w:customStyle="1" w:styleId="271">
    <w:name w:val="样式 四号 行距: 1.5 倍行距3"/>
    <w:basedOn w:val="3"/>
    <w:next w:val="1"/>
    <w:autoRedefine/>
    <w:qFormat/>
    <w:uiPriority w:val="99"/>
    <w:pPr>
      <w:keepNext w:val="0"/>
      <w:keepLines w:val="0"/>
      <w:spacing w:before="0" w:after="0" w:line="360" w:lineRule="auto"/>
      <w:ind w:firstLine="1260" w:firstLineChars="450"/>
      <w:outlineLvl w:val="9"/>
    </w:pPr>
    <w:rPr>
      <w:rFonts w:cs="宋体"/>
      <w:bCs w:val="0"/>
      <w:kern w:val="2"/>
      <w:sz w:val="24"/>
      <w:szCs w:val="20"/>
    </w:rPr>
  </w:style>
  <w:style w:type="paragraph" w:customStyle="1" w:styleId="272">
    <w:name w:val="正文5"/>
    <w:next w:val="1"/>
    <w:autoRedefine/>
    <w:qFormat/>
    <w:uiPriority w:val="99"/>
    <w:pPr>
      <w:widowControl w:val="0"/>
      <w:adjustRightInd w:val="0"/>
      <w:spacing w:line="360" w:lineRule="atLeast"/>
      <w:jc w:val="left"/>
    </w:pPr>
    <w:rPr>
      <w:rFonts w:ascii="宋体" w:hAnsi="Times New Roman" w:eastAsia="宋体" w:cs="Times New Roman"/>
      <w:kern w:val="0"/>
      <w:sz w:val="24"/>
      <w:szCs w:val="20"/>
      <w:lang w:val="en-US" w:eastAsia="zh-CN" w:bidi="ar-SA"/>
    </w:rPr>
  </w:style>
  <w:style w:type="paragraph" w:customStyle="1" w:styleId="273">
    <w:name w:val="Char2"/>
    <w:basedOn w:val="3"/>
    <w:next w:val="1"/>
    <w:autoRedefine/>
    <w:qFormat/>
    <w:uiPriority w:val="99"/>
    <w:pPr>
      <w:keepNext w:val="0"/>
      <w:keepLines w:val="0"/>
      <w:spacing w:before="0" w:after="0" w:line="500" w:lineRule="atLeast"/>
      <w:ind w:firstLine="425" w:firstLineChars="177"/>
      <w:outlineLvl w:val="9"/>
    </w:pPr>
    <w:rPr>
      <w:bCs w:val="0"/>
      <w:kern w:val="2"/>
      <w:sz w:val="24"/>
      <w:szCs w:val="24"/>
    </w:rPr>
  </w:style>
  <w:style w:type="paragraph" w:customStyle="1" w:styleId="274">
    <w:name w:val="表格正文"/>
    <w:basedOn w:val="3"/>
    <w:next w:val="1"/>
    <w:autoRedefine/>
    <w:qFormat/>
    <w:uiPriority w:val="0"/>
    <w:pPr>
      <w:keepNext w:val="0"/>
      <w:keepLines w:val="0"/>
      <w:spacing w:before="0" w:after="0" w:line="300" w:lineRule="auto"/>
      <w:ind w:firstLine="425" w:firstLineChars="177"/>
      <w:jc w:val="center"/>
      <w:outlineLvl w:val="9"/>
    </w:pPr>
    <w:rPr>
      <w:bCs w:val="0"/>
      <w:kern w:val="2"/>
      <w:sz w:val="24"/>
      <w:szCs w:val="24"/>
    </w:rPr>
  </w:style>
  <w:style w:type="character" w:customStyle="1" w:styleId="275">
    <w:name w:val="xfw Char"/>
    <w:basedOn w:val="49"/>
    <w:link w:val="276"/>
    <w:autoRedefine/>
    <w:qFormat/>
    <w:locked/>
    <w:uiPriority w:val="0"/>
    <w:rPr>
      <w:sz w:val="24"/>
      <w:szCs w:val="28"/>
    </w:rPr>
  </w:style>
  <w:style w:type="paragraph" w:customStyle="1" w:styleId="276">
    <w:name w:val="xfw"/>
    <w:basedOn w:val="3"/>
    <w:next w:val="1"/>
    <w:link w:val="275"/>
    <w:autoRedefine/>
    <w:qFormat/>
    <w:uiPriority w:val="0"/>
    <w:pPr>
      <w:keepNext w:val="0"/>
      <w:keepLines w:val="0"/>
      <w:spacing w:before="0" w:after="0" w:line="360" w:lineRule="auto"/>
      <w:ind w:firstLine="200" w:firstLineChars="200"/>
      <w:outlineLvl w:val="9"/>
    </w:pPr>
    <w:rPr>
      <w:rFonts w:asciiTheme="minorHAnsi" w:hAnsiTheme="minorHAnsi" w:eastAsiaTheme="minorEastAsia" w:cstheme="minorBidi"/>
      <w:bCs w:val="0"/>
      <w:kern w:val="2"/>
      <w:sz w:val="24"/>
      <w:szCs w:val="28"/>
    </w:rPr>
  </w:style>
  <w:style w:type="character" w:customStyle="1" w:styleId="277">
    <w:name w:val="正文01 Char Char"/>
    <w:link w:val="278"/>
    <w:autoRedefine/>
    <w:qFormat/>
    <w:locked/>
    <w:uiPriority w:val="0"/>
    <w:rPr>
      <w:rFonts w:ascii="宋体" w:hAnsi="宋体" w:eastAsia="宋体" w:cs="宋体"/>
      <w:snapToGrid w:val="0"/>
      <w:kern w:val="56"/>
      <w:sz w:val="24"/>
      <w:lang w:val="zh-CN"/>
    </w:rPr>
  </w:style>
  <w:style w:type="paragraph" w:customStyle="1" w:styleId="278">
    <w:name w:val="正文01"/>
    <w:basedOn w:val="3"/>
    <w:next w:val="1"/>
    <w:link w:val="277"/>
    <w:autoRedefine/>
    <w:qFormat/>
    <w:uiPriority w:val="0"/>
    <w:pPr>
      <w:keepNext w:val="0"/>
      <w:keepLines w:val="0"/>
      <w:adjustRightInd w:val="0"/>
      <w:snapToGrid w:val="0"/>
      <w:spacing w:before="0" w:after="0" w:line="360" w:lineRule="auto"/>
      <w:ind w:firstLine="200" w:firstLineChars="200"/>
      <w:outlineLvl w:val="9"/>
    </w:pPr>
    <w:rPr>
      <w:rFonts w:ascii="宋体" w:hAnsi="宋体" w:cs="宋体"/>
      <w:bCs w:val="0"/>
      <w:snapToGrid w:val="0"/>
      <w:kern w:val="56"/>
      <w:sz w:val="24"/>
      <w:szCs w:val="22"/>
      <w:lang w:val="zh-CN"/>
    </w:rPr>
  </w:style>
  <w:style w:type="paragraph" w:customStyle="1" w:styleId="279">
    <w:name w:val="reader-word-layer reader-word-s8-5"/>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80">
    <w:name w:val="reader-word-layer reader-word-s8-2"/>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81">
    <w:name w:val="reader-word-layer reader-word-s8-9"/>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82">
    <w:name w:val="reader-word-layer reader-word-s8-8"/>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83">
    <w:name w:val="reader-word-layer reader-word-s8-12"/>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84">
    <w:name w:val="reader-word-layer reader-word-s8-0"/>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85">
    <w:name w:val="reader-word-layer reader-word-s8-7"/>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86">
    <w:name w:val="reader-word-layer reader-word-s8-6"/>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87">
    <w:name w:val="Char Char1 Char Char Char Char Char Char Char"/>
    <w:basedOn w:val="3"/>
    <w:next w:val="1"/>
    <w:autoRedefine/>
    <w:qFormat/>
    <w:uiPriority w:val="99"/>
    <w:pPr>
      <w:keepNext w:val="0"/>
      <w:keepLines w:val="0"/>
      <w:spacing w:before="0" w:after="0" w:line="500" w:lineRule="atLeast"/>
      <w:ind w:firstLine="425" w:firstLineChars="177"/>
      <w:outlineLvl w:val="9"/>
    </w:pPr>
    <w:rPr>
      <w:rFonts w:cs="宋体"/>
      <w:bCs w:val="0"/>
      <w:color w:val="000000"/>
      <w:kern w:val="2"/>
      <w:sz w:val="24"/>
      <w:szCs w:val="24"/>
      <w:lang w:val="zh-CN"/>
    </w:rPr>
  </w:style>
  <w:style w:type="paragraph" w:customStyle="1" w:styleId="288">
    <w:name w:val="样式 首行缩进:  0.89 厘米"/>
    <w:basedOn w:val="3"/>
    <w:next w:val="1"/>
    <w:autoRedefine/>
    <w:qFormat/>
    <w:uiPriority w:val="99"/>
    <w:pPr>
      <w:keepNext w:val="0"/>
      <w:keepLines w:val="0"/>
      <w:spacing w:beforeLines="50" w:after="0" w:line="440" w:lineRule="exact"/>
      <w:ind w:firstLine="505" w:firstLineChars="177"/>
      <w:outlineLvl w:val="9"/>
    </w:pPr>
    <w:rPr>
      <w:rFonts w:cs="宋体"/>
      <w:bCs w:val="0"/>
      <w:kern w:val="2"/>
      <w:sz w:val="24"/>
      <w:szCs w:val="20"/>
    </w:rPr>
  </w:style>
  <w:style w:type="paragraph" w:customStyle="1" w:styleId="289">
    <w:name w:val="表格文字2"/>
    <w:basedOn w:val="3"/>
    <w:next w:val="1"/>
    <w:autoRedefine/>
    <w:qFormat/>
    <w:uiPriority w:val="99"/>
    <w:pPr>
      <w:keepNext w:val="0"/>
      <w:keepLines w:val="0"/>
      <w:spacing w:before="0" w:after="0" w:line="500" w:lineRule="atLeast"/>
      <w:ind w:firstLine="425" w:firstLineChars="177"/>
      <w:jc w:val="center"/>
      <w:outlineLvl w:val="9"/>
    </w:pPr>
    <w:rPr>
      <w:bCs w:val="0"/>
      <w:kern w:val="2"/>
      <w:sz w:val="24"/>
      <w:szCs w:val="21"/>
    </w:rPr>
  </w:style>
  <w:style w:type="character" w:customStyle="1" w:styleId="290">
    <w:name w:val="样式 标题 3 + 黑色1 Char"/>
    <w:basedOn w:val="49"/>
    <w:link w:val="291"/>
    <w:autoRedefine/>
    <w:qFormat/>
    <w:locked/>
    <w:uiPriority w:val="0"/>
    <w:rPr>
      <w:b/>
      <w:bCs/>
      <w:color w:val="000000"/>
      <w:sz w:val="28"/>
      <w:szCs w:val="30"/>
    </w:rPr>
  </w:style>
  <w:style w:type="paragraph" w:customStyle="1" w:styleId="291">
    <w:name w:val="样式 标题 3 + 黑色1"/>
    <w:basedOn w:val="5"/>
    <w:next w:val="1"/>
    <w:link w:val="290"/>
    <w:autoRedefine/>
    <w:qFormat/>
    <w:uiPriority w:val="0"/>
    <w:pPr>
      <w:spacing w:beforeLines="50" w:afterLines="50" w:line="360" w:lineRule="auto"/>
    </w:pPr>
    <w:rPr>
      <w:rFonts w:asciiTheme="minorHAnsi" w:hAnsiTheme="minorHAnsi" w:eastAsiaTheme="minorEastAsia" w:cstheme="minorBidi"/>
      <w:bCs/>
      <w:color w:val="000000"/>
      <w:sz w:val="28"/>
      <w:szCs w:val="30"/>
    </w:rPr>
  </w:style>
  <w:style w:type="paragraph" w:customStyle="1" w:styleId="292">
    <w:name w:val="正文缩进3"/>
    <w:basedOn w:val="3"/>
    <w:next w:val="1"/>
    <w:autoRedefine/>
    <w:qFormat/>
    <w:uiPriority w:val="99"/>
    <w:pPr>
      <w:keepNext w:val="0"/>
      <w:keepLines w:val="0"/>
      <w:spacing w:before="0" w:after="0" w:line="500" w:lineRule="atLeast"/>
      <w:ind w:firstLine="420" w:firstLineChars="177"/>
      <w:outlineLvl w:val="9"/>
    </w:pPr>
    <w:rPr>
      <w:bCs w:val="0"/>
      <w:kern w:val="2"/>
      <w:sz w:val="24"/>
      <w:szCs w:val="24"/>
    </w:rPr>
  </w:style>
  <w:style w:type="paragraph" w:customStyle="1" w:styleId="293">
    <w:name w:val="p0"/>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294">
    <w:name w:val="正文6"/>
    <w:next w:val="1"/>
    <w:autoRedefine/>
    <w:qFormat/>
    <w:uiPriority w:val="99"/>
    <w:pPr>
      <w:widowControl w:val="0"/>
      <w:adjustRightInd w:val="0"/>
      <w:spacing w:line="360" w:lineRule="atLeast"/>
      <w:jc w:val="left"/>
    </w:pPr>
    <w:rPr>
      <w:rFonts w:ascii="宋体" w:hAnsi="Times New Roman" w:eastAsia="宋体" w:cs="Times New Roman"/>
      <w:kern w:val="0"/>
      <w:sz w:val="24"/>
      <w:szCs w:val="20"/>
      <w:lang w:val="en-US" w:eastAsia="zh-CN" w:bidi="ar-SA"/>
    </w:rPr>
  </w:style>
  <w:style w:type="paragraph" w:customStyle="1" w:styleId="295">
    <w:name w:val="新正文"/>
    <w:basedOn w:val="3"/>
    <w:next w:val="1"/>
    <w:autoRedefine/>
    <w:qFormat/>
    <w:uiPriority w:val="99"/>
    <w:pPr>
      <w:keepNext w:val="0"/>
      <w:keepLines w:val="0"/>
      <w:spacing w:before="0" w:after="0" w:line="360" w:lineRule="auto"/>
      <w:ind w:firstLine="480" w:firstLineChars="177"/>
      <w:outlineLvl w:val="9"/>
    </w:pPr>
    <w:rPr>
      <w:rFonts w:cs="宋体"/>
      <w:bCs w:val="0"/>
      <w:kern w:val="2"/>
      <w:sz w:val="24"/>
      <w:szCs w:val="20"/>
    </w:rPr>
  </w:style>
  <w:style w:type="paragraph" w:customStyle="1" w:styleId="296">
    <w:name w:val="样式 Arial 小四 行距: 1.5 倍行距"/>
    <w:basedOn w:val="3"/>
    <w:next w:val="1"/>
    <w:autoRedefine/>
    <w:qFormat/>
    <w:uiPriority w:val="99"/>
    <w:pPr>
      <w:keepNext w:val="0"/>
      <w:keepLines w:val="0"/>
      <w:spacing w:before="0" w:after="0" w:line="360" w:lineRule="auto"/>
      <w:ind w:firstLine="480" w:firstLineChars="200"/>
      <w:outlineLvl w:val="9"/>
    </w:pPr>
    <w:rPr>
      <w:bCs w:val="0"/>
      <w:kern w:val="2"/>
      <w:sz w:val="24"/>
      <w:szCs w:val="20"/>
    </w:rPr>
  </w:style>
  <w:style w:type="paragraph" w:customStyle="1" w:styleId="297">
    <w:name w:val="Char Char Char Char Char Char1 Char"/>
    <w:basedOn w:val="3"/>
    <w:next w:val="1"/>
    <w:autoRedefine/>
    <w:qFormat/>
    <w:uiPriority w:val="99"/>
    <w:pPr>
      <w:keepNext w:val="0"/>
      <w:keepLines w:val="0"/>
      <w:spacing w:before="0" w:after="0" w:line="500" w:lineRule="atLeast"/>
      <w:ind w:firstLine="425" w:firstLineChars="177"/>
      <w:outlineLvl w:val="9"/>
    </w:pPr>
    <w:rPr>
      <w:bCs w:val="0"/>
      <w:kern w:val="2"/>
      <w:sz w:val="24"/>
      <w:szCs w:val="24"/>
    </w:rPr>
  </w:style>
  <w:style w:type="paragraph" w:customStyle="1" w:styleId="298">
    <w:name w:val="样式 标题3"/>
    <w:basedOn w:val="5"/>
    <w:next w:val="1"/>
    <w:autoRedefine/>
    <w:qFormat/>
    <w:uiPriority w:val="99"/>
    <w:pPr>
      <w:spacing w:beforeLines="50" w:afterLines="50" w:line="360" w:lineRule="auto"/>
      <w:ind w:firstLine="200"/>
      <w:jc w:val="left"/>
    </w:pPr>
    <w:rPr>
      <w:bCs/>
      <w:sz w:val="28"/>
      <w:szCs w:val="24"/>
    </w:rPr>
  </w:style>
  <w:style w:type="paragraph" w:customStyle="1" w:styleId="299">
    <w:name w:val="Char Char Char Char Char Char Char Char Char Char Char Char"/>
    <w:basedOn w:val="3"/>
    <w:next w:val="1"/>
    <w:autoRedefine/>
    <w:qFormat/>
    <w:uiPriority w:val="99"/>
    <w:pPr>
      <w:keepNext w:val="0"/>
      <w:keepLines w:val="0"/>
      <w:tabs>
        <w:tab w:val="left" w:pos="1723"/>
      </w:tabs>
      <w:spacing w:before="0" w:after="0" w:line="500" w:lineRule="atLeast"/>
      <w:ind w:left="1723" w:hanging="1080" w:firstLineChars="177"/>
      <w:outlineLvl w:val="9"/>
    </w:pPr>
    <w:rPr>
      <w:rFonts w:eastAsia="仿宋_GB2312"/>
      <w:bCs w:val="0"/>
      <w:kern w:val="2"/>
      <w:sz w:val="24"/>
      <w:szCs w:val="32"/>
    </w:rPr>
  </w:style>
  <w:style w:type="paragraph" w:customStyle="1" w:styleId="300">
    <w:name w:val="Char Char Char"/>
    <w:basedOn w:val="3"/>
    <w:next w:val="1"/>
    <w:autoRedefine/>
    <w:qFormat/>
    <w:uiPriority w:val="99"/>
    <w:pPr>
      <w:keepNext w:val="0"/>
      <w:keepLines w:val="0"/>
      <w:spacing w:before="0" w:after="0" w:line="500" w:lineRule="atLeast"/>
      <w:ind w:firstLine="425" w:firstLineChars="177"/>
      <w:outlineLvl w:val="9"/>
    </w:pPr>
    <w:rPr>
      <w:bCs w:val="0"/>
      <w:kern w:val="2"/>
      <w:sz w:val="24"/>
      <w:szCs w:val="24"/>
    </w:rPr>
  </w:style>
  <w:style w:type="paragraph" w:customStyle="1" w:styleId="301">
    <w:name w:val="封面标准号2"/>
    <w:basedOn w:val="3"/>
    <w:next w:val="1"/>
    <w:autoRedefine/>
    <w:qFormat/>
    <w:uiPriority w:val="99"/>
    <w:pPr>
      <w:keepNext w:val="0"/>
      <w:keepLines w:val="0"/>
      <w:framePr w:w="9138" w:h="1244" w:wrap="auto" w:vAnchor="page" w:hAnchor="margin" w:y="2908" w:anchorLock="1"/>
      <w:kinsoku w:val="0"/>
      <w:overflowPunct w:val="0"/>
      <w:autoSpaceDE w:val="0"/>
      <w:autoSpaceDN w:val="0"/>
      <w:adjustRightInd w:val="0"/>
      <w:spacing w:before="357" w:after="0" w:line="280" w:lineRule="exact"/>
      <w:ind w:firstLine="425" w:firstLineChars="177"/>
      <w:jc w:val="right"/>
      <w:outlineLvl w:val="9"/>
    </w:pPr>
    <w:rPr>
      <w:bCs w:val="0"/>
      <w:kern w:val="0"/>
      <w:sz w:val="28"/>
      <w:szCs w:val="20"/>
    </w:rPr>
  </w:style>
  <w:style w:type="paragraph" w:customStyle="1" w:styleId="302">
    <w:name w:val="纯文本6"/>
    <w:basedOn w:val="3"/>
    <w:next w:val="1"/>
    <w:autoRedefine/>
    <w:qFormat/>
    <w:uiPriority w:val="99"/>
    <w:pPr>
      <w:keepNext w:val="0"/>
      <w:keepLines w:val="0"/>
      <w:spacing w:before="0" w:after="0" w:line="500" w:lineRule="atLeast"/>
      <w:ind w:firstLine="425" w:firstLineChars="177"/>
      <w:outlineLvl w:val="9"/>
    </w:pPr>
    <w:rPr>
      <w:rFonts w:ascii="宋体" w:hAnsi="Courier New"/>
      <w:bCs w:val="0"/>
      <w:kern w:val="0"/>
      <w:sz w:val="20"/>
      <w:szCs w:val="21"/>
    </w:rPr>
  </w:style>
  <w:style w:type="paragraph" w:customStyle="1" w:styleId="303">
    <w:name w:val="日期4"/>
    <w:basedOn w:val="3"/>
    <w:next w:val="1"/>
    <w:autoRedefine/>
    <w:qFormat/>
    <w:uiPriority w:val="99"/>
    <w:pPr>
      <w:keepNext w:val="0"/>
      <w:keepLines w:val="0"/>
      <w:spacing w:before="0" w:after="0" w:line="500" w:lineRule="atLeast"/>
      <w:ind w:left="100" w:leftChars="2500" w:firstLine="425" w:firstLineChars="177"/>
      <w:outlineLvl w:val="9"/>
    </w:pPr>
    <w:rPr>
      <w:rFonts w:ascii="Calibri" w:hAnsi="Calibri"/>
      <w:bCs w:val="0"/>
      <w:kern w:val="0"/>
      <w:sz w:val="20"/>
      <w:szCs w:val="20"/>
    </w:rPr>
  </w:style>
  <w:style w:type="paragraph" w:customStyle="1" w:styleId="304">
    <w:name w:val="无间隔4"/>
    <w:next w:val="1"/>
    <w:autoRedefine/>
    <w:qFormat/>
    <w:uiPriority w:val="99"/>
    <w:pPr>
      <w:spacing w:line="240" w:lineRule="auto"/>
      <w:jc w:val="left"/>
    </w:pPr>
    <w:rPr>
      <w:rFonts w:ascii="Calibri" w:hAnsi="Calibri" w:eastAsia="宋体" w:cs="Times New Roman"/>
      <w:kern w:val="0"/>
      <w:sz w:val="22"/>
      <w:szCs w:val="20"/>
      <w:lang w:val="en-US" w:eastAsia="zh-CN" w:bidi="ar-SA"/>
    </w:rPr>
  </w:style>
  <w:style w:type="paragraph" w:customStyle="1" w:styleId="305">
    <w:name w:val="纯文本7"/>
    <w:basedOn w:val="3"/>
    <w:next w:val="1"/>
    <w:autoRedefine/>
    <w:qFormat/>
    <w:uiPriority w:val="99"/>
    <w:pPr>
      <w:keepNext w:val="0"/>
      <w:keepLines w:val="0"/>
      <w:spacing w:before="0" w:after="0" w:line="500" w:lineRule="atLeast"/>
      <w:ind w:firstLine="425" w:firstLineChars="177"/>
      <w:outlineLvl w:val="9"/>
    </w:pPr>
    <w:rPr>
      <w:rFonts w:ascii="宋体" w:hAnsi="Courier New"/>
      <w:bCs w:val="0"/>
      <w:kern w:val="0"/>
      <w:sz w:val="20"/>
      <w:szCs w:val="21"/>
    </w:rPr>
  </w:style>
  <w:style w:type="paragraph" w:customStyle="1" w:styleId="306">
    <w:name w:val="表题行"/>
    <w:basedOn w:val="3"/>
    <w:next w:val="1"/>
    <w:autoRedefine/>
    <w:qFormat/>
    <w:uiPriority w:val="99"/>
    <w:pPr>
      <w:keepNext w:val="0"/>
      <w:keepLines w:val="0"/>
      <w:spacing w:before="0" w:after="0" w:line="500" w:lineRule="atLeast"/>
      <w:ind w:firstLine="425" w:firstLineChars="177"/>
      <w:jc w:val="center"/>
      <w:outlineLvl w:val="9"/>
    </w:pPr>
    <w:rPr>
      <w:kern w:val="2"/>
      <w:sz w:val="18"/>
      <w:szCs w:val="21"/>
    </w:rPr>
  </w:style>
  <w:style w:type="paragraph" w:customStyle="1" w:styleId="307">
    <w:name w:val="a9"/>
    <w:basedOn w:val="3"/>
    <w:next w:val="1"/>
    <w:autoRedefine/>
    <w:qFormat/>
    <w:uiPriority w:val="99"/>
    <w:pPr>
      <w:keepNext w:val="0"/>
      <w:keepLines w:val="0"/>
      <w:widowControl/>
      <w:snapToGrid w:val="0"/>
      <w:spacing w:before="120" w:after="120" w:line="360" w:lineRule="auto"/>
      <w:ind w:firstLine="480" w:firstLineChars="177"/>
      <w:outlineLvl w:val="9"/>
    </w:pPr>
    <w:rPr>
      <w:bCs w:val="0"/>
      <w:kern w:val="0"/>
      <w:sz w:val="24"/>
      <w:szCs w:val="24"/>
    </w:rPr>
  </w:style>
  <w:style w:type="paragraph" w:customStyle="1" w:styleId="308">
    <w:name w:val="表文"/>
    <w:basedOn w:val="3"/>
    <w:next w:val="1"/>
    <w:link w:val="722"/>
    <w:autoRedefine/>
    <w:qFormat/>
    <w:uiPriority w:val="0"/>
    <w:pPr>
      <w:keepNext w:val="0"/>
      <w:keepLines w:val="0"/>
      <w:spacing w:before="0" w:after="0" w:line="500" w:lineRule="atLeast"/>
      <w:ind w:firstLine="425" w:firstLineChars="177"/>
      <w:jc w:val="center"/>
      <w:outlineLvl w:val="9"/>
    </w:pPr>
    <w:rPr>
      <w:bCs w:val="0"/>
      <w:kern w:val="2"/>
      <w:sz w:val="24"/>
      <w:szCs w:val="24"/>
    </w:rPr>
  </w:style>
  <w:style w:type="paragraph" w:customStyle="1" w:styleId="309">
    <w:name w:val="报告"/>
    <w:basedOn w:val="3"/>
    <w:next w:val="1"/>
    <w:autoRedefine/>
    <w:qFormat/>
    <w:uiPriority w:val="99"/>
    <w:pPr>
      <w:keepNext w:val="0"/>
      <w:keepLines w:val="0"/>
      <w:adjustRightInd w:val="0"/>
      <w:spacing w:before="0" w:after="0" w:line="360" w:lineRule="auto"/>
      <w:ind w:firstLine="505" w:firstLineChars="177"/>
      <w:outlineLvl w:val="9"/>
    </w:pPr>
    <w:rPr>
      <w:rFonts w:ascii="TimesNewRoman" w:hAnsi="TimesNewRoman"/>
      <w:bCs w:val="0"/>
      <w:kern w:val="0"/>
      <w:sz w:val="24"/>
      <w:szCs w:val="20"/>
    </w:rPr>
  </w:style>
  <w:style w:type="paragraph" w:customStyle="1" w:styleId="310">
    <w:name w:val="韩奇"/>
    <w:basedOn w:val="3"/>
    <w:next w:val="1"/>
    <w:autoRedefine/>
    <w:qFormat/>
    <w:uiPriority w:val="99"/>
    <w:pPr>
      <w:keepNext w:val="0"/>
      <w:keepLines w:val="0"/>
      <w:adjustRightInd w:val="0"/>
      <w:spacing w:before="0" w:after="0" w:line="500" w:lineRule="exact"/>
      <w:ind w:firstLine="200" w:firstLineChars="200"/>
      <w:outlineLvl w:val="9"/>
    </w:pPr>
    <w:rPr>
      <w:rFonts w:eastAsia="楷体_GB2312"/>
      <w:bCs w:val="0"/>
      <w:kern w:val="0"/>
      <w:sz w:val="28"/>
      <w:szCs w:val="20"/>
    </w:rPr>
  </w:style>
  <w:style w:type="paragraph" w:customStyle="1" w:styleId="311">
    <w:name w:val="xl41"/>
    <w:basedOn w:val="3"/>
    <w:next w:val="1"/>
    <w:autoRedefine/>
    <w:qFormat/>
    <w:uiPriority w:val="99"/>
    <w:pPr>
      <w:keepNext w:val="0"/>
      <w:keepLines w:val="0"/>
      <w:widowControl/>
      <w:pBdr>
        <w:top w:val="single" w:color="auto" w:sz="8" w:space="0"/>
        <w:left w:val="single" w:color="auto" w:sz="8" w:space="0"/>
        <w:right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312">
    <w:name w:val="xl39"/>
    <w:basedOn w:val="3"/>
    <w:next w:val="1"/>
    <w:autoRedefine/>
    <w:qFormat/>
    <w:uiPriority w:val="99"/>
    <w:pPr>
      <w:keepNext w:val="0"/>
      <w:keepLines w:val="0"/>
      <w:widowControl/>
      <w:pBdr>
        <w:left w:val="single" w:color="auto" w:sz="8" w:space="0"/>
        <w:right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313">
    <w:name w:val="qilu"/>
    <w:basedOn w:val="3"/>
    <w:next w:val="1"/>
    <w:autoRedefine/>
    <w:qFormat/>
    <w:uiPriority w:val="99"/>
    <w:pPr>
      <w:keepNext w:val="0"/>
      <w:keepLines w:val="0"/>
      <w:autoSpaceDE w:val="0"/>
      <w:autoSpaceDN w:val="0"/>
      <w:adjustRightInd w:val="0"/>
      <w:spacing w:before="0" w:after="0" w:line="500" w:lineRule="atLeast"/>
      <w:ind w:firstLine="425" w:firstLineChars="177"/>
      <w:jc w:val="left"/>
      <w:outlineLvl w:val="9"/>
    </w:pPr>
    <w:rPr>
      <w:rFonts w:ascii="宋体"/>
      <w:bCs w:val="0"/>
      <w:kern w:val="0"/>
      <w:sz w:val="28"/>
      <w:szCs w:val="20"/>
    </w:rPr>
  </w:style>
  <w:style w:type="paragraph" w:customStyle="1" w:styleId="314">
    <w:name w:val="Char Char Char Char Char Char Char Char Char Char Char Char Char Char Char"/>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315">
    <w:name w:val="xl43"/>
    <w:basedOn w:val="3"/>
    <w:next w:val="1"/>
    <w:autoRedefine/>
    <w:qFormat/>
    <w:uiPriority w:val="99"/>
    <w:pPr>
      <w:keepNext w:val="0"/>
      <w:keepLines w:val="0"/>
      <w:widowControl/>
      <w:pBdr>
        <w:top w:val="single" w:color="auto" w:sz="8" w:space="0"/>
        <w:left w:val="single" w:color="auto" w:sz="8"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316">
    <w:name w:val="标题样式3"/>
    <w:basedOn w:val="5"/>
    <w:next w:val="1"/>
    <w:autoRedefine/>
    <w:qFormat/>
    <w:uiPriority w:val="99"/>
    <w:pPr>
      <w:widowControl/>
      <w:tabs>
        <w:tab w:val="left" w:pos="0"/>
      </w:tabs>
      <w:spacing w:before="0" w:after="0" w:line="360" w:lineRule="auto"/>
      <w:jc w:val="left"/>
    </w:pPr>
    <w:rPr>
      <w:rFonts w:ascii="黑体" w:hAnsi="Times New Roman" w:eastAsia="黑体" w:cs="Times New Roman"/>
      <w:bCs/>
      <w:kern w:val="0"/>
      <w:sz w:val="24"/>
    </w:rPr>
  </w:style>
  <w:style w:type="paragraph" w:customStyle="1" w:styleId="317">
    <w:name w:val="报告正文文字"/>
    <w:basedOn w:val="3"/>
    <w:next w:val="1"/>
    <w:autoRedefine/>
    <w:qFormat/>
    <w:uiPriority w:val="99"/>
    <w:pPr>
      <w:keepNext w:val="0"/>
      <w:keepLines w:val="0"/>
      <w:widowControl/>
      <w:autoSpaceDE w:val="0"/>
      <w:autoSpaceDN w:val="0"/>
      <w:spacing w:before="0" w:after="0" w:line="360" w:lineRule="auto"/>
      <w:ind w:firstLine="480" w:firstLineChars="200"/>
      <w:outlineLvl w:val="9"/>
    </w:pPr>
    <w:rPr>
      <w:rFonts w:ascii="宋体" w:hAnsi="宋体"/>
      <w:bCs w:val="0"/>
      <w:color w:val="000000"/>
      <w:spacing w:val="4"/>
      <w:kern w:val="0"/>
      <w:sz w:val="24"/>
      <w:szCs w:val="20"/>
    </w:rPr>
  </w:style>
  <w:style w:type="paragraph" w:customStyle="1" w:styleId="318">
    <w:name w:val="xl26"/>
    <w:basedOn w:val="3"/>
    <w:next w:val="1"/>
    <w:autoRedefine/>
    <w:qFormat/>
    <w:uiPriority w:val="99"/>
    <w:pPr>
      <w:keepNext w:val="0"/>
      <w:keepLines w:val="0"/>
      <w:widowControl/>
      <w:pBdr>
        <w:bottom w:val="single" w:color="auto" w:sz="4" w:space="0"/>
        <w:right w:val="single" w:color="auto" w:sz="4" w:space="0"/>
      </w:pBdr>
      <w:spacing w:before="100" w:beforeAutospacing="1" w:after="100" w:afterAutospacing="1" w:line="500" w:lineRule="atLeast"/>
      <w:ind w:firstLine="425" w:firstLineChars="177"/>
      <w:jc w:val="center"/>
      <w:outlineLvl w:val="9"/>
    </w:pPr>
    <w:rPr>
      <w:rFonts w:eastAsia="Arial Unicode MS"/>
      <w:bCs w:val="0"/>
      <w:kern w:val="0"/>
      <w:sz w:val="24"/>
      <w:szCs w:val="21"/>
    </w:rPr>
  </w:style>
  <w:style w:type="paragraph" w:customStyle="1" w:styleId="319">
    <w:name w:val="Plain Text1"/>
    <w:basedOn w:val="3"/>
    <w:next w:val="1"/>
    <w:autoRedefine/>
    <w:qFormat/>
    <w:uiPriority w:val="99"/>
    <w:pPr>
      <w:keepNext w:val="0"/>
      <w:keepLines w:val="0"/>
      <w:autoSpaceDE w:val="0"/>
      <w:autoSpaceDN w:val="0"/>
      <w:adjustRightInd w:val="0"/>
      <w:spacing w:before="0" w:after="0" w:line="500" w:lineRule="atLeast"/>
      <w:ind w:firstLine="425" w:firstLineChars="177"/>
      <w:outlineLvl w:val="9"/>
    </w:pPr>
    <w:rPr>
      <w:rFonts w:ascii="宋体" w:hAnsi="Tms Rmn"/>
      <w:bCs w:val="0"/>
      <w:kern w:val="0"/>
      <w:sz w:val="24"/>
      <w:szCs w:val="20"/>
    </w:rPr>
  </w:style>
  <w:style w:type="character" w:customStyle="1" w:styleId="320">
    <w:name w:val="段落1 Char1"/>
    <w:link w:val="321"/>
    <w:autoRedefine/>
    <w:qFormat/>
    <w:locked/>
    <w:uiPriority w:val="0"/>
    <w:rPr>
      <w:rFonts w:ascii="宋体" w:hAnsi="宋体" w:eastAsia="宋体"/>
      <w:spacing w:val="6"/>
      <w:sz w:val="28"/>
    </w:rPr>
  </w:style>
  <w:style w:type="paragraph" w:customStyle="1" w:styleId="321">
    <w:name w:val="段落1"/>
    <w:basedOn w:val="3"/>
    <w:next w:val="1"/>
    <w:link w:val="320"/>
    <w:autoRedefine/>
    <w:qFormat/>
    <w:uiPriority w:val="0"/>
    <w:pPr>
      <w:keepNext w:val="0"/>
      <w:keepLines w:val="0"/>
      <w:adjustRightInd w:val="0"/>
      <w:spacing w:before="0" w:after="0" w:line="440" w:lineRule="exact"/>
      <w:ind w:firstLine="600" w:firstLineChars="200"/>
      <w:outlineLvl w:val="9"/>
    </w:pPr>
    <w:rPr>
      <w:rFonts w:ascii="宋体" w:hAnsi="宋体" w:cstheme="minorBidi"/>
      <w:bCs w:val="0"/>
      <w:spacing w:val="6"/>
      <w:kern w:val="2"/>
      <w:sz w:val="28"/>
      <w:szCs w:val="22"/>
    </w:rPr>
  </w:style>
  <w:style w:type="paragraph" w:customStyle="1" w:styleId="322">
    <w:name w:val="table"/>
    <w:basedOn w:val="3"/>
    <w:next w:val="1"/>
    <w:autoRedefine/>
    <w:qFormat/>
    <w:uiPriority w:val="99"/>
    <w:pPr>
      <w:keepNext w:val="0"/>
      <w:keepLines w:val="0"/>
      <w:widowControl/>
      <w:overflowPunct w:val="0"/>
      <w:autoSpaceDE w:val="0"/>
      <w:autoSpaceDN w:val="0"/>
      <w:adjustRightInd w:val="0"/>
      <w:spacing w:before="60" w:after="60" w:line="500" w:lineRule="atLeast"/>
      <w:ind w:firstLine="425" w:firstLineChars="177"/>
      <w:jc w:val="center"/>
      <w:outlineLvl w:val="9"/>
    </w:pPr>
    <w:rPr>
      <w:rFonts w:ascii="仿宋体" w:eastAsia="仿宋体"/>
      <w:bCs w:val="0"/>
      <w:kern w:val="0"/>
      <w:sz w:val="24"/>
      <w:szCs w:val="20"/>
    </w:rPr>
  </w:style>
  <w:style w:type="paragraph" w:customStyle="1" w:styleId="323">
    <w:name w:val="xl58"/>
    <w:basedOn w:val="3"/>
    <w:next w:val="1"/>
    <w:autoRedefine/>
    <w:qFormat/>
    <w:uiPriority w:val="99"/>
    <w:pPr>
      <w:keepNext w:val="0"/>
      <w:keepLines w:val="0"/>
      <w:widowControl/>
      <w:pBdr>
        <w:top w:val="single" w:color="auto" w:sz="12" w:space="0"/>
        <w:bottom w:val="single" w:color="auto" w:sz="8" w:space="0"/>
        <w:right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324">
    <w:name w:val="Char Char Char Char Char Char Char Char Char Char Char Char Char Char Char Char Char Char Char Char Char Char"/>
    <w:basedOn w:val="3"/>
    <w:next w:val="1"/>
    <w:autoRedefine/>
    <w:qFormat/>
    <w:uiPriority w:val="99"/>
    <w:pPr>
      <w:keepNext w:val="0"/>
      <w:keepLines w:val="0"/>
      <w:widowControl/>
      <w:spacing w:before="0" w:after="160" w:line="240" w:lineRule="exact"/>
      <w:ind w:firstLine="425" w:firstLineChars="177"/>
      <w:jc w:val="left"/>
      <w:outlineLvl w:val="9"/>
    </w:pPr>
    <w:rPr>
      <w:bCs w:val="0"/>
      <w:kern w:val="2"/>
      <w:sz w:val="24"/>
      <w:szCs w:val="20"/>
    </w:rPr>
  </w:style>
  <w:style w:type="paragraph" w:customStyle="1" w:styleId="325">
    <w:name w:val="WW-正文（首行缩进两字）"/>
    <w:basedOn w:val="3"/>
    <w:next w:val="1"/>
    <w:autoRedefine/>
    <w:qFormat/>
    <w:uiPriority w:val="99"/>
    <w:pPr>
      <w:keepNext w:val="0"/>
      <w:keepLines w:val="0"/>
      <w:suppressAutoHyphens/>
      <w:spacing w:before="0" w:after="0" w:line="500" w:lineRule="atLeast"/>
      <w:ind w:firstLine="420" w:firstLineChars="177"/>
      <w:outlineLvl w:val="9"/>
    </w:pPr>
    <w:rPr>
      <w:bCs w:val="0"/>
      <w:kern w:val="2"/>
      <w:sz w:val="24"/>
      <w:szCs w:val="20"/>
    </w:rPr>
  </w:style>
  <w:style w:type="paragraph" w:customStyle="1" w:styleId="326">
    <w:name w:val="表格内容格式"/>
    <w:basedOn w:val="3"/>
    <w:next w:val="1"/>
    <w:autoRedefine/>
    <w:qFormat/>
    <w:uiPriority w:val="99"/>
    <w:pPr>
      <w:keepNext w:val="0"/>
      <w:keepLines w:val="0"/>
      <w:tabs>
        <w:tab w:val="left" w:pos="1935"/>
      </w:tabs>
      <w:adjustRightInd w:val="0"/>
      <w:snapToGrid w:val="0"/>
      <w:spacing w:before="0" w:after="0" w:line="500" w:lineRule="atLeast"/>
      <w:ind w:right="-45" w:rightChars="-45" w:firstLine="425" w:firstLineChars="177"/>
      <w:outlineLvl w:val="9"/>
    </w:pPr>
    <w:rPr>
      <w:bCs w:val="0"/>
      <w:color w:val="000000"/>
      <w:kern w:val="0"/>
      <w:sz w:val="24"/>
      <w:szCs w:val="20"/>
    </w:rPr>
  </w:style>
  <w:style w:type="paragraph" w:customStyle="1" w:styleId="327">
    <w:name w:val="font0"/>
    <w:basedOn w:val="3"/>
    <w:next w:val="1"/>
    <w:autoRedefine/>
    <w:qFormat/>
    <w:uiPriority w:val="99"/>
    <w:pPr>
      <w:keepNext w:val="0"/>
      <w:keepLines w:val="0"/>
      <w:widowControl/>
      <w:adjustRightInd w:val="0"/>
      <w:snapToGrid w:val="0"/>
      <w:spacing w:before="100" w:beforeAutospacing="1" w:after="100" w:afterAutospacing="1" w:line="360" w:lineRule="auto"/>
      <w:ind w:firstLine="425" w:firstLineChars="177"/>
      <w:jc w:val="left"/>
      <w:outlineLvl w:val="9"/>
    </w:pPr>
    <w:rPr>
      <w:rFonts w:ascii="宋体" w:hAnsi="宋体"/>
      <w:bCs w:val="0"/>
      <w:kern w:val="0"/>
      <w:sz w:val="24"/>
      <w:szCs w:val="24"/>
    </w:rPr>
  </w:style>
  <w:style w:type="paragraph" w:customStyle="1" w:styleId="328">
    <w:name w:val="a6"/>
    <w:next w:val="1"/>
    <w:autoRedefine/>
    <w:qFormat/>
    <w:uiPriority w:val="99"/>
    <w:pPr>
      <w:spacing w:line="280" w:lineRule="atLeast"/>
      <w:ind w:firstLine="360"/>
      <w:jc w:val="center"/>
    </w:pPr>
    <w:rPr>
      <w:rFonts w:ascii="Times New Roman" w:hAnsi="Times New Roman" w:eastAsia="宋体" w:cs="Times New Roman"/>
      <w:color w:val="000000"/>
      <w:kern w:val="0"/>
      <w:sz w:val="18"/>
      <w:szCs w:val="18"/>
      <w:lang w:val="en-US" w:eastAsia="zh-CN" w:bidi="ar-SA"/>
    </w:rPr>
  </w:style>
  <w:style w:type="paragraph" w:customStyle="1" w:styleId="329">
    <w:name w:val="图表名"/>
    <w:basedOn w:val="3"/>
    <w:next w:val="1"/>
    <w:autoRedefine/>
    <w:qFormat/>
    <w:uiPriority w:val="99"/>
    <w:pPr>
      <w:keepNext w:val="0"/>
      <w:keepLines w:val="0"/>
      <w:spacing w:beforeLines="30" w:after="0" w:line="440" w:lineRule="exact"/>
      <w:ind w:firstLine="480" w:firstLineChars="177"/>
      <w:outlineLvl w:val="9"/>
    </w:pPr>
    <w:rPr>
      <w:rFonts w:eastAsia="黑体"/>
      <w:bCs w:val="0"/>
      <w:kern w:val="2"/>
      <w:sz w:val="24"/>
      <w:szCs w:val="20"/>
    </w:rPr>
  </w:style>
  <w:style w:type="paragraph" w:customStyle="1" w:styleId="330">
    <w:name w:val="a9cxspmiddle"/>
    <w:basedOn w:val="3"/>
    <w:next w:val="1"/>
    <w:autoRedefine/>
    <w:qFormat/>
    <w:uiPriority w:val="99"/>
    <w:pPr>
      <w:keepNext w:val="0"/>
      <w:keepLines w:val="0"/>
      <w:widowControl/>
      <w:snapToGrid w:val="0"/>
      <w:spacing w:before="0" w:after="0" w:line="360" w:lineRule="auto"/>
      <w:ind w:firstLine="480" w:firstLineChars="177"/>
      <w:outlineLvl w:val="9"/>
    </w:pPr>
    <w:rPr>
      <w:bCs w:val="0"/>
      <w:kern w:val="0"/>
      <w:sz w:val="24"/>
      <w:szCs w:val="24"/>
    </w:rPr>
  </w:style>
  <w:style w:type="paragraph" w:customStyle="1" w:styleId="331">
    <w:name w:val="样式 首行缩进:  2 字符"/>
    <w:basedOn w:val="3"/>
    <w:next w:val="1"/>
    <w:autoRedefine/>
    <w:qFormat/>
    <w:uiPriority w:val="99"/>
    <w:pPr>
      <w:keepNext w:val="0"/>
      <w:keepLines w:val="0"/>
      <w:spacing w:before="0" w:after="0" w:line="360" w:lineRule="auto"/>
      <w:ind w:firstLine="200" w:firstLineChars="200"/>
      <w:outlineLvl w:val="9"/>
    </w:pPr>
    <w:rPr>
      <w:bCs w:val="0"/>
      <w:kern w:val="2"/>
      <w:sz w:val="24"/>
      <w:szCs w:val="24"/>
    </w:rPr>
  </w:style>
  <w:style w:type="paragraph" w:customStyle="1" w:styleId="332">
    <w:name w:val="xl35"/>
    <w:basedOn w:val="3"/>
    <w:next w:val="1"/>
    <w:autoRedefine/>
    <w:qFormat/>
    <w:uiPriority w:val="99"/>
    <w:pPr>
      <w:keepNext w:val="0"/>
      <w:keepLines w:val="0"/>
      <w:widowControl/>
      <w:pBdr>
        <w:bottom w:val="single" w:color="auto" w:sz="8"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333">
    <w:name w:val="表1表2"/>
    <w:basedOn w:val="3"/>
    <w:next w:val="1"/>
    <w:autoRedefine/>
    <w:qFormat/>
    <w:uiPriority w:val="99"/>
    <w:pPr>
      <w:keepNext w:val="0"/>
      <w:keepLines w:val="0"/>
      <w:autoSpaceDE w:val="0"/>
      <w:autoSpaceDN w:val="0"/>
      <w:adjustRightInd w:val="0"/>
      <w:spacing w:before="0" w:after="0" w:line="500" w:lineRule="atLeast"/>
      <w:ind w:firstLine="425" w:firstLineChars="177"/>
      <w:jc w:val="center"/>
      <w:outlineLvl w:val="9"/>
    </w:pPr>
    <w:rPr>
      <w:rFonts w:eastAsia="仿宋_GB2312"/>
      <w:bCs w:val="0"/>
      <w:kern w:val="0"/>
      <w:sz w:val="24"/>
      <w:szCs w:val="21"/>
    </w:rPr>
  </w:style>
  <w:style w:type="paragraph" w:customStyle="1" w:styleId="334">
    <w:name w:val="xl23"/>
    <w:basedOn w:val="3"/>
    <w:next w:val="1"/>
    <w:autoRedefine/>
    <w:qFormat/>
    <w:uiPriority w:val="99"/>
    <w:pPr>
      <w:keepNext w:val="0"/>
      <w:keepLines w:val="0"/>
      <w:widowControl/>
      <w:pBdr>
        <w:top w:val="single" w:color="auto" w:sz="4" w:space="0"/>
        <w:left w:val="single" w:color="auto" w:sz="4" w:space="0"/>
        <w:right w:val="single" w:color="auto" w:sz="4" w:space="0"/>
      </w:pBdr>
      <w:spacing w:before="100" w:beforeAutospacing="1" w:after="100" w:afterAutospacing="1" w:line="500" w:lineRule="atLeast"/>
      <w:ind w:firstLine="425" w:firstLineChars="177"/>
      <w:jc w:val="center"/>
      <w:outlineLvl w:val="9"/>
    </w:pPr>
    <w:rPr>
      <w:rFonts w:ascii="宋体" w:hAnsi="宋体" w:cs="宋体"/>
      <w:bCs w:val="0"/>
      <w:kern w:val="0"/>
      <w:sz w:val="24"/>
      <w:szCs w:val="24"/>
    </w:rPr>
  </w:style>
  <w:style w:type="paragraph" w:customStyle="1" w:styleId="335">
    <w:name w:val="公式说明"/>
    <w:next w:val="1"/>
    <w:autoRedefine/>
    <w:qFormat/>
    <w:uiPriority w:val="99"/>
    <w:pPr>
      <w:spacing w:line="240" w:lineRule="auto"/>
      <w:ind w:firstLine="200" w:firstLineChars="200"/>
      <w:jc w:val="left"/>
    </w:pPr>
    <w:rPr>
      <w:rFonts w:ascii="Times New Roman" w:hAnsi="Times New Roman" w:eastAsia="宋体" w:cs="Times New Roman"/>
      <w:kern w:val="2"/>
      <w:sz w:val="24"/>
      <w:szCs w:val="20"/>
      <w:lang w:val="en-US" w:eastAsia="zh-CN" w:bidi="ar-SA"/>
    </w:rPr>
  </w:style>
  <w:style w:type="paragraph" w:customStyle="1" w:styleId="336">
    <w:name w:val="Body Text 22"/>
    <w:basedOn w:val="3"/>
    <w:next w:val="1"/>
    <w:autoRedefine/>
    <w:qFormat/>
    <w:uiPriority w:val="99"/>
    <w:pPr>
      <w:keepNext w:val="0"/>
      <w:keepLines w:val="0"/>
      <w:adjustRightInd w:val="0"/>
      <w:spacing w:before="0" w:after="0" w:line="440" w:lineRule="atLeast"/>
      <w:ind w:firstLine="480" w:firstLineChars="177"/>
      <w:outlineLvl w:val="9"/>
    </w:pPr>
    <w:rPr>
      <w:rFonts w:eastAsia="仿宋_GB2312"/>
      <w:bCs w:val="0"/>
      <w:kern w:val="2"/>
      <w:sz w:val="24"/>
      <w:szCs w:val="20"/>
    </w:rPr>
  </w:style>
  <w:style w:type="paragraph" w:customStyle="1" w:styleId="337">
    <w:name w:val="1.1.1"/>
    <w:basedOn w:val="3"/>
    <w:next w:val="1"/>
    <w:autoRedefine/>
    <w:qFormat/>
    <w:uiPriority w:val="99"/>
    <w:pPr>
      <w:keepNext w:val="0"/>
      <w:keepLines w:val="0"/>
      <w:spacing w:before="0" w:after="0" w:line="500" w:lineRule="atLeast"/>
      <w:ind w:firstLine="425" w:firstLineChars="177"/>
      <w:outlineLvl w:val="9"/>
    </w:pPr>
    <w:rPr>
      <w:rFonts w:ascii="黑体"/>
      <w:bCs w:val="0"/>
      <w:kern w:val="2"/>
      <w:sz w:val="24"/>
      <w:szCs w:val="24"/>
    </w:rPr>
  </w:style>
  <w:style w:type="paragraph" w:customStyle="1" w:styleId="338">
    <w:name w:val="报告表格"/>
    <w:basedOn w:val="3"/>
    <w:next w:val="1"/>
    <w:autoRedefine/>
    <w:qFormat/>
    <w:uiPriority w:val="99"/>
    <w:pPr>
      <w:keepNext w:val="0"/>
      <w:keepLines w:val="0"/>
      <w:autoSpaceDE w:val="0"/>
      <w:autoSpaceDN w:val="0"/>
      <w:adjustRightInd w:val="0"/>
      <w:spacing w:before="40" w:after="40" w:line="500" w:lineRule="atLeast"/>
      <w:ind w:firstLine="425" w:firstLineChars="177"/>
      <w:jc w:val="center"/>
      <w:outlineLvl w:val="9"/>
    </w:pPr>
    <w:rPr>
      <w:bCs w:val="0"/>
      <w:kern w:val="0"/>
      <w:sz w:val="24"/>
      <w:szCs w:val="20"/>
    </w:rPr>
  </w:style>
  <w:style w:type="paragraph" w:customStyle="1" w:styleId="339">
    <w:name w:val="表中正文"/>
    <w:basedOn w:val="3"/>
    <w:next w:val="1"/>
    <w:autoRedefine/>
    <w:qFormat/>
    <w:uiPriority w:val="99"/>
    <w:pPr>
      <w:keepNext w:val="0"/>
      <w:keepLines w:val="0"/>
      <w:tabs>
        <w:tab w:val="left" w:pos="958"/>
        <w:tab w:val="left" w:pos="7320"/>
        <w:tab w:val="left" w:pos="8160"/>
      </w:tabs>
      <w:adjustRightInd w:val="0"/>
      <w:spacing w:before="0" w:after="0" w:line="360" w:lineRule="atLeast"/>
      <w:ind w:right="113" w:firstLine="425" w:firstLineChars="177"/>
      <w:jc w:val="center"/>
      <w:outlineLvl w:val="9"/>
    </w:pPr>
    <w:rPr>
      <w:rFonts w:ascii="宋体" w:hAnsi="宋体"/>
      <w:bCs w:val="0"/>
      <w:spacing w:val="6"/>
      <w:kern w:val="20"/>
      <w:sz w:val="24"/>
      <w:szCs w:val="24"/>
    </w:rPr>
  </w:style>
  <w:style w:type="paragraph" w:customStyle="1" w:styleId="340">
    <w:name w:val="样式 段落1 + 左 首行缩进:  2 字符 加宽量  0.3 磅"/>
    <w:basedOn w:val="3"/>
    <w:next w:val="1"/>
    <w:autoRedefine/>
    <w:qFormat/>
    <w:uiPriority w:val="99"/>
    <w:pPr>
      <w:keepNext w:val="0"/>
      <w:keepLines w:val="0"/>
      <w:tabs>
        <w:tab w:val="left" w:pos="4254"/>
      </w:tabs>
      <w:adjustRightInd w:val="0"/>
      <w:spacing w:before="0" w:after="0" w:line="440" w:lineRule="exact"/>
      <w:ind w:firstLine="504" w:firstLineChars="200"/>
      <w:outlineLvl w:val="9"/>
    </w:pPr>
    <w:rPr>
      <w:color w:val="0000FF"/>
      <w:spacing w:val="6"/>
      <w:kern w:val="0"/>
      <w:sz w:val="24"/>
      <w:szCs w:val="20"/>
    </w:rPr>
  </w:style>
  <w:style w:type="character" w:customStyle="1" w:styleId="341">
    <w:name w:val="正文首行缩进 2 Char1"/>
    <w:basedOn w:val="120"/>
    <w:autoRedefine/>
    <w:semiHidden/>
    <w:qFormat/>
    <w:uiPriority w:val="99"/>
    <w:rPr>
      <w:rFonts w:ascii="Times New Roman" w:hAnsi="Times New Roman" w:eastAsia="宋体" w:cs="Times New Roman"/>
      <w:szCs w:val="24"/>
    </w:rPr>
  </w:style>
  <w:style w:type="paragraph" w:customStyle="1" w:styleId="342">
    <w:name w:val="三级标题"/>
    <w:basedOn w:val="3"/>
    <w:next w:val="43"/>
    <w:autoRedefine/>
    <w:qFormat/>
    <w:uiPriority w:val="99"/>
    <w:pPr>
      <w:keepNext w:val="0"/>
      <w:keepLines w:val="0"/>
      <w:adjustRightInd w:val="0"/>
      <w:snapToGrid w:val="0"/>
      <w:spacing w:before="0" w:after="0" w:line="360" w:lineRule="exact"/>
      <w:ind w:firstLine="425" w:firstLineChars="177"/>
      <w:jc w:val="center"/>
      <w:outlineLvl w:val="9"/>
    </w:pPr>
    <w:rPr>
      <w:kern w:val="2"/>
      <w:sz w:val="24"/>
      <w:szCs w:val="20"/>
    </w:rPr>
  </w:style>
  <w:style w:type="paragraph" w:customStyle="1" w:styleId="343">
    <w:name w:val="unnamed2"/>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Arial Unicode MS" w:hAnsi="Arial Unicode MS" w:eastAsia="Arial Unicode MS" w:cs="Arial Unicode MS"/>
      <w:bCs w:val="0"/>
      <w:color w:val="000000"/>
      <w:kern w:val="0"/>
      <w:sz w:val="24"/>
      <w:szCs w:val="24"/>
    </w:rPr>
  </w:style>
  <w:style w:type="paragraph" w:customStyle="1" w:styleId="344">
    <w:name w:val="样式表格"/>
    <w:basedOn w:val="3"/>
    <w:next w:val="1"/>
    <w:autoRedefine/>
    <w:qFormat/>
    <w:uiPriority w:val="99"/>
    <w:pPr>
      <w:keepNext w:val="0"/>
      <w:keepLines w:val="0"/>
      <w:spacing w:before="0" w:after="0" w:line="240" w:lineRule="exact"/>
      <w:ind w:firstLine="425" w:firstLineChars="177"/>
      <w:outlineLvl w:val="9"/>
    </w:pPr>
    <w:rPr>
      <w:bCs w:val="0"/>
      <w:color w:val="000000"/>
      <w:kern w:val="0"/>
      <w:sz w:val="24"/>
      <w:szCs w:val="21"/>
    </w:rPr>
  </w:style>
  <w:style w:type="paragraph" w:customStyle="1" w:styleId="345">
    <w:name w:val="font5"/>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bCs w:val="0"/>
      <w:kern w:val="0"/>
      <w:sz w:val="18"/>
      <w:szCs w:val="20"/>
    </w:rPr>
  </w:style>
  <w:style w:type="paragraph" w:customStyle="1" w:styleId="346">
    <w:name w:val="样式2"/>
    <w:basedOn w:val="3"/>
    <w:next w:val="1"/>
    <w:autoRedefine/>
    <w:qFormat/>
    <w:uiPriority w:val="99"/>
    <w:pPr>
      <w:keepNext w:val="0"/>
      <w:keepLines w:val="0"/>
      <w:tabs>
        <w:tab w:val="left" w:pos="360"/>
      </w:tabs>
      <w:spacing w:before="50" w:after="50" w:line="440" w:lineRule="exact"/>
      <w:ind w:firstLine="425" w:firstLineChars="177"/>
      <w:outlineLvl w:val="9"/>
    </w:pPr>
    <w:rPr>
      <w:rFonts w:eastAsia="黑体"/>
      <w:bCs w:val="0"/>
      <w:kern w:val="2"/>
      <w:sz w:val="24"/>
      <w:szCs w:val="20"/>
    </w:rPr>
  </w:style>
  <w:style w:type="character" w:customStyle="1" w:styleId="347">
    <w:name w:val="cucd-2 Char"/>
    <w:link w:val="348"/>
    <w:autoRedefine/>
    <w:qFormat/>
    <w:locked/>
    <w:uiPriority w:val="0"/>
    <w:rPr>
      <w:rFonts w:ascii="黑体" w:hAnsi="黑体" w:eastAsia="黑体"/>
      <w:b/>
      <w:sz w:val="30"/>
      <w:szCs w:val="24"/>
    </w:rPr>
  </w:style>
  <w:style w:type="paragraph" w:customStyle="1" w:styleId="348">
    <w:name w:val="cucd-2"/>
    <w:next w:val="349"/>
    <w:link w:val="347"/>
    <w:autoRedefine/>
    <w:qFormat/>
    <w:uiPriority w:val="0"/>
    <w:pPr>
      <w:tabs>
        <w:tab w:val="left" w:pos="576"/>
      </w:tabs>
      <w:spacing w:line="360" w:lineRule="auto"/>
      <w:ind w:left="576" w:hanging="576"/>
      <w:jc w:val="left"/>
      <w:outlineLvl w:val="1"/>
    </w:pPr>
    <w:rPr>
      <w:rFonts w:ascii="黑体" w:hAnsi="黑体" w:eastAsia="黑体" w:cstheme="minorBidi"/>
      <w:b/>
      <w:kern w:val="2"/>
      <w:sz w:val="30"/>
      <w:szCs w:val="24"/>
      <w:lang w:val="en-US" w:eastAsia="zh-CN" w:bidi="ar-SA"/>
    </w:rPr>
  </w:style>
  <w:style w:type="paragraph" w:customStyle="1" w:styleId="349">
    <w:name w:val="cucd-3"/>
    <w:next w:val="1"/>
    <w:link w:val="350"/>
    <w:autoRedefine/>
    <w:qFormat/>
    <w:uiPriority w:val="99"/>
    <w:pPr>
      <w:tabs>
        <w:tab w:val="left" w:pos="720"/>
      </w:tabs>
      <w:spacing w:line="360" w:lineRule="auto"/>
      <w:ind w:left="720" w:hanging="720"/>
      <w:jc w:val="left"/>
      <w:outlineLvl w:val="2"/>
    </w:pPr>
    <w:rPr>
      <w:rFonts w:ascii="Calibri" w:hAnsi="Calibri" w:eastAsia="宋体" w:cs="Times New Roman"/>
      <w:b/>
      <w:kern w:val="2"/>
      <w:sz w:val="28"/>
      <w:szCs w:val="24"/>
      <w:lang w:val="en-US" w:eastAsia="zh-CN" w:bidi="ar-SA"/>
    </w:rPr>
  </w:style>
  <w:style w:type="character" w:customStyle="1" w:styleId="350">
    <w:name w:val="cucd-3 Char"/>
    <w:link w:val="349"/>
    <w:autoRedefine/>
    <w:qFormat/>
    <w:locked/>
    <w:uiPriority w:val="99"/>
    <w:rPr>
      <w:rFonts w:ascii="Calibri" w:hAnsi="Calibri" w:eastAsia="宋体" w:cs="Times New Roman"/>
      <w:b/>
      <w:sz w:val="28"/>
      <w:szCs w:val="24"/>
    </w:rPr>
  </w:style>
  <w:style w:type="paragraph" w:customStyle="1" w:styleId="351">
    <w:name w:val="表中"/>
    <w:basedOn w:val="3"/>
    <w:next w:val="1"/>
    <w:autoRedefine/>
    <w:qFormat/>
    <w:uiPriority w:val="99"/>
    <w:pPr>
      <w:keepNext w:val="0"/>
      <w:keepLines w:val="0"/>
      <w:spacing w:before="0" w:after="0" w:line="280" w:lineRule="exact"/>
      <w:ind w:firstLine="425" w:firstLineChars="177"/>
      <w:jc w:val="center"/>
      <w:outlineLvl w:val="9"/>
    </w:pPr>
    <w:rPr>
      <w:bCs w:val="0"/>
      <w:kern w:val="2"/>
      <w:sz w:val="18"/>
      <w:szCs w:val="18"/>
    </w:rPr>
  </w:style>
  <w:style w:type="paragraph" w:customStyle="1" w:styleId="352">
    <w:name w:val="样式 四号 首行缩进:  2 字符"/>
    <w:basedOn w:val="3"/>
    <w:next w:val="1"/>
    <w:autoRedefine/>
    <w:qFormat/>
    <w:uiPriority w:val="99"/>
    <w:pPr>
      <w:keepNext w:val="0"/>
      <w:keepLines w:val="0"/>
      <w:spacing w:before="0" w:after="0" w:line="480" w:lineRule="atLeast"/>
      <w:ind w:firstLine="200" w:firstLineChars="200"/>
      <w:outlineLvl w:val="9"/>
    </w:pPr>
    <w:rPr>
      <w:bCs w:val="0"/>
      <w:kern w:val="2"/>
      <w:sz w:val="24"/>
      <w:szCs w:val="20"/>
    </w:rPr>
  </w:style>
  <w:style w:type="paragraph" w:customStyle="1" w:styleId="353">
    <w:name w:val="xl38"/>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bCs w:val="0"/>
      <w:color w:val="000000"/>
      <w:kern w:val="0"/>
      <w:sz w:val="24"/>
      <w:szCs w:val="21"/>
    </w:rPr>
  </w:style>
  <w:style w:type="paragraph" w:customStyle="1" w:styleId="354">
    <w:name w:val="表头2"/>
    <w:basedOn w:val="3"/>
    <w:next w:val="1"/>
    <w:autoRedefine/>
    <w:qFormat/>
    <w:uiPriority w:val="99"/>
    <w:pPr>
      <w:keepNext w:val="0"/>
      <w:keepLines w:val="0"/>
      <w:spacing w:before="0" w:after="0" w:line="480" w:lineRule="auto"/>
      <w:ind w:firstLine="425" w:firstLineChars="177"/>
      <w:jc w:val="center"/>
      <w:outlineLvl w:val="9"/>
    </w:pPr>
    <w:rPr>
      <w:rFonts w:ascii="黑体" w:eastAsia="黑体"/>
      <w:bCs w:val="0"/>
      <w:color w:val="000000"/>
      <w:kern w:val="2"/>
      <w:sz w:val="24"/>
      <w:szCs w:val="24"/>
    </w:rPr>
  </w:style>
  <w:style w:type="paragraph" w:customStyle="1" w:styleId="355">
    <w:name w:val="标题6"/>
    <w:basedOn w:val="3"/>
    <w:next w:val="150"/>
    <w:autoRedefine/>
    <w:qFormat/>
    <w:uiPriority w:val="99"/>
    <w:pPr>
      <w:keepNext w:val="0"/>
      <w:keepLines w:val="0"/>
      <w:numPr>
        <w:ilvl w:val="0"/>
        <w:numId w:val="2"/>
      </w:numPr>
      <w:spacing w:before="0" w:after="0" w:line="480" w:lineRule="exact"/>
      <w:ind w:firstLine="177" w:firstLineChars="177"/>
      <w:jc w:val="left"/>
      <w:outlineLvl w:val="9"/>
    </w:pPr>
    <w:rPr>
      <w:bCs w:val="0"/>
      <w:spacing w:val="10"/>
      <w:kern w:val="2"/>
      <w:sz w:val="28"/>
      <w:szCs w:val="20"/>
    </w:rPr>
  </w:style>
  <w:style w:type="paragraph" w:customStyle="1" w:styleId="356">
    <w:name w:val="l_text2"/>
    <w:basedOn w:val="3"/>
    <w:next w:val="1"/>
    <w:autoRedefine/>
    <w:qFormat/>
    <w:uiPriority w:val="99"/>
    <w:pPr>
      <w:keepNext w:val="0"/>
      <w:keepLines w:val="0"/>
      <w:widowControl/>
      <w:numPr>
        <w:ilvl w:val="0"/>
        <w:numId w:val="3"/>
      </w:numPr>
      <w:overflowPunct w:val="0"/>
      <w:autoSpaceDE w:val="0"/>
      <w:autoSpaceDN w:val="0"/>
      <w:adjustRightInd w:val="0"/>
      <w:spacing w:before="0" w:after="0" w:line="500" w:lineRule="atLeast"/>
      <w:ind w:left="0" w:firstLine="0" w:firstLineChars="177"/>
      <w:jc w:val="center"/>
      <w:outlineLvl w:val="9"/>
    </w:pPr>
    <w:rPr>
      <w:rFonts w:ascii="楷体" w:eastAsia="楷体" w:cs="楷体"/>
      <w:bCs w:val="0"/>
      <w:kern w:val="0"/>
      <w:position w:val="-30"/>
      <w:sz w:val="22"/>
      <w:szCs w:val="24"/>
    </w:rPr>
  </w:style>
  <w:style w:type="paragraph" w:customStyle="1" w:styleId="357">
    <w:name w:val="xl54"/>
    <w:basedOn w:val="3"/>
    <w:next w:val="1"/>
    <w:autoRedefine/>
    <w:qFormat/>
    <w:uiPriority w:val="99"/>
    <w:pPr>
      <w:keepNext w:val="0"/>
      <w:keepLines w:val="0"/>
      <w:widowControl/>
      <w:pBdr>
        <w:top w:val="single" w:color="auto" w:sz="12" w:space="0"/>
        <w:left w:val="single" w:color="auto" w:sz="12" w:space="0"/>
        <w:right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358">
    <w:name w:val="xl46"/>
    <w:basedOn w:val="3"/>
    <w:next w:val="1"/>
    <w:autoRedefine/>
    <w:qFormat/>
    <w:uiPriority w:val="99"/>
    <w:pPr>
      <w:keepNext w:val="0"/>
      <w:keepLines w:val="0"/>
      <w:widowControl/>
      <w:pBdr>
        <w:left w:val="single" w:color="auto" w:sz="8" w:space="0"/>
        <w:bottom w:val="single" w:color="auto" w:sz="8" w:space="0"/>
        <w:right w:val="single" w:color="auto" w:sz="12"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359">
    <w:name w:val="222"/>
    <w:basedOn w:val="3"/>
    <w:next w:val="1"/>
    <w:autoRedefine/>
    <w:qFormat/>
    <w:uiPriority w:val="99"/>
    <w:pPr>
      <w:keepNext w:val="0"/>
      <w:keepLines w:val="0"/>
      <w:snapToGrid w:val="0"/>
      <w:spacing w:before="0" w:after="0" w:line="440" w:lineRule="exact"/>
      <w:ind w:firstLine="480" w:firstLineChars="200"/>
      <w:outlineLvl w:val="9"/>
    </w:pPr>
    <w:rPr>
      <w:rFonts w:cs="宋体"/>
      <w:bCs w:val="0"/>
      <w:kern w:val="2"/>
      <w:sz w:val="24"/>
      <w:szCs w:val="20"/>
    </w:rPr>
  </w:style>
  <w:style w:type="paragraph" w:customStyle="1" w:styleId="360">
    <w:name w:val="表名"/>
    <w:basedOn w:val="3"/>
    <w:next w:val="1"/>
    <w:autoRedefine/>
    <w:qFormat/>
    <w:uiPriority w:val="99"/>
    <w:pPr>
      <w:keepNext w:val="0"/>
      <w:keepLines w:val="0"/>
      <w:widowControl/>
      <w:overflowPunct w:val="0"/>
      <w:autoSpaceDE w:val="0"/>
      <w:autoSpaceDN w:val="0"/>
      <w:adjustRightInd w:val="0"/>
      <w:spacing w:before="60" w:after="0" w:line="480" w:lineRule="exact"/>
      <w:ind w:firstLine="425" w:firstLineChars="177"/>
      <w:jc w:val="center"/>
      <w:outlineLvl w:val="9"/>
    </w:pPr>
    <w:rPr>
      <w:rFonts w:ascii="黑体" w:hAnsi="Arial" w:eastAsia="黑体"/>
      <w:bCs w:val="0"/>
      <w:color w:val="000000"/>
      <w:kern w:val="0"/>
      <w:sz w:val="26"/>
      <w:szCs w:val="20"/>
    </w:rPr>
  </w:style>
  <w:style w:type="paragraph" w:customStyle="1" w:styleId="361">
    <w:name w:val="a7"/>
    <w:basedOn w:val="3"/>
    <w:next w:val="1"/>
    <w:autoRedefine/>
    <w:qFormat/>
    <w:uiPriority w:val="99"/>
    <w:pPr>
      <w:keepNext w:val="0"/>
      <w:keepLines w:val="0"/>
      <w:widowControl/>
      <w:overflowPunct w:val="0"/>
      <w:snapToGrid w:val="0"/>
      <w:spacing w:before="0" w:after="0" w:line="280" w:lineRule="atLeast"/>
      <w:ind w:firstLine="425" w:firstLineChars="177"/>
      <w:jc w:val="center"/>
      <w:outlineLvl w:val="9"/>
    </w:pPr>
    <w:rPr>
      <w:rFonts w:ascii="宋体" w:hAnsi="宋体"/>
      <w:bCs w:val="0"/>
      <w:kern w:val="0"/>
      <w:sz w:val="18"/>
      <w:szCs w:val="18"/>
    </w:rPr>
  </w:style>
  <w:style w:type="paragraph" w:customStyle="1" w:styleId="362">
    <w:name w:val="font9"/>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bCs w:val="0"/>
      <w:color w:val="000000"/>
      <w:kern w:val="0"/>
      <w:sz w:val="24"/>
      <w:szCs w:val="21"/>
    </w:rPr>
  </w:style>
  <w:style w:type="paragraph" w:customStyle="1" w:styleId="363">
    <w:name w:val="默认段落字体 Para Char Char Char Char Char Char Char"/>
    <w:basedOn w:val="3"/>
    <w:next w:val="1"/>
    <w:autoRedefine/>
    <w:qFormat/>
    <w:uiPriority w:val="99"/>
    <w:pPr>
      <w:keepNext w:val="0"/>
      <w:keepLines w:val="0"/>
      <w:spacing w:before="0" w:after="0" w:line="500" w:lineRule="atLeast"/>
      <w:ind w:firstLine="425" w:firstLineChars="177"/>
      <w:outlineLvl w:val="9"/>
    </w:pPr>
    <w:rPr>
      <w:bCs w:val="0"/>
      <w:kern w:val="2"/>
      <w:sz w:val="24"/>
      <w:szCs w:val="24"/>
    </w:rPr>
  </w:style>
  <w:style w:type="paragraph" w:customStyle="1" w:styleId="364">
    <w:name w:val="段落 Char Char2 Char Char"/>
    <w:basedOn w:val="3"/>
    <w:next w:val="1"/>
    <w:autoRedefine/>
    <w:qFormat/>
    <w:uiPriority w:val="99"/>
    <w:pPr>
      <w:keepNext w:val="0"/>
      <w:keepLines w:val="0"/>
      <w:tabs>
        <w:tab w:val="left" w:pos="1021"/>
      </w:tabs>
      <w:spacing w:before="0" w:after="0" w:line="540" w:lineRule="exact"/>
      <w:ind w:firstLine="480" w:firstLineChars="200"/>
      <w:outlineLvl w:val="9"/>
    </w:pPr>
    <w:rPr>
      <w:rFonts w:ascii="宋体" w:hAnsi="宋体" w:cs="宋体"/>
      <w:bCs w:val="0"/>
      <w:kern w:val="24"/>
      <w:sz w:val="24"/>
      <w:szCs w:val="24"/>
    </w:rPr>
  </w:style>
  <w:style w:type="character" w:customStyle="1" w:styleId="365">
    <w:name w:val="样式表 Char"/>
    <w:link w:val="366"/>
    <w:autoRedefine/>
    <w:qFormat/>
    <w:locked/>
    <w:uiPriority w:val="0"/>
    <w:rPr>
      <w:rFonts w:ascii="黑体" w:hAnsi="黑体" w:eastAsia="黑体" w:cs="宋体"/>
      <w:color w:val="000000"/>
      <w:spacing w:val="8"/>
      <w:sz w:val="24"/>
      <w:szCs w:val="24"/>
    </w:rPr>
  </w:style>
  <w:style w:type="paragraph" w:customStyle="1" w:styleId="366">
    <w:name w:val="样式表"/>
    <w:basedOn w:val="15"/>
    <w:next w:val="1"/>
    <w:link w:val="365"/>
    <w:autoRedefine/>
    <w:qFormat/>
    <w:uiPriority w:val="0"/>
    <w:pPr>
      <w:widowControl/>
      <w:spacing w:beforeLines="50"/>
      <w:ind w:firstLine="0" w:firstLineChars="0"/>
      <w:jc w:val="center"/>
    </w:pPr>
    <w:rPr>
      <w:rFonts w:ascii="黑体" w:hAnsi="黑体" w:eastAsia="黑体" w:cs="宋体"/>
      <w:spacing w:val="8"/>
      <w:sz w:val="24"/>
      <w:szCs w:val="24"/>
    </w:rPr>
  </w:style>
  <w:style w:type="paragraph" w:customStyle="1" w:styleId="367">
    <w:name w:val="正文文字进缩1"/>
    <w:basedOn w:val="3"/>
    <w:next w:val="1"/>
    <w:autoRedefine/>
    <w:qFormat/>
    <w:uiPriority w:val="99"/>
    <w:pPr>
      <w:keepNext w:val="0"/>
      <w:keepLines w:val="0"/>
      <w:spacing w:before="0" w:after="0" w:line="360" w:lineRule="auto"/>
      <w:ind w:left="555" w:firstLine="425" w:firstLineChars="177"/>
      <w:outlineLvl w:val="9"/>
    </w:pPr>
    <w:rPr>
      <w:rFonts w:ascii="黑体" w:eastAsia="黑体"/>
      <w:bCs w:val="0"/>
      <w:kern w:val="2"/>
      <w:sz w:val="28"/>
      <w:szCs w:val="20"/>
    </w:rPr>
  </w:style>
  <w:style w:type="paragraph" w:customStyle="1" w:styleId="368">
    <w:name w:val="Char Char Char Char Char Char Char Char Char"/>
    <w:basedOn w:val="3"/>
    <w:next w:val="1"/>
    <w:autoRedefine/>
    <w:qFormat/>
    <w:uiPriority w:val="99"/>
    <w:pPr>
      <w:keepNext w:val="0"/>
      <w:keepLines w:val="0"/>
      <w:widowControl/>
      <w:spacing w:before="0" w:after="160" w:line="240" w:lineRule="exact"/>
      <w:ind w:firstLine="425" w:firstLineChars="177"/>
      <w:jc w:val="left"/>
      <w:outlineLvl w:val="9"/>
    </w:pPr>
    <w:rPr>
      <w:rFonts w:ascii="Verdana" w:hAnsi="Verdana" w:eastAsia="仿宋_GB2312"/>
      <w:bCs w:val="0"/>
      <w:kern w:val="0"/>
      <w:sz w:val="24"/>
      <w:szCs w:val="20"/>
      <w:lang w:eastAsia="en-US"/>
    </w:rPr>
  </w:style>
  <w:style w:type="paragraph" w:customStyle="1" w:styleId="369">
    <w:name w:val="line1"/>
    <w:basedOn w:val="3"/>
    <w:next w:val="1"/>
    <w:autoRedefine/>
    <w:qFormat/>
    <w:uiPriority w:val="99"/>
    <w:pPr>
      <w:keepNext w:val="0"/>
      <w:keepLines w:val="0"/>
      <w:widowControl/>
      <w:spacing w:before="100" w:beforeAutospacing="1" w:after="100" w:afterAutospacing="1" w:line="360" w:lineRule="atLeast"/>
      <w:ind w:firstLine="425" w:firstLineChars="177"/>
      <w:jc w:val="left"/>
      <w:outlineLvl w:val="9"/>
    </w:pPr>
    <w:rPr>
      <w:rFonts w:ascii="宋体" w:hAnsi="宋体"/>
      <w:bCs w:val="0"/>
      <w:kern w:val="0"/>
      <w:sz w:val="24"/>
      <w:szCs w:val="24"/>
    </w:rPr>
  </w:style>
  <w:style w:type="paragraph" w:customStyle="1" w:styleId="370">
    <w:name w:val="xl42"/>
    <w:basedOn w:val="3"/>
    <w:next w:val="1"/>
    <w:autoRedefine/>
    <w:qFormat/>
    <w:uiPriority w:val="99"/>
    <w:pPr>
      <w:keepNext w:val="0"/>
      <w:keepLines w:val="0"/>
      <w:widowControl/>
      <w:pBdr>
        <w:left w:val="single" w:color="auto" w:sz="8" w:space="0"/>
        <w:bottom w:val="single" w:color="auto" w:sz="8" w:space="0"/>
        <w:right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371">
    <w:name w:val="表中正文居中"/>
    <w:next w:val="1"/>
    <w:autoRedefine/>
    <w:qFormat/>
    <w:uiPriority w:val="99"/>
    <w:pPr>
      <w:spacing w:before="120" w:after="120" w:line="240" w:lineRule="atLeast"/>
      <w:jc w:val="center"/>
    </w:pPr>
    <w:rPr>
      <w:rFonts w:ascii="宋体" w:hAnsi="Times New Roman" w:eastAsia="宋体" w:cs="Times New Roman"/>
      <w:kern w:val="2"/>
      <w:sz w:val="21"/>
      <w:szCs w:val="20"/>
      <w:lang w:val="en-US" w:eastAsia="zh-CN" w:bidi="ar-SA"/>
    </w:rPr>
  </w:style>
  <w:style w:type="character" w:customStyle="1" w:styleId="372">
    <w:name w:val="正文1-1 Char"/>
    <w:link w:val="373"/>
    <w:autoRedefine/>
    <w:qFormat/>
    <w:locked/>
    <w:uiPriority w:val="0"/>
    <w:rPr>
      <w:rFonts w:ascii="宋体" w:hAnsi="宋体" w:eastAsia="仿宋_GB2312" w:cs="宋体"/>
      <w:sz w:val="28"/>
      <w:szCs w:val="24"/>
    </w:rPr>
  </w:style>
  <w:style w:type="paragraph" w:customStyle="1" w:styleId="373">
    <w:name w:val="正文1-1"/>
    <w:basedOn w:val="3"/>
    <w:next w:val="1"/>
    <w:link w:val="372"/>
    <w:autoRedefine/>
    <w:qFormat/>
    <w:uiPriority w:val="0"/>
    <w:pPr>
      <w:keepNext w:val="0"/>
      <w:keepLines w:val="0"/>
      <w:widowControl/>
      <w:snapToGrid w:val="0"/>
      <w:spacing w:before="0" w:after="0" w:line="360" w:lineRule="auto"/>
      <w:ind w:firstLine="200" w:firstLineChars="200"/>
      <w:jc w:val="left"/>
      <w:outlineLvl w:val="9"/>
    </w:pPr>
    <w:rPr>
      <w:rFonts w:ascii="宋体" w:hAnsi="宋体" w:eastAsia="仿宋_GB2312" w:cs="宋体"/>
      <w:bCs w:val="0"/>
      <w:kern w:val="2"/>
      <w:sz w:val="28"/>
      <w:szCs w:val="24"/>
    </w:rPr>
  </w:style>
  <w:style w:type="paragraph" w:customStyle="1" w:styleId="374">
    <w:name w:val="xl40"/>
    <w:basedOn w:val="3"/>
    <w:next w:val="1"/>
    <w:autoRedefine/>
    <w:qFormat/>
    <w:uiPriority w:val="99"/>
    <w:pPr>
      <w:keepNext w:val="0"/>
      <w:keepLines w:val="0"/>
      <w:widowControl/>
      <w:pBdr>
        <w:left w:val="single" w:color="auto" w:sz="12" w:space="0"/>
      </w:pBdr>
      <w:spacing w:before="100" w:beforeAutospacing="1" w:after="100" w:afterAutospacing="1" w:line="500" w:lineRule="atLeast"/>
      <w:ind w:firstLine="425" w:firstLineChars="177"/>
      <w:jc w:val="center"/>
      <w:outlineLvl w:val="9"/>
    </w:pPr>
    <w:rPr>
      <w:rFonts w:ascii="宋体" w:hAnsi="宋体" w:cs="宋体"/>
      <w:bCs w:val="0"/>
      <w:kern w:val="0"/>
      <w:sz w:val="24"/>
      <w:szCs w:val="24"/>
    </w:rPr>
  </w:style>
  <w:style w:type="paragraph" w:customStyle="1" w:styleId="375">
    <w:name w:val="自定义缩进"/>
    <w:basedOn w:val="3"/>
    <w:next w:val="1"/>
    <w:autoRedefine/>
    <w:qFormat/>
    <w:uiPriority w:val="99"/>
    <w:pPr>
      <w:keepLines w:val="0"/>
      <w:spacing w:before="0" w:after="0" w:line="336" w:lineRule="auto"/>
      <w:ind w:firstLine="480" w:firstLineChars="200"/>
      <w:jc w:val="left"/>
      <w:outlineLvl w:val="9"/>
    </w:pPr>
    <w:rPr>
      <w:rFonts w:ascii="宋体" w:hAnsi="宋体"/>
      <w:bCs w:val="0"/>
      <w:kern w:val="0"/>
      <w:sz w:val="24"/>
      <w:szCs w:val="20"/>
    </w:rPr>
  </w:style>
  <w:style w:type="paragraph" w:customStyle="1" w:styleId="376">
    <w:name w:val="xl57"/>
    <w:basedOn w:val="3"/>
    <w:next w:val="1"/>
    <w:autoRedefine/>
    <w:qFormat/>
    <w:uiPriority w:val="99"/>
    <w:pPr>
      <w:keepNext w:val="0"/>
      <w:keepLines w:val="0"/>
      <w:widowControl/>
      <w:pBdr>
        <w:top w:val="single" w:color="auto" w:sz="12" w:space="0"/>
        <w:bottom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character" w:customStyle="1" w:styleId="377">
    <w:name w:val="日期 Char1"/>
    <w:basedOn w:val="49"/>
    <w:autoRedefine/>
    <w:semiHidden/>
    <w:qFormat/>
    <w:uiPriority w:val="99"/>
    <w:rPr>
      <w:rFonts w:ascii="Times New Roman" w:hAnsi="Times New Roman" w:eastAsia="宋体" w:cs="Times New Roman"/>
      <w:szCs w:val="24"/>
    </w:rPr>
  </w:style>
  <w:style w:type="paragraph" w:customStyle="1" w:styleId="378">
    <w:name w:val="样式 日期 + 宋体"/>
    <w:basedOn w:val="25"/>
    <w:next w:val="1"/>
    <w:autoRedefine/>
    <w:qFormat/>
    <w:uiPriority w:val="99"/>
    <w:pPr>
      <w:widowControl/>
      <w:overflowPunct w:val="0"/>
      <w:autoSpaceDE w:val="0"/>
      <w:autoSpaceDN w:val="0"/>
      <w:adjustRightInd w:val="0"/>
      <w:spacing w:line="480" w:lineRule="exact"/>
      <w:ind w:left="0" w:leftChars="0" w:firstLine="425" w:firstLineChars="177"/>
    </w:pPr>
    <w:rPr>
      <w:rFonts w:ascii="宋体" w:hAnsi="宋体"/>
      <w:color w:val="000000"/>
      <w:kern w:val="0"/>
      <w:sz w:val="28"/>
      <w:szCs w:val="20"/>
      <w:lang w:val="en-GB"/>
    </w:rPr>
  </w:style>
  <w:style w:type="paragraph" w:customStyle="1" w:styleId="379">
    <w:name w:val="font7"/>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color w:val="000000"/>
      <w:kern w:val="0"/>
      <w:sz w:val="24"/>
      <w:szCs w:val="21"/>
    </w:rPr>
  </w:style>
  <w:style w:type="paragraph" w:customStyle="1" w:styleId="380">
    <w:name w:val="样式 标题2　自动设置"/>
    <w:basedOn w:val="4"/>
    <w:next w:val="1"/>
    <w:autoRedefine/>
    <w:qFormat/>
    <w:uiPriority w:val="99"/>
    <w:pPr>
      <w:tabs>
        <w:tab w:val="left" w:pos="1710"/>
      </w:tabs>
      <w:spacing w:before="0" w:after="60" w:line="240" w:lineRule="auto"/>
      <w:ind w:left="1710" w:hanging="720" w:firstLineChars="177"/>
    </w:pPr>
    <w:rPr>
      <w:rFonts w:ascii="宋体" w:hAnsi="宋体" w:eastAsia="宋体" w:cs="宋体"/>
      <w:color w:val="000000"/>
      <w:kern w:val="0"/>
      <w:sz w:val="28"/>
      <w:szCs w:val="20"/>
    </w:rPr>
  </w:style>
  <w:style w:type="paragraph" w:customStyle="1" w:styleId="381">
    <w:name w:val="样式 段落1 + 首行缩进:  2 字符"/>
    <w:basedOn w:val="321"/>
    <w:next w:val="1"/>
    <w:autoRedefine/>
    <w:qFormat/>
    <w:uiPriority w:val="99"/>
    <w:pPr>
      <w:spacing w:line="480" w:lineRule="exact"/>
      <w:ind w:firstLine="504"/>
      <w:jc w:val="left"/>
    </w:pPr>
    <w:rPr>
      <w:rFonts w:cs="宋体"/>
      <w:sz w:val="24"/>
    </w:rPr>
  </w:style>
  <w:style w:type="character" w:customStyle="1" w:styleId="382">
    <w:name w:val="cucd-4 Char Char"/>
    <w:link w:val="383"/>
    <w:autoRedefine/>
    <w:qFormat/>
    <w:locked/>
    <w:uiPriority w:val="0"/>
    <w:rPr>
      <w:b/>
      <w:sz w:val="24"/>
      <w:szCs w:val="24"/>
    </w:rPr>
  </w:style>
  <w:style w:type="paragraph" w:customStyle="1" w:styleId="383">
    <w:name w:val="cucd-4"/>
    <w:next w:val="384"/>
    <w:link w:val="382"/>
    <w:autoRedefine/>
    <w:qFormat/>
    <w:uiPriority w:val="0"/>
    <w:pPr>
      <w:tabs>
        <w:tab w:val="left" w:pos="0"/>
      </w:tabs>
      <w:spacing w:line="360" w:lineRule="auto"/>
      <w:jc w:val="left"/>
      <w:outlineLvl w:val="3"/>
    </w:pPr>
    <w:rPr>
      <w:rFonts w:asciiTheme="minorHAnsi" w:hAnsiTheme="minorHAnsi" w:eastAsiaTheme="minorEastAsia" w:cstheme="minorBidi"/>
      <w:b/>
      <w:kern w:val="2"/>
      <w:sz w:val="24"/>
      <w:szCs w:val="24"/>
      <w:lang w:val="en-US" w:eastAsia="zh-CN" w:bidi="ar-SA"/>
    </w:rPr>
  </w:style>
  <w:style w:type="paragraph" w:customStyle="1" w:styleId="384">
    <w:name w:val="cucd-0"/>
    <w:next w:val="1"/>
    <w:link w:val="385"/>
    <w:autoRedefine/>
    <w:qFormat/>
    <w:uiPriority w:val="99"/>
    <w:pPr>
      <w:spacing w:line="360" w:lineRule="auto"/>
      <w:ind w:firstLine="480" w:firstLineChars="200"/>
      <w:jc w:val="left"/>
    </w:pPr>
    <w:rPr>
      <w:rFonts w:ascii="Calibri" w:hAnsi="Calibri" w:eastAsia="宋体" w:cs="Times New Roman"/>
      <w:kern w:val="2"/>
      <w:sz w:val="24"/>
      <w:szCs w:val="24"/>
      <w:lang w:val="en-US" w:eastAsia="zh-CN" w:bidi="ar-SA"/>
    </w:rPr>
  </w:style>
  <w:style w:type="character" w:customStyle="1" w:styleId="385">
    <w:name w:val="cucd-0 Char1"/>
    <w:link w:val="384"/>
    <w:autoRedefine/>
    <w:qFormat/>
    <w:locked/>
    <w:uiPriority w:val="99"/>
    <w:rPr>
      <w:rFonts w:ascii="Calibri" w:hAnsi="Calibri" w:eastAsia="宋体" w:cs="Times New Roman"/>
      <w:sz w:val="24"/>
      <w:szCs w:val="24"/>
    </w:rPr>
  </w:style>
  <w:style w:type="paragraph" w:customStyle="1" w:styleId="386">
    <w:name w:val="居中正文"/>
    <w:basedOn w:val="42"/>
    <w:next w:val="1"/>
    <w:autoRedefine/>
    <w:qFormat/>
    <w:uiPriority w:val="99"/>
    <w:pPr>
      <w:adjustRightInd w:val="0"/>
      <w:spacing w:before="120"/>
    </w:pPr>
    <w:rPr>
      <w:rFonts w:hAnsi="Calibri"/>
      <w:kern w:val="28"/>
    </w:rPr>
  </w:style>
  <w:style w:type="paragraph" w:customStyle="1" w:styleId="387">
    <w:name w:val="MTDisplayEquation"/>
    <w:basedOn w:val="3"/>
    <w:next w:val="1"/>
    <w:autoRedefine/>
    <w:qFormat/>
    <w:uiPriority w:val="99"/>
    <w:pPr>
      <w:keepNext w:val="0"/>
      <w:keepLines w:val="0"/>
      <w:tabs>
        <w:tab w:val="center" w:pos="4160"/>
        <w:tab w:val="right" w:pos="8300"/>
      </w:tabs>
      <w:spacing w:before="0" w:after="0" w:line="500" w:lineRule="atLeast"/>
      <w:ind w:firstLine="420" w:firstLineChars="200"/>
      <w:outlineLvl w:val="9"/>
    </w:pPr>
    <w:rPr>
      <w:rFonts w:ascii="宋体" w:hAnsi="宋体"/>
      <w:bCs w:val="0"/>
      <w:kern w:val="2"/>
      <w:sz w:val="24"/>
      <w:szCs w:val="24"/>
    </w:rPr>
  </w:style>
  <w:style w:type="paragraph" w:customStyle="1" w:styleId="388">
    <w:name w:val="font11"/>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color w:val="000000"/>
      <w:kern w:val="0"/>
      <w:sz w:val="18"/>
      <w:szCs w:val="18"/>
    </w:rPr>
  </w:style>
  <w:style w:type="paragraph" w:customStyle="1" w:styleId="389">
    <w:name w:val="正文 + 首行缩进:  2 字符"/>
    <w:basedOn w:val="3"/>
    <w:next w:val="1"/>
    <w:autoRedefine/>
    <w:qFormat/>
    <w:uiPriority w:val="99"/>
    <w:pPr>
      <w:keepNext w:val="0"/>
      <w:keepLines w:val="0"/>
      <w:spacing w:before="0" w:after="0" w:line="460" w:lineRule="atLeast"/>
      <w:ind w:firstLine="528" w:firstLineChars="200"/>
      <w:outlineLvl w:val="9"/>
    </w:pPr>
    <w:rPr>
      <w:bCs w:val="0"/>
      <w:spacing w:val="12"/>
      <w:kern w:val="2"/>
      <w:sz w:val="24"/>
      <w:szCs w:val="20"/>
    </w:rPr>
  </w:style>
  <w:style w:type="paragraph" w:customStyle="1" w:styleId="390">
    <w:name w:val="a3"/>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bCs w:val="0"/>
      <w:color w:val="000000"/>
      <w:kern w:val="0"/>
      <w:sz w:val="24"/>
      <w:szCs w:val="20"/>
    </w:rPr>
  </w:style>
  <w:style w:type="paragraph" w:customStyle="1" w:styleId="391">
    <w:name w:val="样式 标题 2节 + 行距: 多倍行距 0.5 字行"/>
    <w:basedOn w:val="4"/>
    <w:next w:val="1"/>
    <w:autoRedefine/>
    <w:qFormat/>
    <w:uiPriority w:val="99"/>
    <w:pPr>
      <w:spacing w:before="0" w:after="80" w:line="300" w:lineRule="auto"/>
      <w:ind w:left="576" w:hanging="576" w:firstLineChars="177"/>
    </w:pPr>
    <w:rPr>
      <w:rFonts w:ascii="Arial" w:hAnsi="Arial" w:eastAsia="宋体" w:cs="黑体"/>
      <w:sz w:val="28"/>
      <w:szCs w:val="28"/>
    </w:rPr>
  </w:style>
  <w:style w:type="paragraph" w:customStyle="1" w:styleId="392">
    <w:name w:val="样式3"/>
    <w:basedOn w:val="5"/>
    <w:next w:val="1"/>
    <w:autoRedefine/>
    <w:qFormat/>
    <w:uiPriority w:val="99"/>
    <w:pPr>
      <w:keepNext w:val="0"/>
      <w:keepLines w:val="0"/>
      <w:tabs>
        <w:tab w:val="left" w:pos="3930"/>
        <w:tab w:val="left" w:pos="5775"/>
      </w:tabs>
      <w:snapToGrid w:val="0"/>
      <w:spacing w:before="240" w:after="0" w:line="240" w:lineRule="auto"/>
      <w:outlineLvl w:val="9"/>
    </w:pPr>
    <w:rPr>
      <w:rFonts w:ascii="楷体_GB2312" w:hAnsi="Times New Roman" w:eastAsia="黑体" w:cs="Times New Roman"/>
      <w:color w:val="000000"/>
      <w:kern w:val="0"/>
      <w:sz w:val="28"/>
      <w:szCs w:val="20"/>
    </w:rPr>
  </w:style>
  <w:style w:type="character" w:customStyle="1" w:styleId="393">
    <w:name w:val="段落1 Char Char1"/>
    <w:link w:val="394"/>
    <w:autoRedefine/>
    <w:qFormat/>
    <w:locked/>
    <w:uiPriority w:val="0"/>
    <w:rPr>
      <w:rFonts w:ascii="宋体" w:hAnsi="宋体" w:eastAsia="宋体"/>
      <w:spacing w:val="8"/>
      <w:sz w:val="24"/>
    </w:rPr>
  </w:style>
  <w:style w:type="paragraph" w:customStyle="1" w:styleId="394">
    <w:name w:val="段落1 Char"/>
    <w:basedOn w:val="3"/>
    <w:next w:val="1"/>
    <w:link w:val="393"/>
    <w:autoRedefine/>
    <w:qFormat/>
    <w:uiPriority w:val="0"/>
    <w:pPr>
      <w:keepNext w:val="0"/>
      <w:keepLines w:val="0"/>
      <w:adjustRightInd w:val="0"/>
      <w:spacing w:before="0" w:after="0" w:line="440" w:lineRule="exact"/>
      <w:ind w:firstLine="200" w:firstLineChars="200"/>
      <w:outlineLvl w:val="9"/>
    </w:pPr>
    <w:rPr>
      <w:rFonts w:ascii="宋体" w:hAnsi="宋体" w:cstheme="minorBidi"/>
      <w:bCs w:val="0"/>
      <w:spacing w:val="8"/>
      <w:kern w:val="2"/>
      <w:sz w:val="24"/>
      <w:szCs w:val="22"/>
    </w:rPr>
  </w:style>
  <w:style w:type="paragraph" w:customStyle="1" w:styleId="395">
    <w:name w:val="xl36"/>
    <w:basedOn w:val="3"/>
    <w:next w:val="1"/>
    <w:autoRedefine/>
    <w:qFormat/>
    <w:uiPriority w:val="99"/>
    <w:pPr>
      <w:keepNext w:val="0"/>
      <w:keepLines w:val="0"/>
      <w:widowControl/>
      <w:pBdr>
        <w:bottom w:val="single" w:color="auto" w:sz="4" w:space="0"/>
        <w:right w:val="single" w:color="auto" w:sz="4" w:space="0"/>
      </w:pBdr>
      <w:spacing w:before="100" w:beforeAutospacing="1" w:after="100" w:afterAutospacing="1" w:line="500" w:lineRule="atLeast"/>
      <w:ind w:firstLine="425" w:firstLineChars="177"/>
      <w:outlineLvl w:val="9"/>
    </w:pPr>
    <w:rPr>
      <w:rFonts w:ascii="楷体_GB2312" w:hAnsi="Arial Unicode MS" w:eastAsia="楷体_GB2312"/>
      <w:bCs w:val="0"/>
      <w:kern w:val="0"/>
      <w:sz w:val="24"/>
      <w:szCs w:val="24"/>
    </w:rPr>
  </w:style>
  <w:style w:type="character" w:customStyle="1" w:styleId="396">
    <w:name w:val="正文(首行缩进)宋旭峰 Char Char"/>
    <w:link w:val="397"/>
    <w:autoRedefine/>
    <w:qFormat/>
    <w:locked/>
    <w:uiPriority w:val="0"/>
    <w:rPr>
      <w:snapToGrid w:val="0"/>
      <w:sz w:val="24"/>
      <w:szCs w:val="24"/>
    </w:rPr>
  </w:style>
  <w:style w:type="paragraph" w:customStyle="1" w:styleId="397">
    <w:name w:val="正文(首行缩进)宋旭峰"/>
    <w:basedOn w:val="14"/>
    <w:next w:val="1"/>
    <w:link w:val="396"/>
    <w:autoRedefine/>
    <w:qFormat/>
    <w:uiPriority w:val="0"/>
    <w:pPr>
      <w:adjustRightInd/>
      <w:spacing w:line="360" w:lineRule="auto"/>
      <w:ind w:firstLine="480" w:firstLineChars="177"/>
      <w:contextualSpacing/>
    </w:pPr>
    <w:rPr>
      <w:rFonts w:asciiTheme="minorHAnsi" w:eastAsiaTheme="minorEastAsia"/>
      <w:snapToGrid w:val="0"/>
      <w:sz w:val="24"/>
    </w:rPr>
  </w:style>
  <w:style w:type="paragraph" w:customStyle="1" w:styleId="398">
    <w:name w:val="标准"/>
    <w:basedOn w:val="3"/>
    <w:next w:val="1"/>
    <w:autoRedefine/>
    <w:qFormat/>
    <w:uiPriority w:val="99"/>
    <w:pPr>
      <w:keepLines w:val="0"/>
      <w:adjustRightInd w:val="0"/>
      <w:snapToGrid w:val="0"/>
      <w:spacing w:before="0" w:after="0" w:line="312" w:lineRule="atLeast"/>
      <w:ind w:firstLine="590" w:firstLineChars="177"/>
      <w:outlineLvl w:val="9"/>
    </w:pPr>
    <w:rPr>
      <w:bCs w:val="0"/>
      <w:kern w:val="0"/>
      <w:sz w:val="28"/>
      <w:szCs w:val="20"/>
    </w:rPr>
  </w:style>
  <w:style w:type="paragraph" w:customStyle="1" w:styleId="399">
    <w:name w:val="样式 正文文本缩进 + 行距: 固定值 24 磅"/>
    <w:basedOn w:val="20"/>
    <w:next w:val="1"/>
    <w:autoRedefine/>
    <w:qFormat/>
    <w:uiPriority w:val="99"/>
    <w:pPr>
      <w:adjustRightInd w:val="0"/>
      <w:snapToGrid w:val="0"/>
      <w:spacing w:line="360" w:lineRule="auto"/>
      <w:ind w:firstLine="560"/>
    </w:pPr>
    <w:rPr>
      <w:rFonts w:ascii="宋体" w:cs="宋体"/>
    </w:rPr>
  </w:style>
  <w:style w:type="paragraph" w:customStyle="1" w:styleId="400">
    <w:name w:val="表后空行"/>
    <w:basedOn w:val="3"/>
    <w:next w:val="1"/>
    <w:autoRedefine/>
    <w:qFormat/>
    <w:uiPriority w:val="99"/>
    <w:pPr>
      <w:keepNext w:val="0"/>
      <w:keepLines w:val="0"/>
      <w:overflowPunct w:val="0"/>
      <w:adjustRightInd w:val="0"/>
      <w:spacing w:before="0" w:after="0" w:line="500" w:lineRule="atLeast"/>
      <w:ind w:firstLine="425" w:firstLineChars="177"/>
      <w:outlineLvl w:val="9"/>
    </w:pPr>
    <w:rPr>
      <w:bCs w:val="0"/>
      <w:color w:val="000000"/>
      <w:kern w:val="28"/>
      <w:sz w:val="10"/>
      <w:szCs w:val="20"/>
    </w:rPr>
  </w:style>
  <w:style w:type="paragraph" w:customStyle="1" w:styleId="401">
    <w:name w:val="xl37"/>
    <w:basedOn w:val="3"/>
    <w:next w:val="1"/>
    <w:autoRedefine/>
    <w:qFormat/>
    <w:uiPriority w:val="99"/>
    <w:pPr>
      <w:keepNext w:val="0"/>
      <w:keepLines w:val="0"/>
      <w:widowControl/>
      <w:pBdr>
        <w:bottom w:val="single" w:color="auto" w:sz="8"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character" w:customStyle="1" w:styleId="402">
    <w:name w:val="正文样式10 Char"/>
    <w:link w:val="403"/>
    <w:autoRedefine/>
    <w:qFormat/>
    <w:locked/>
    <w:uiPriority w:val="0"/>
    <w:rPr>
      <w:rFonts w:ascii="宋体" w:hAnsi="宋体" w:eastAsia="宋体" w:cs="Arial"/>
      <w:bCs/>
      <w:color w:val="FF00FF"/>
      <w:sz w:val="24"/>
      <w:lang w:val="zh-CN"/>
    </w:rPr>
  </w:style>
  <w:style w:type="paragraph" w:customStyle="1" w:styleId="403">
    <w:name w:val="正文样式10"/>
    <w:basedOn w:val="3"/>
    <w:next w:val="1"/>
    <w:link w:val="402"/>
    <w:autoRedefine/>
    <w:qFormat/>
    <w:uiPriority w:val="0"/>
    <w:pPr>
      <w:keepNext w:val="0"/>
      <w:keepLines w:val="0"/>
      <w:spacing w:before="0" w:after="0" w:line="500" w:lineRule="exact"/>
      <w:ind w:firstLine="480" w:firstLineChars="200"/>
      <w:outlineLvl w:val="9"/>
    </w:pPr>
    <w:rPr>
      <w:rFonts w:ascii="宋体" w:hAnsi="宋体" w:cs="Arial"/>
      <w:color w:val="FF00FF"/>
      <w:kern w:val="2"/>
      <w:sz w:val="24"/>
      <w:szCs w:val="22"/>
      <w:lang w:val="zh-CN"/>
    </w:rPr>
  </w:style>
  <w:style w:type="paragraph" w:customStyle="1" w:styleId="404">
    <w:name w:val="15"/>
    <w:basedOn w:val="3"/>
    <w:next w:val="1"/>
    <w:autoRedefine/>
    <w:qFormat/>
    <w:uiPriority w:val="99"/>
    <w:pPr>
      <w:keepNext w:val="0"/>
      <w:keepLines w:val="0"/>
      <w:widowControl/>
      <w:snapToGrid w:val="0"/>
      <w:spacing w:before="100" w:beforeAutospacing="1" w:after="100" w:afterAutospacing="1" w:line="500" w:lineRule="atLeast"/>
      <w:ind w:firstLine="425" w:firstLineChars="177"/>
      <w:jc w:val="left"/>
      <w:outlineLvl w:val="9"/>
    </w:pPr>
    <w:rPr>
      <w:bCs w:val="0"/>
      <w:kern w:val="0"/>
      <w:sz w:val="20"/>
      <w:szCs w:val="20"/>
    </w:rPr>
  </w:style>
  <w:style w:type="paragraph" w:customStyle="1" w:styleId="405">
    <w:name w:val="标准正文"/>
    <w:basedOn w:val="3"/>
    <w:next w:val="1"/>
    <w:autoRedefine/>
    <w:qFormat/>
    <w:uiPriority w:val="99"/>
    <w:pPr>
      <w:keepNext w:val="0"/>
      <w:keepLines w:val="0"/>
      <w:spacing w:before="0" w:after="0" w:line="400" w:lineRule="exact"/>
      <w:ind w:firstLine="480" w:firstLineChars="177"/>
      <w:outlineLvl w:val="9"/>
    </w:pPr>
    <w:rPr>
      <w:bCs w:val="0"/>
      <w:kern w:val="2"/>
      <w:sz w:val="24"/>
      <w:szCs w:val="20"/>
    </w:rPr>
  </w:style>
  <w:style w:type="paragraph" w:customStyle="1" w:styleId="406">
    <w:name w:val="Char Char1 Char Char Char Char Char Char Char Char Char Char Char Char Char Char Char Char Char Char Char Char1 Char"/>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407">
    <w:name w:val="样式 表格文字 + 首行缩进:  2 字符"/>
    <w:basedOn w:val="210"/>
    <w:next w:val="1"/>
    <w:autoRedefine/>
    <w:qFormat/>
    <w:uiPriority w:val="99"/>
    <w:pPr>
      <w:adjustRightInd w:val="0"/>
      <w:snapToGrid w:val="0"/>
    </w:pPr>
    <w:rPr>
      <w:rFonts w:hAnsi="MS Shell Dlg"/>
      <w:kern w:val="0"/>
      <w:szCs w:val="20"/>
    </w:rPr>
  </w:style>
  <w:style w:type="paragraph" w:customStyle="1" w:styleId="408">
    <w:name w:val="xl29"/>
    <w:basedOn w:val="3"/>
    <w:next w:val="1"/>
    <w:autoRedefine/>
    <w:qFormat/>
    <w:uiPriority w:val="99"/>
    <w:pPr>
      <w:keepNext w:val="0"/>
      <w:keepLines w:val="0"/>
      <w:widowControl/>
      <w:pBdr>
        <w:left w:val="single" w:color="auto" w:sz="4" w:space="0"/>
        <w:bottom w:val="single" w:color="auto" w:sz="4" w:space="0"/>
      </w:pBdr>
      <w:spacing w:before="100" w:beforeAutospacing="1" w:after="100" w:afterAutospacing="1" w:line="500" w:lineRule="atLeast"/>
      <w:ind w:firstLine="425" w:firstLineChars="177"/>
      <w:jc w:val="center"/>
      <w:outlineLvl w:val="9"/>
    </w:pPr>
    <w:rPr>
      <w:rFonts w:ascii="宋体" w:hAnsi="宋体"/>
      <w:bCs w:val="0"/>
      <w:kern w:val="0"/>
      <w:sz w:val="24"/>
      <w:szCs w:val="24"/>
    </w:rPr>
  </w:style>
  <w:style w:type="paragraph" w:customStyle="1" w:styleId="409">
    <w:name w:val="xl22"/>
    <w:basedOn w:val="3"/>
    <w:next w:val="1"/>
    <w:autoRedefine/>
    <w:qFormat/>
    <w:uiPriority w:val="99"/>
    <w:pPr>
      <w:keepNext w:val="0"/>
      <w:keepLines w:val="0"/>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410">
    <w:name w:val="xl55"/>
    <w:basedOn w:val="3"/>
    <w:next w:val="1"/>
    <w:autoRedefine/>
    <w:qFormat/>
    <w:uiPriority w:val="99"/>
    <w:pPr>
      <w:keepNext w:val="0"/>
      <w:keepLines w:val="0"/>
      <w:widowControl/>
      <w:pBdr>
        <w:left w:val="single" w:color="auto" w:sz="12" w:space="0"/>
        <w:bottom w:val="single" w:color="auto" w:sz="8" w:space="0"/>
        <w:right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411">
    <w:name w:val="xl53"/>
    <w:basedOn w:val="3"/>
    <w:next w:val="1"/>
    <w:autoRedefine/>
    <w:qFormat/>
    <w:uiPriority w:val="99"/>
    <w:pPr>
      <w:keepNext w:val="0"/>
      <w:keepLines w:val="0"/>
      <w:widowControl/>
      <w:pBdr>
        <w:left w:val="single" w:color="auto" w:sz="8" w:space="0"/>
        <w:bottom w:val="single" w:color="auto" w:sz="8" w:space="0"/>
        <w:right w:val="single" w:color="auto" w:sz="12"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412">
    <w:name w:val="正文段落"/>
    <w:next w:val="1"/>
    <w:autoRedefine/>
    <w:qFormat/>
    <w:uiPriority w:val="99"/>
    <w:pPr>
      <w:spacing w:beforeLines="50" w:line="240" w:lineRule="auto"/>
      <w:ind w:firstLine="505" w:firstLineChars="200"/>
      <w:jc w:val="left"/>
    </w:pPr>
    <w:rPr>
      <w:rFonts w:ascii="Times New Roman" w:hAnsi="Times New Roman" w:eastAsia="宋体" w:cs="Times New Roman"/>
      <w:kern w:val="2"/>
      <w:sz w:val="24"/>
      <w:szCs w:val="20"/>
      <w:lang w:val="en-US" w:eastAsia="zh-CN" w:bidi="ar-SA"/>
    </w:rPr>
  </w:style>
  <w:style w:type="paragraph" w:customStyle="1" w:styleId="413">
    <w:name w:val="textstyle1"/>
    <w:basedOn w:val="3"/>
    <w:next w:val="1"/>
    <w:autoRedefine/>
    <w:qFormat/>
    <w:uiPriority w:val="99"/>
    <w:pPr>
      <w:keepNext w:val="0"/>
      <w:keepLines w:val="0"/>
      <w:widowControl/>
      <w:numPr>
        <w:ilvl w:val="0"/>
        <w:numId w:val="4"/>
      </w:numPr>
      <w:overflowPunct w:val="0"/>
      <w:autoSpaceDE w:val="0"/>
      <w:autoSpaceDN w:val="0"/>
      <w:adjustRightInd w:val="0"/>
      <w:spacing w:before="120" w:after="0" w:line="500" w:lineRule="atLeast"/>
      <w:ind w:left="288" w:firstLine="432" w:firstLineChars="177"/>
      <w:outlineLvl w:val="9"/>
    </w:pPr>
    <w:rPr>
      <w:rFonts w:ascii="楷体" w:eastAsia="楷体"/>
      <w:bCs w:val="0"/>
      <w:kern w:val="0"/>
      <w:sz w:val="24"/>
      <w:szCs w:val="20"/>
    </w:rPr>
  </w:style>
  <w:style w:type="paragraph" w:customStyle="1" w:styleId="414">
    <w:name w:val="正文文本 31"/>
    <w:basedOn w:val="3"/>
    <w:next w:val="1"/>
    <w:autoRedefine/>
    <w:qFormat/>
    <w:uiPriority w:val="99"/>
    <w:pPr>
      <w:keepNext w:val="0"/>
      <w:keepLines w:val="0"/>
      <w:adjustRightInd w:val="0"/>
      <w:spacing w:before="0" w:after="0" w:line="360" w:lineRule="atLeast"/>
      <w:ind w:firstLine="425" w:firstLineChars="177"/>
      <w:jc w:val="center"/>
      <w:outlineLvl w:val="9"/>
    </w:pPr>
    <w:rPr>
      <w:rFonts w:ascii="仿宋体" w:hAnsi="宋体" w:eastAsia="仿宋体"/>
      <w:bCs w:val="0"/>
      <w:kern w:val="0"/>
      <w:sz w:val="24"/>
      <w:szCs w:val="20"/>
    </w:rPr>
  </w:style>
  <w:style w:type="paragraph" w:customStyle="1" w:styleId="415">
    <w:name w:val="样式 Char"/>
    <w:basedOn w:val="3"/>
    <w:next w:val="1"/>
    <w:autoRedefine/>
    <w:qFormat/>
    <w:uiPriority w:val="99"/>
    <w:pPr>
      <w:keepNext w:val="0"/>
      <w:keepLines w:val="0"/>
      <w:spacing w:before="0" w:after="0" w:line="500" w:lineRule="atLeast"/>
      <w:ind w:firstLine="425" w:firstLineChars="177"/>
      <w:outlineLvl w:val="9"/>
    </w:pPr>
    <w:rPr>
      <w:bCs w:val="0"/>
      <w:kern w:val="2"/>
      <w:sz w:val="24"/>
      <w:szCs w:val="21"/>
    </w:rPr>
  </w:style>
  <w:style w:type="paragraph" w:customStyle="1" w:styleId="416">
    <w:name w:val="xl52"/>
    <w:basedOn w:val="3"/>
    <w:next w:val="1"/>
    <w:autoRedefine/>
    <w:qFormat/>
    <w:uiPriority w:val="99"/>
    <w:pPr>
      <w:keepNext w:val="0"/>
      <w:keepLines w:val="0"/>
      <w:widowControl/>
      <w:pBdr>
        <w:top w:val="single" w:color="auto" w:sz="12" w:space="0"/>
        <w:left w:val="single" w:color="auto" w:sz="8" w:space="0"/>
        <w:right w:val="single" w:color="auto" w:sz="12"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417">
    <w:name w:val="表格1"/>
    <w:basedOn w:val="3"/>
    <w:next w:val="1"/>
    <w:autoRedefine/>
    <w:qFormat/>
    <w:uiPriority w:val="99"/>
    <w:pPr>
      <w:keepNext w:val="0"/>
      <w:keepLines w:val="0"/>
      <w:adjustRightInd w:val="0"/>
      <w:spacing w:before="0" w:after="120" w:line="20" w:lineRule="atLeast"/>
      <w:ind w:firstLine="425" w:firstLineChars="177"/>
      <w:jc w:val="center"/>
      <w:outlineLvl w:val="9"/>
    </w:pPr>
    <w:rPr>
      <w:rFonts w:ascii="仿宋体"/>
      <w:bCs w:val="0"/>
      <w:color w:val="000000"/>
      <w:kern w:val="0"/>
      <w:sz w:val="24"/>
      <w:szCs w:val="20"/>
    </w:rPr>
  </w:style>
  <w:style w:type="paragraph" w:customStyle="1" w:styleId="418">
    <w:name w:val="xl47"/>
    <w:basedOn w:val="3"/>
    <w:next w:val="1"/>
    <w:autoRedefine/>
    <w:qFormat/>
    <w:uiPriority w:val="99"/>
    <w:pPr>
      <w:keepNext w:val="0"/>
      <w:keepLines w:val="0"/>
      <w:widowControl/>
      <w:pBdr>
        <w:top w:val="single" w:color="auto" w:sz="8" w:space="0"/>
        <w:left w:val="single" w:color="auto" w:sz="12"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419">
    <w:name w:val="列出段落1"/>
    <w:basedOn w:val="3"/>
    <w:next w:val="1"/>
    <w:autoRedefine/>
    <w:qFormat/>
    <w:uiPriority w:val="99"/>
    <w:pPr>
      <w:keepNext w:val="0"/>
      <w:keepLines w:val="0"/>
      <w:widowControl/>
      <w:spacing w:before="0" w:after="0" w:line="500" w:lineRule="atLeast"/>
      <w:ind w:firstLine="420" w:firstLineChars="200"/>
      <w:jc w:val="left"/>
      <w:outlineLvl w:val="9"/>
    </w:pPr>
    <w:rPr>
      <w:bCs w:val="0"/>
      <w:kern w:val="0"/>
      <w:sz w:val="24"/>
      <w:szCs w:val="24"/>
    </w:rPr>
  </w:style>
  <w:style w:type="paragraph" w:customStyle="1" w:styleId="420">
    <w:name w:val="xl33"/>
    <w:basedOn w:val="3"/>
    <w:next w:val="1"/>
    <w:autoRedefine/>
    <w:qFormat/>
    <w:uiPriority w:val="99"/>
    <w:pPr>
      <w:keepNext w:val="0"/>
      <w:keepLines w:val="0"/>
      <w:widowControl/>
      <w:pBdr>
        <w:left w:val="single" w:color="auto" w:sz="12"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421">
    <w:name w:val="样式 标题 1 + 自动设置"/>
    <w:basedOn w:val="3"/>
    <w:next w:val="1"/>
    <w:autoRedefine/>
    <w:qFormat/>
    <w:uiPriority w:val="99"/>
    <w:pPr>
      <w:tabs>
        <w:tab w:val="left" w:pos="432"/>
        <w:tab w:val="left" w:pos="700"/>
        <w:tab w:val="left" w:pos="1860"/>
      </w:tabs>
      <w:autoSpaceDE w:val="0"/>
      <w:autoSpaceDN w:val="0"/>
      <w:adjustRightInd w:val="0"/>
      <w:spacing w:before="0" w:after="0" w:line="240" w:lineRule="auto"/>
      <w:ind w:left="1860" w:hanging="1290" w:firstLineChars="177"/>
      <w:jc w:val="left"/>
    </w:pPr>
    <w:rPr>
      <w:sz w:val="28"/>
      <w:szCs w:val="20"/>
    </w:rPr>
  </w:style>
  <w:style w:type="paragraph" w:customStyle="1" w:styleId="422">
    <w:name w:val="页脚1"/>
    <w:basedOn w:val="150"/>
    <w:next w:val="1"/>
    <w:autoRedefine/>
    <w:qFormat/>
    <w:uiPriority w:val="99"/>
    <w:pPr>
      <w:tabs>
        <w:tab w:val="center" w:pos="4153"/>
        <w:tab w:val="right" w:pos="8306"/>
      </w:tabs>
      <w:spacing w:line="240" w:lineRule="atLeast"/>
    </w:pPr>
    <w:rPr>
      <w:rFonts w:hAnsi="Calibri"/>
      <w:sz w:val="18"/>
      <w:szCs w:val="20"/>
    </w:rPr>
  </w:style>
  <w:style w:type="paragraph" w:customStyle="1" w:styleId="423">
    <w:name w:val="样式 样式 首行缩进:  2 字符 + 首行缩进:  2 字符"/>
    <w:basedOn w:val="3"/>
    <w:next w:val="1"/>
    <w:autoRedefine/>
    <w:qFormat/>
    <w:uiPriority w:val="99"/>
    <w:pPr>
      <w:keepNext w:val="0"/>
      <w:keepLines w:val="0"/>
      <w:spacing w:before="0" w:after="0" w:line="500" w:lineRule="atLeast"/>
      <w:ind w:firstLine="587" w:firstLineChars="200"/>
      <w:outlineLvl w:val="9"/>
    </w:pPr>
    <w:rPr>
      <w:rFonts w:ascii="宋体"/>
      <w:bCs w:val="0"/>
      <w:kern w:val="2"/>
      <w:sz w:val="27"/>
      <w:szCs w:val="27"/>
    </w:rPr>
  </w:style>
  <w:style w:type="paragraph" w:customStyle="1" w:styleId="424">
    <w:name w:val="xl44"/>
    <w:basedOn w:val="3"/>
    <w:next w:val="1"/>
    <w:autoRedefine/>
    <w:qFormat/>
    <w:uiPriority w:val="99"/>
    <w:pPr>
      <w:keepNext w:val="0"/>
      <w:keepLines w:val="0"/>
      <w:widowControl/>
      <w:pBdr>
        <w:left w:val="single" w:color="auto" w:sz="8" w:space="0"/>
        <w:bottom w:val="single" w:color="auto" w:sz="8"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425">
    <w:name w:val="正文王"/>
    <w:basedOn w:val="24"/>
    <w:next w:val="1"/>
    <w:autoRedefine/>
    <w:qFormat/>
    <w:uiPriority w:val="99"/>
    <w:pPr>
      <w:spacing w:line="440" w:lineRule="exact"/>
      <w:ind w:firstLine="425" w:firstLineChars="177"/>
    </w:pPr>
    <w:rPr>
      <w:rFonts w:ascii="Arial" w:hAnsi="Arial" w:cs="Times New Roman"/>
      <w:kern w:val="0"/>
      <w:sz w:val="24"/>
      <w:szCs w:val="24"/>
    </w:rPr>
  </w:style>
  <w:style w:type="paragraph" w:customStyle="1" w:styleId="426">
    <w:name w:val="表文左对齐"/>
    <w:basedOn w:val="308"/>
    <w:next w:val="1"/>
    <w:autoRedefine/>
    <w:qFormat/>
    <w:uiPriority w:val="99"/>
    <w:pPr>
      <w:spacing w:line="320" w:lineRule="exact"/>
      <w:ind w:firstLine="420"/>
      <w:jc w:val="left"/>
    </w:pPr>
    <w:rPr>
      <w:color w:val="000000"/>
      <w:szCs w:val="20"/>
    </w:rPr>
  </w:style>
  <w:style w:type="paragraph" w:customStyle="1" w:styleId="427">
    <w:name w:val="默认段落字体 Para Char"/>
    <w:basedOn w:val="3"/>
    <w:next w:val="1"/>
    <w:autoRedefine/>
    <w:qFormat/>
    <w:uiPriority w:val="99"/>
    <w:pPr>
      <w:keepNext w:val="0"/>
      <w:keepLines w:val="0"/>
      <w:spacing w:before="0" w:after="0" w:line="500" w:lineRule="atLeast"/>
      <w:ind w:firstLine="425" w:firstLineChars="177"/>
      <w:outlineLvl w:val="9"/>
    </w:pPr>
    <w:rPr>
      <w:rFonts w:ascii="宋体"/>
      <w:bCs w:val="0"/>
      <w:kern w:val="2"/>
      <w:sz w:val="28"/>
      <w:szCs w:val="24"/>
    </w:rPr>
  </w:style>
  <w:style w:type="paragraph" w:customStyle="1" w:styleId="428">
    <w:name w:val="xl30"/>
    <w:basedOn w:val="3"/>
    <w:next w:val="1"/>
    <w:autoRedefine/>
    <w:qFormat/>
    <w:uiPriority w:val="99"/>
    <w:pPr>
      <w:keepNext w:val="0"/>
      <w:keepLines w:val="0"/>
      <w:widowControl/>
      <w:pBdr>
        <w:left w:val="single" w:color="auto" w:sz="8" w:space="0"/>
        <w:bottom w:val="single" w:color="auto" w:sz="8" w:space="0"/>
        <w:right w:val="single" w:color="auto" w:sz="8" w:space="0"/>
      </w:pBdr>
      <w:spacing w:before="100" w:beforeAutospacing="1" w:after="100" w:afterAutospacing="1" w:line="500" w:lineRule="atLeast"/>
      <w:ind w:firstLine="425" w:firstLineChars="177"/>
      <w:jc w:val="center"/>
      <w:outlineLvl w:val="9"/>
    </w:pPr>
    <w:rPr>
      <w:rFonts w:ascii="宋体" w:hAnsi="宋体"/>
      <w:bCs w:val="0"/>
      <w:kern w:val="0"/>
      <w:sz w:val="24"/>
      <w:szCs w:val="21"/>
    </w:rPr>
  </w:style>
  <w:style w:type="paragraph" w:customStyle="1" w:styleId="429">
    <w:name w:val="段落"/>
    <w:basedOn w:val="3"/>
    <w:next w:val="1"/>
    <w:autoRedefine/>
    <w:qFormat/>
    <w:uiPriority w:val="99"/>
    <w:pPr>
      <w:keepNext w:val="0"/>
      <w:keepLines w:val="0"/>
      <w:adjustRightInd w:val="0"/>
      <w:snapToGrid w:val="0"/>
      <w:spacing w:before="0" w:after="0" w:line="280" w:lineRule="exact"/>
      <w:ind w:firstLine="425" w:firstLineChars="177"/>
      <w:outlineLvl w:val="9"/>
    </w:pPr>
    <w:rPr>
      <w:bCs w:val="0"/>
      <w:kern w:val="0"/>
      <w:sz w:val="18"/>
      <w:szCs w:val="20"/>
    </w:rPr>
  </w:style>
  <w:style w:type="paragraph" w:customStyle="1" w:styleId="430">
    <w:name w:val="样式 样式1 + 两端对齐 左侧:  0 厘米 首行缩进:  0 厘米"/>
    <w:basedOn w:val="3"/>
    <w:next w:val="1"/>
    <w:autoRedefine/>
    <w:qFormat/>
    <w:uiPriority w:val="99"/>
    <w:pPr>
      <w:pageBreakBefore/>
      <w:spacing w:before="240" w:after="120" w:line="500" w:lineRule="atLeast"/>
      <w:ind w:firstLine="425" w:firstLineChars="177"/>
      <w:jc w:val="center"/>
    </w:pPr>
    <w:rPr>
      <w:rFonts w:eastAsia="黑体" w:cs="宋体"/>
      <w:bCs w:val="0"/>
      <w:kern w:val="2"/>
      <w:sz w:val="36"/>
      <w:szCs w:val="24"/>
    </w:rPr>
  </w:style>
  <w:style w:type="character" w:customStyle="1" w:styleId="431">
    <w:name w:val="正文样式1 Char"/>
    <w:link w:val="432"/>
    <w:autoRedefine/>
    <w:qFormat/>
    <w:locked/>
    <w:uiPriority w:val="0"/>
    <w:rPr>
      <w:rFonts w:ascii="宋体" w:hAnsi="宋体" w:eastAsia="宋体"/>
      <w:sz w:val="24"/>
    </w:rPr>
  </w:style>
  <w:style w:type="paragraph" w:customStyle="1" w:styleId="432">
    <w:name w:val="正文样式1"/>
    <w:basedOn w:val="3"/>
    <w:next w:val="1"/>
    <w:link w:val="431"/>
    <w:autoRedefine/>
    <w:qFormat/>
    <w:uiPriority w:val="0"/>
    <w:pPr>
      <w:keepNext w:val="0"/>
      <w:keepLines w:val="0"/>
      <w:adjustRightInd w:val="0"/>
      <w:spacing w:before="0" w:after="0" w:line="240" w:lineRule="auto"/>
      <w:jc w:val="center"/>
      <w:outlineLvl w:val="9"/>
    </w:pPr>
    <w:rPr>
      <w:rFonts w:ascii="宋体" w:hAnsi="宋体" w:cstheme="minorBidi"/>
      <w:bCs w:val="0"/>
      <w:kern w:val="2"/>
      <w:sz w:val="24"/>
      <w:szCs w:val="22"/>
    </w:rPr>
  </w:style>
  <w:style w:type="paragraph" w:customStyle="1" w:styleId="433">
    <w:name w:val="8"/>
    <w:basedOn w:val="3"/>
    <w:next w:val="20"/>
    <w:autoRedefine/>
    <w:qFormat/>
    <w:uiPriority w:val="99"/>
    <w:pPr>
      <w:keepNext w:val="0"/>
      <w:keepLines w:val="0"/>
      <w:spacing w:before="0" w:after="0" w:line="400" w:lineRule="exact"/>
      <w:ind w:firstLine="516" w:firstLineChars="215"/>
      <w:outlineLvl w:val="9"/>
    </w:pPr>
    <w:rPr>
      <w:bCs w:val="0"/>
      <w:kern w:val="2"/>
      <w:sz w:val="24"/>
      <w:szCs w:val="24"/>
    </w:rPr>
  </w:style>
  <w:style w:type="character" w:customStyle="1" w:styleId="434">
    <w:name w:val="cucd-1 Char"/>
    <w:link w:val="435"/>
    <w:autoRedefine/>
    <w:qFormat/>
    <w:locked/>
    <w:uiPriority w:val="0"/>
    <w:rPr>
      <w:rFonts w:ascii="黑体" w:hAnsi="黑体" w:eastAsia="黑体"/>
      <w:b/>
      <w:sz w:val="36"/>
      <w:szCs w:val="24"/>
    </w:rPr>
  </w:style>
  <w:style w:type="paragraph" w:customStyle="1" w:styleId="435">
    <w:name w:val="cucd-1"/>
    <w:next w:val="348"/>
    <w:link w:val="434"/>
    <w:autoRedefine/>
    <w:qFormat/>
    <w:uiPriority w:val="0"/>
    <w:pPr>
      <w:pageBreakBefore/>
      <w:tabs>
        <w:tab w:val="left" w:pos="432"/>
      </w:tabs>
      <w:spacing w:beforeLines="100" w:line="360" w:lineRule="auto"/>
      <w:ind w:left="432" w:hanging="432"/>
      <w:jc w:val="center"/>
      <w:outlineLvl w:val="0"/>
    </w:pPr>
    <w:rPr>
      <w:rFonts w:ascii="黑体" w:hAnsi="黑体" w:eastAsia="黑体" w:cstheme="minorBidi"/>
      <w:b/>
      <w:kern w:val="2"/>
      <w:sz w:val="36"/>
      <w:szCs w:val="24"/>
      <w:lang w:val="en-US" w:eastAsia="zh-CN" w:bidi="ar-SA"/>
    </w:rPr>
  </w:style>
  <w:style w:type="paragraph" w:customStyle="1" w:styleId="436">
    <w:name w:val="Char Char Char Char Char Char1 Char Char Char Char"/>
    <w:basedOn w:val="3"/>
    <w:next w:val="1"/>
    <w:autoRedefine/>
    <w:qFormat/>
    <w:uiPriority w:val="99"/>
    <w:pPr>
      <w:keepNext w:val="0"/>
      <w:keepLines w:val="0"/>
      <w:spacing w:before="0" w:after="0" w:line="500" w:lineRule="atLeast"/>
      <w:ind w:firstLine="425" w:firstLineChars="177"/>
      <w:outlineLvl w:val="9"/>
    </w:pPr>
    <w:rPr>
      <w:bCs w:val="0"/>
      <w:kern w:val="2"/>
      <w:sz w:val="24"/>
      <w:szCs w:val="24"/>
    </w:rPr>
  </w:style>
  <w:style w:type="paragraph" w:customStyle="1" w:styleId="437">
    <w:name w:val="表内"/>
    <w:basedOn w:val="3"/>
    <w:next w:val="1"/>
    <w:autoRedefine/>
    <w:qFormat/>
    <w:uiPriority w:val="99"/>
    <w:pPr>
      <w:keepNext w:val="0"/>
      <w:keepLines w:val="0"/>
      <w:adjustRightInd w:val="0"/>
      <w:spacing w:before="0" w:after="0" w:line="500" w:lineRule="atLeast"/>
      <w:ind w:left="-78" w:leftChars="-38" w:hanging="2" w:hangingChars="1"/>
      <w:jc w:val="center"/>
      <w:outlineLvl w:val="9"/>
    </w:pPr>
    <w:rPr>
      <w:rFonts w:ascii="宋体" w:hAnsi="宋体"/>
      <w:bCs w:val="0"/>
      <w:color w:val="FF0000"/>
      <w:kern w:val="2"/>
      <w:sz w:val="24"/>
      <w:szCs w:val="20"/>
    </w:rPr>
  </w:style>
  <w:style w:type="paragraph" w:customStyle="1" w:styleId="438">
    <w:name w:val="a9cxsplast"/>
    <w:basedOn w:val="3"/>
    <w:next w:val="1"/>
    <w:autoRedefine/>
    <w:qFormat/>
    <w:uiPriority w:val="99"/>
    <w:pPr>
      <w:keepNext w:val="0"/>
      <w:keepLines w:val="0"/>
      <w:widowControl/>
      <w:snapToGrid w:val="0"/>
      <w:spacing w:before="0" w:after="120" w:line="360" w:lineRule="auto"/>
      <w:ind w:firstLine="480" w:firstLineChars="177"/>
      <w:outlineLvl w:val="9"/>
    </w:pPr>
    <w:rPr>
      <w:bCs w:val="0"/>
      <w:kern w:val="0"/>
      <w:sz w:val="24"/>
      <w:szCs w:val="24"/>
    </w:rPr>
  </w:style>
  <w:style w:type="paragraph" w:customStyle="1" w:styleId="439">
    <w:name w:val="Char2 Char Char Char Char Char Char"/>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440">
    <w:name w:val="y表格"/>
    <w:basedOn w:val="19"/>
    <w:next w:val="1"/>
    <w:autoRedefine/>
    <w:qFormat/>
    <w:uiPriority w:val="99"/>
    <w:pPr>
      <w:widowControl/>
      <w:adjustRightInd w:val="0"/>
      <w:snapToGrid w:val="0"/>
      <w:spacing w:after="0"/>
      <w:ind w:firstLine="425" w:firstLineChars="177"/>
      <w:jc w:val="center"/>
    </w:pPr>
    <w:rPr>
      <w:rFonts w:hint="eastAsia" w:ascii="宋体" w:hAnsi="宋体" w:cstheme="minorBidi"/>
      <w:sz w:val="24"/>
      <w:szCs w:val="20"/>
    </w:rPr>
  </w:style>
  <w:style w:type="paragraph" w:customStyle="1" w:styleId="441">
    <w:name w:val="表格文字（居中）"/>
    <w:basedOn w:val="3"/>
    <w:next w:val="1"/>
    <w:autoRedefine/>
    <w:qFormat/>
    <w:uiPriority w:val="99"/>
    <w:pPr>
      <w:keepNext w:val="0"/>
      <w:keepLines w:val="0"/>
      <w:spacing w:before="0" w:after="0" w:line="500" w:lineRule="atLeast"/>
      <w:ind w:firstLine="425" w:firstLineChars="177"/>
      <w:jc w:val="center"/>
      <w:outlineLvl w:val="9"/>
    </w:pPr>
    <w:rPr>
      <w:bCs w:val="0"/>
      <w:kern w:val="2"/>
      <w:sz w:val="24"/>
      <w:szCs w:val="21"/>
    </w:rPr>
  </w:style>
  <w:style w:type="paragraph" w:customStyle="1" w:styleId="442">
    <w:name w:val="样式 标题 3头 + 行距: 多倍行距 0.25 字行"/>
    <w:basedOn w:val="5"/>
    <w:next w:val="1"/>
    <w:autoRedefine/>
    <w:qFormat/>
    <w:uiPriority w:val="99"/>
    <w:pPr>
      <w:numPr>
        <w:ilvl w:val="0"/>
        <w:numId w:val="5"/>
      </w:numPr>
      <w:tabs>
        <w:tab w:val="left" w:pos="578"/>
        <w:tab w:val="clear" w:pos="360"/>
      </w:tabs>
      <w:spacing w:before="60" w:after="0" w:line="60" w:lineRule="auto"/>
      <w:ind w:left="578" w:hanging="578"/>
    </w:pPr>
    <w:rPr>
      <w:rFonts w:ascii="Times New Roman" w:hAnsi="Times New Roman" w:cs="黑体"/>
      <w:bCs/>
      <w:kern w:val="0"/>
      <w:sz w:val="28"/>
      <w:szCs w:val="28"/>
    </w:rPr>
  </w:style>
  <w:style w:type="paragraph" w:customStyle="1" w:styleId="443">
    <w:name w:val="Char Char Char Char Char Char Char Char1 Char Char Char Char Char Char Char"/>
    <w:basedOn w:val="3"/>
    <w:next w:val="1"/>
    <w:autoRedefine/>
    <w:qFormat/>
    <w:uiPriority w:val="99"/>
    <w:pPr>
      <w:keepNext w:val="0"/>
      <w:keepLines w:val="0"/>
      <w:snapToGrid w:val="0"/>
      <w:spacing w:before="0" w:after="0" w:line="360" w:lineRule="auto"/>
      <w:ind w:firstLine="200" w:firstLineChars="200"/>
      <w:outlineLvl w:val="9"/>
    </w:pPr>
    <w:rPr>
      <w:rFonts w:eastAsia="仿宋_GB2312"/>
      <w:bCs w:val="0"/>
      <w:kern w:val="2"/>
      <w:sz w:val="24"/>
      <w:szCs w:val="24"/>
    </w:rPr>
  </w:style>
  <w:style w:type="paragraph" w:customStyle="1" w:styleId="444">
    <w:name w:val="a"/>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宋体" w:hAnsi="宋体" w:cs="宋体"/>
      <w:bCs w:val="0"/>
      <w:kern w:val="0"/>
      <w:sz w:val="24"/>
      <w:szCs w:val="24"/>
    </w:rPr>
  </w:style>
  <w:style w:type="paragraph" w:customStyle="1" w:styleId="445">
    <w:name w:val="xl51"/>
    <w:basedOn w:val="3"/>
    <w:next w:val="1"/>
    <w:autoRedefine/>
    <w:qFormat/>
    <w:uiPriority w:val="99"/>
    <w:pPr>
      <w:keepNext w:val="0"/>
      <w:keepLines w:val="0"/>
      <w:widowControl/>
      <w:pBdr>
        <w:top w:val="single" w:color="auto" w:sz="12" w:space="0"/>
        <w:left w:val="single" w:color="auto" w:sz="8" w:space="0"/>
        <w:right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446">
    <w:name w:val="wtext"/>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Arial Unicode MS" w:hAnsi="Arial Unicode MS" w:eastAsia="Arial Unicode MS" w:cs="Arial Unicode MS"/>
      <w:bCs w:val="0"/>
      <w:kern w:val="0"/>
      <w:sz w:val="24"/>
      <w:szCs w:val="24"/>
    </w:rPr>
  </w:style>
  <w:style w:type="paragraph" w:customStyle="1" w:styleId="447">
    <w:name w:val="T表格"/>
    <w:basedOn w:val="61"/>
    <w:next w:val="61"/>
    <w:autoRedefine/>
    <w:qFormat/>
    <w:uiPriority w:val="99"/>
    <w:rPr>
      <w:rFonts w:hAnsi="Calibri"/>
      <w:sz w:val="21"/>
      <w:szCs w:val="22"/>
    </w:rPr>
  </w:style>
  <w:style w:type="character" w:customStyle="1" w:styleId="448">
    <w:name w:val="cauc-0 Char1"/>
    <w:link w:val="449"/>
    <w:autoRedefine/>
    <w:qFormat/>
    <w:locked/>
    <w:uiPriority w:val="0"/>
    <w:rPr>
      <w:sz w:val="24"/>
      <w:szCs w:val="24"/>
    </w:rPr>
  </w:style>
  <w:style w:type="paragraph" w:customStyle="1" w:styleId="449">
    <w:name w:val="cauc-0"/>
    <w:next w:val="1"/>
    <w:link w:val="448"/>
    <w:autoRedefine/>
    <w:qFormat/>
    <w:uiPriority w:val="0"/>
    <w:pPr>
      <w:spacing w:line="360" w:lineRule="auto"/>
      <w:ind w:firstLine="480" w:firstLineChars="200"/>
      <w:jc w:val="left"/>
    </w:pPr>
    <w:rPr>
      <w:rFonts w:asciiTheme="minorHAnsi" w:hAnsiTheme="minorHAnsi" w:eastAsiaTheme="minorEastAsia" w:cstheme="minorBidi"/>
      <w:kern w:val="2"/>
      <w:sz w:val="24"/>
      <w:szCs w:val="24"/>
      <w:lang w:val="en-US" w:eastAsia="zh-CN" w:bidi="ar-SA"/>
    </w:rPr>
  </w:style>
  <w:style w:type="paragraph" w:customStyle="1" w:styleId="450">
    <w:name w:val="保定正文"/>
    <w:basedOn w:val="3"/>
    <w:next w:val="1"/>
    <w:autoRedefine/>
    <w:qFormat/>
    <w:uiPriority w:val="99"/>
    <w:pPr>
      <w:keepNext w:val="0"/>
      <w:keepLines w:val="0"/>
      <w:snapToGrid w:val="0"/>
      <w:spacing w:before="0" w:after="0" w:line="360" w:lineRule="auto"/>
      <w:ind w:firstLine="200" w:firstLineChars="200"/>
      <w:outlineLvl w:val="9"/>
    </w:pPr>
    <w:rPr>
      <w:rFonts w:cs="宋体"/>
      <w:bCs w:val="0"/>
      <w:kern w:val="0"/>
      <w:sz w:val="24"/>
      <w:szCs w:val="20"/>
    </w:rPr>
  </w:style>
  <w:style w:type="paragraph" w:customStyle="1" w:styleId="451">
    <w:name w:val="a2"/>
    <w:basedOn w:val="3"/>
    <w:next w:val="1"/>
    <w:autoRedefine/>
    <w:qFormat/>
    <w:uiPriority w:val="99"/>
    <w:pPr>
      <w:keepNext w:val="0"/>
      <w:keepLines w:val="0"/>
      <w:widowControl/>
      <w:spacing w:before="120" w:after="0" w:line="360" w:lineRule="auto"/>
      <w:ind w:firstLine="425" w:firstLineChars="177"/>
      <w:jc w:val="center"/>
      <w:outlineLvl w:val="9"/>
    </w:pPr>
    <w:rPr>
      <w:rFonts w:ascii="黑体" w:eastAsia="黑体"/>
      <w:bCs w:val="0"/>
      <w:kern w:val="0"/>
      <w:sz w:val="24"/>
      <w:szCs w:val="21"/>
    </w:rPr>
  </w:style>
  <w:style w:type="paragraph" w:customStyle="1" w:styleId="452">
    <w:name w:val="样式 标题 3H3l3CT标题 3(节)h33rd levelHeading 3 - oldISO2sect1...1"/>
    <w:basedOn w:val="5"/>
    <w:next w:val="1"/>
    <w:autoRedefine/>
    <w:qFormat/>
    <w:uiPriority w:val="99"/>
    <w:pPr>
      <w:tabs>
        <w:tab w:val="left" w:pos="720"/>
      </w:tabs>
      <w:adjustRightInd w:val="0"/>
      <w:spacing w:before="100" w:after="0" w:line="360" w:lineRule="auto"/>
      <w:jc w:val="left"/>
    </w:pPr>
    <w:rPr>
      <w:rFonts w:ascii="Times New Roman" w:hAnsi="Times New Roman"/>
      <w:kern w:val="0"/>
      <w:sz w:val="28"/>
      <w:szCs w:val="20"/>
    </w:rPr>
  </w:style>
  <w:style w:type="paragraph" w:customStyle="1" w:styleId="453">
    <w:name w:val="悬挂式正文"/>
    <w:basedOn w:val="3"/>
    <w:next w:val="1"/>
    <w:autoRedefine/>
    <w:qFormat/>
    <w:uiPriority w:val="99"/>
    <w:pPr>
      <w:keepNext w:val="0"/>
      <w:keepLines w:val="0"/>
      <w:tabs>
        <w:tab w:val="center" w:pos="6804"/>
        <w:tab w:val="right" w:pos="7371"/>
      </w:tabs>
      <w:overflowPunct w:val="0"/>
      <w:adjustRightInd w:val="0"/>
      <w:spacing w:before="0" w:after="0" w:line="360" w:lineRule="auto"/>
      <w:ind w:left="1701" w:hanging="1134" w:firstLineChars="177"/>
      <w:outlineLvl w:val="9"/>
    </w:pPr>
    <w:rPr>
      <w:bCs w:val="0"/>
      <w:kern w:val="0"/>
      <w:sz w:val="28"/>
      <w:szCs w:val="20"/>
    </w:rPr>
  </w:style>
  <w:style w:type="paragraph" w:customStyle="1" w:styleId="454">
    <w:name w:val="表格名称"/>
    <w:basedOn w:val="3"/>
    <w:next w:val="1"/>
    <w:autoRedefine/>
    <w:qFormat/>
    <w:uiPriority w:val="99"/>
    <w:pPr>
      <w:tabs>
        <w:tab w:val="left" w:pos="720"/>
      </w:tabs>
      <w:spacing w:beforeLines="20" w:after="0" w:line="440" w:lineRule="exact"/>
      <w:ind w:firstLine="480" w:firstLineChars="177"/>
      <w:outlineLvl w:val="9"/>
    </w:pPr>
    <w:rPr>
      <w:rFonts w:eastAsia="黑体"/>
      <w:bCs w:val="0"/>
      <w:kern w:val="2"/>
      <w:sz w:val="24"/>
      <w:szCs w:val="20"/>
    </w:rPr>
  </w:style>
  <w:style w:type="paragraph" w:customStyle="1" w:styleId="455">
    <w:name w:val="xl45"/>
    <w:basedOn w:val="3"/>
    <w:next w:val="1"/>
    <w:autoRedefine/>
    <w:qFormat/>
    <w:uiPriority w:val="99"/>
    <w:pPr>
      <w:keepNext w:val="0"/>
      <w:keepLines w:val="0"/>
      <w:widowControl/>
      <w:pBdr>
        <w:top w:val="single" w:color="auto" w:sz="8" w:space="0"/>
        <w:left w:val="single" w:color="auto" w:sz="8" w:space="0"/>
        <w:right w:val="single" w:color="auto" w:sz="12"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456">
    <w:name w:val="样式 首行缩进:  0.77 厘米 行距: 固定值 20 磅"/>
    <w:basedOn w:val="3"/>
    <w:next w:val="1"/>
    <w:autoRedefine/>
    <w:qFormat/>
    <w:uiPriority w:val="99"/>
    <w:pPr>
      <w:keepNext w:val="0"/>
      <w:keepLines w:val="0"/>
      <w:spacing w:before="0" w:after="0" w:line="360" w:lineRule="auto"/>
      <w:ind w:firstLine="435" w:firstLineChars="177"/>
      <w:outlineLvl w:val="9"/>
    </w:pPr>
    <w:rPr>
      <w:bCs w:val="0"/>
      <w:kern w:val="2"/>
      <w:sz w:val="24"/>
      <w:szCs w:val="20"/>
    </w:rPr>
  </w:style>
  <w:style w:type="character" w:customStyle="1" w:styleId="457">
    <w:name w:val="l_text Char"/>
    <w:link w:val="458"/>
    <w:autoRedefine/>
    <w:qFormat/>
    <w:locked/>
    <w:uiPriority w:val="0"/>
    <w:rPr>
      <w:rFonts w:ascii="宋体" w:hAnsi="宋体" w:eastAsia="宋体"/>
      <w:sz w:val="28"/>
      <w:szCs w:val="28"/>
      <w:lang w:val="en-GB"/>
    </w:rPr>
  </w:style>
  <w:style w:type="paragraph" w:customStyle="1" w:styleId="458">
    <w:name w:val="l_text"/>
    <w:basedOn w:val="3"/>
    <w:next w:val="1"/>
    <w:link w:val="457"/>
    <w:autoRedefine/>
    <w:qFormat/>
    <w:uiPriority w:val="0"/>
    <w:pPr>
      <w:keepNext w:val="0"/>
      <w:keepLines w:val="0"/>
      <w:widowControl/>
      <w:overflowPunct w:val="0"/>
      <w:autoSpaceDE w:val="0"/>
      <w:autoSpaceDN w:val="0"/>
      <w:adjustRightInd w:val="0"/>
      <w:spacing w:before="0" w:after="0" w:line="480" w:lineRule="exact"/>
      <w:ind w:firstLine="567" w:firstLineChars="177"/>
      <w:outlineLvl w:val="9"/>
    </w:pPr>
    <w:rPr>
      <w:rFonts w:ascii="宋体" w:hAnsi="宋体" w:cstheme="minorBidi"/>
      <w:bCs w:val="0"/>
      <w:kern w:val="2"/>
      <w:sz w:val="28"/>
      <w:szCs w:val="28"/>
      <w:lang w:val="en-GB"/>
    </w:rPr>
  </w:style>
  <w:style w:type="paragraph" w:customStyle="1" w:styleId="459">
    <w:name w:val="一级条标题"/>
    <w:basedOn w:val="3"/>
    <w:next w:val="1"/>
    <w:autoRedefine/>
    <w:qFormat/>
    <w:uiPriority w:val="99"/>
    <w:pPr>
      <w:keepNext w:val="0"/>
      <w:keepLines w:val="0"/>
      <w:widowControl/>
      <w:tabs>
        <w:tab w:val="left" w:pos="360"/>
      </w:tabs>
      <w:spacing w:before="0" w:after="0" w:line="500" w:lineRule="atLeast"/>
      <w:ind w:left="360" w:hanging="360" w:hangingChars="200"/>
      <w:outlineLvl w:val="2"/>
    </w:pPr>
    <w:rPr>
      <w:rFonts w:ascii="黑体" w:eastAsia="黑体"/>
      <w:bCs w:val="0"/>
      <w:kern w:val="0"/>
      <w:sz w:val="24"/>
      <w:szCs w:val="20"/>
    </w:rPr>
  </w:style>
  <w:style w:type="paragraph" w:customStyle="1" w:styleId="460">
    <w:name w:val="7"/>
    <w:basedOn w:val="3"/>
    <w:next w:val="20"/>
    <w:autoRedefine/>
    <w:qFormat/>
    <w:uiPriority w:val="99"/>
    <w:pPr>
      <w:keepNext w:val="0"/>
      <w:keepLines w:val="0"/>
      <w:spacing w:before="0" w:after="0" w:line="400" w:lineRule="exact"/>
      <w:ind w:firstLine="516" w:firstLineChars="215"/>
      <w:outlineLvl w:val="9"/>
    </w:pPr>
    <w:rPr>
      <w:bCs w:val="0"/>
      <w:kern w:val="2"/>
      <w:sz w:val="24"/>
      <w:szCs w:val="24"/>
    </w:rPr>
  </w:style>
  <w:style w:type="paragraph" w:customStyle="1" w:styleId="461">
    <w:name w:val="图标1"/>
    <w:next w:val="1"/>
    <w:autoRedefine/>
    <w:qFormat/>
    <w:uiPriority w:val="99"/>
    <w:pPr>
      <w:spacing w:line="0" w:lineRule="atLeast"/>
      <w:jc w:val="center"/>
    </w:pPr>
    <w:rPr>
      <w:rFonts w:ascii="Times New Roman" w:hAnsi="Times New Roman" w:eastAsia="宋体" w:cs="Times New Roman"/>
      <w:kern w:val="2"/>
      <w:sz w:val="21"/>
      <w:szCs w:val="20"/>
      <w:lang w:val="en-US" w:eastAsia="zh-CN" w:bidi="ar-SA"/>
    </w:rPr>
  </w:style>
  <w:style w:type="paragraph" w:customStyle="1" w:styleId="462">
    <w:name w:val="EIA标题3"/>
    <w:basedOn w:val="5"/>
    <w:next w:val="1"/>
    <w:autoRedefine/>
    <w:qFormat/>
    <w:uiPriority w:val="99"/>
    <w:pPr>
      <w:tabs>
        <w:tab w:val="left" w:pos="720"/>
      </w:tabs>
      <w:spacing w:beforeLines="50" w:afterLines="50" w:line="440" w:lineRule="exact"/>
    </w:pPr>
    <w:rPr>
      <w:rFonts w:ascii="Times New Roman" w:hAnsi="Times New Roman" w:eastAsia="楷体_GB2312" w:cs="Times New Roman"/>
      <w:color w:val="000000"/>
      <w:kern w:val="0"/>
      <w:sz w:val="24"/>
      <w:szCs w:val="20"/>
    </w:rPr>
  </w:style>
  <w:style w:type="paragraph" w:customStyle="1" w:styleId="463">
    <w:name w:val="法规列表"/>
    <w:basedOn w:val="3"/>
    <w:next w:val="1"/>
    <w:autoRedefine/>
    <w:qFormat/>
    <w:uiPriority w:val="99"/>
    <w:pPr>
      <w:keepNext w:val="0"/>
      <w:keepLines w:val="0"/>
      <w:tabs>
        <w:tab w:val="left" w:pos="420"/>
      </w:tabs>
      <w:spacing w:beforeLines="50" w:after="0" w:line="500" w:lineRule="atLeast"/>
      <w:ind w:left="432" w:hanging="432" w:firstLineChars="177"/>
      <w:outlineLvl w:val="9"/>
    </w:pPr>
    <w:rPr>
      <w:rFonts w:eastAsia="仿宋_GB2312"/>
      <w:bCs w:val="0"/>
      <w:kern w:val="2"/>
      <w:sz w:val="24"/>
      <w:szCs w:val="20"/>
    </w:rPr>
  </w:style>
  <w:style w:type="paragraph" w:customStyle="1" w:styleId="464">
    <w:name w:val="个人情况"/>
    <w:basedOn w:val="19"/>
    <w:next w:val="1"/>
    <w:autoRedefine/>
    <w:qFormat/>
    <w:uiPriority w:val="99"/>
    <w:pPr>
      <w:widowControl/>
      <w:overflowPunct w:val="0"/>
      <w:autoSpaceDE w:val="0"/>
      <w:autoSpaceDN w:val="0"/>
      <w:adjustRightInd w:val="0"/>
      <w:spacing w:after="160"/>
      <w:ind w:firstLine="425" w:firstLineChars="177"/>
      <w:jc w:val="left"/>
    </w:pPr>
    <w:rPr>
      <w:rFonts w:hint="eastAsia" w:hAnsiTheme="minorHAnsi" w:cstheme="minorBidi"/>
      <w:sz w:val="20"/>
      <w:szCs w:val="20"/>
    </w:rPr>
  </w:style>
  <w:style w:type="paragraph" w:customStyle="1" w:styleId="465">
    <w:name w:val="河石管道 表格正文"/>
    <w:next w:val="1"/>
    <w:autoRedefine/>
    <w:qFormat/>
    <w:uiPriority w:val="99"/>
    <w:pPr>
      <w:spacing w:line="240" w:lineRule="auto"/>
      <w:jc w:val="center"/>
    </w:pPr>
    <w:rPr>
      <w:rFonts w:ascii="Times New Roman" w:hAnsi="Times New Roman" w:eastAsia="宋体" w:cs="Times New Roman"/>
      <w:kern w:val="2"/>
      <w:sz w:val="18"/>
      <w:szCs w:val="21"/>
      <w:lang w:val="en-US" w:eastAsia="zh-CN" w:bidi="ar-SA"/>
    </w:rPr>
  </w:style>
  <w:style w:type="paragraph" w:customStyle="1" w:styleId="466">
    <w:name w:val="xl48"/>
    <w:basedOn w:val="3"/>
    <w:next w:val="1"/>
    <w:autoRedefine/>
    <w:qFormat/>
    <w:uiPriority w:val="99"/>
    <w:pPr>
      <w:keepNext w:val="0"/>
      <w:keepLines w:val="0"/>
      <w:widowControl/>
      <w:pBdr>
        <w:top w:val="single" w:color="auto" w:sz="8" w:space="0"/>
        <w:left w:val="single" w:color="auto" w:sz="8"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467">
    <w:name w:val="正文缩近"/>
    <w:basedOn w:val="3"/>
    <w:next w:val="1"/>
    <w:autoRedefine/>
    <w:qFormat/>
    <w:uiPriority w:val="99"/>
    <w:pPr>
      <w:keepNext w:val="0"/>
      <w:keepLines w:val="0"/>
      <w:spacing w:before="0" w:after="0" w:line="360" w:lineRule="auto"/>
      <w:ind w:firstLine="560" w:firstLineChars="200"/>
      <w:outlineLvl w:val="9"/>
    </w:pPr>
    <w:rPr>
      <w:bCs w:val="0"/>
      <w:kern w:val="2"/>
      <w:sz w:val="28"/>
      <w:szCs w:val="28"/>
    </w:rPr>
  </w:style>
  <w:style w:type="paragraph" w:customStyle="1" w:styleId="468">
    <w:name w:val="font10"/>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Symbol" w:hAnsi="Symbol" w:cs="宋体"/>
      <w:bCs w:val="0"/>
      <w:color w:val="000000"/>
      <w:kern w:val="0"/>
      <w:sz w:val="24"/>
      <w:szCs w:val="21"/>
    </w:rPr>
  </w:style>
  <w:style w:type="paragraph" w:customStyle="1" w:styleId="469">
    <w:name w:val="xl34"/>
    <w:basedOn w:val="3"/>
    <w:next w:val="1"/>
    <w:autoRedefine/>
    <w:qFormat/>
    <w:uiPriority w:val="99"/>
    <w:pPr>
      <w:keepNext w:val="0"/>
      <w:keepLines w:val="0"/>
      <w:widowControl/>
      <w:pBdr>
        <w:bottom w:val="single" w:color="auto" w:sz="4" w:space="0"/>
        <w:right w:val="single" w:color="auto" w:sz="4" w:space="0"/>
      </w:pBdr>
      <w:spacing w:before="100" w:beforeAutospacing="1" w:after="100" w:afterAutospacing="1" w:line="500" w:lineRule="atLeast"/>
      <w:ind w:firstLine="425" w:firstLineChars="177"/>
      <w:jc w:val="center"/>
      <w:outlineLvl w:val="9"/>
    </w:pPr>
    <w:rPr>
      <w:rFonts w:ascii="楷体_GB2312" w:hAnsi="Arial Unicode MS" w:eastAsia="楷体_GB2312"/>
      <w:bCs w:val="0"/>
      <w:kern w:val="0"/>
      <w:sz w:val="24"/>
      <w:szCs w:val="24"/>
    </w:rPr>
  </w:style>
  <w:style w:type="paragraph" w:customStyle="1" w:styleId="470">
    <w:name w:val="xl31"/>
    <w:basedOn w:val="3"/>
    <w:next w:val="1"/>
    <w:autoRedefine/>
    <w:qFormat/>
    <w:uiPriority w:val="99"/>
    <w:pPr>
      <w:keepNext w:val="0"/>
      <w:keepLines w:val="0"/>
      <w:widowControl/>
      <w:pBdr>
        <w:bottom w:val="single" w:color="auto" w:sz="12"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471">
    <w:name w:val="图表名称"/>
    <w:basedOn w:val="3"/>
    <w:next w:val="1"/>
    <w:autoRedefine/>
    <w:qFormat/>
    <w:uiPriority w:val="99"/>
    <w:pPr>
      <w:keepNext w:val="0"/>
      <w:keepLines w:val="0"/>
      <w:spacing w:beforeLines="50" w:after="0" w:line="400" w:lineRule="exact"/>
      <w:ind w:firstLine="471" w:firstLineChars="177"/>
      <w:jc w:val="center"/>
      <w:outlineLvl w:val="9"/>
    </w:pPr>
    <w:rPr>
      <w:rFonts w:ascii="宋体" w:hAnsi="宋体" w:eastAsia="黑体"/>
      <w:bCs w:val="0"/>
      <w:kern w:val="2"/>
      <w:sz w:val="24"/>
      <w:szCs w:val="24"/>
    </w:rPr>
  </w:style>
  <w:style w:type="paragraph" w:customStyle="1" w:styleId="472">
    <w:name w:val="单元格"/>
    <w:basedOn w:val="3"/>
    <w:next w:val="1"/>
    <w:autoRedefine/>
    <w:qFormat/>
    <w:uiPriority w:val="99"/>
    <w:pPr>
      <w:keepNext w:val="0"/>
      <w:keepLines w:val="0"/>
      <w:spacing w:before="0" w:after="0" w:line="500" w:lineRule="atLeast"/>
      <w:ind w:firstLine="425" w:firstLineChars="177"/>
      <w:jc w:val="center"/>
      <w:outlineLvl w:val="9"/>
    </w:pPr>
    <w:rPr>
      <w:rFonts w:ascii="楷体_GB2312" w:eastAsia="楷体_GB2312"/>
      <w:bCs w:val="0"/>
      <w:kern w:val="2"/>
      <w:sz w:val="24"/>
      <w:szCs w:val="20"/>
    </w:rPr>
  </w:style>
  <w:style w:type="paragraph" w:customStyle="1" w:styleId="473">
    <w:name w:val="Default Paragraph Font Para Char Char Char"/>
    <w:basedOn w:val="3"/>
    <w:next w:val="1"/>
    <w:autoRedefine/>
    <w:qFormat/>
    <w:uiPriority w:val="99"/>
    <w:pPr>
      <w:keepNext w:val="0"/>
      <w:keepLines w:val="0"/>
      <w:widowControl/>
      <w:spacing w:before="0" w:after="160" w:line="240" w:lineRule="exact"/>
      <w:ind w:firstLine="425" w:firstLineChars="177"/>
      <w:jc w:val="left"/>
      <w:outlineLvl w:val="9"/>
    </w:pPr>
    <w:rPr>
      <w:rFonts w:ascii="Arial" w:hAnsi="Arial"/>
      <w:bCs w:val="0"/>
      <w:kern w:val="2"/>
      <w:sz w:val="24"/>
      <w:szCs w:val="24"/>
    </w:rPr>
  </w:style>
  <w:style w:type="paragraph" w:customStyle="1" w:styleId="474">
    <w:name w:val="font8"/>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bCs w:val="0"/>
      <w:color w:val="000000"/>
      <w:kern w:val="0"/>
      <w:sz w:val="24"/>
      <w:szCs w:val="21"/>
    </w:rPr>
  </w:style>
  <w:style w:type="paragraph" w:customStyle="1" w:styleId="475">
    <w:name w:val="样式 日期 + 宋体 行距: 1.5 倍行距2"/>
    <w:basedOn w:val="25"/>
    <w:next w:val="1"/>
    <w:autoRedefine/>
    <w:qFormat/>
    <w:uiPriority w:val="99"/>
    <w:pPr>
      <w:widowControl/>
      <w:overflowPunct w:val="0"/>
      <w:autoSpaceDE w:val="0"/>
      <w:autoSpaceDN w:val="0"/>
      <w:adjustRightInd w:val="0"/>
      <w:spacing w:line="480" w:lineRule="exact"/>
      <w:ind w:left="0" w:leftChars="0" w:firstLine="425" w:firstLineChars="177"/>
    </w:pPr>
    <w:rPr>
      <w:rFonts w:ascii="宋体" w:hAnsi="宋体" w:cs="宋体"/>
      <w:color w:val="000000"/>
      <w:kern w:val="0"/>
      <w:sz w:val="28"/>
      <w:szCs w:val="20"/>
      <w:lang w:val="en-GB"/>
    </w:rPr>
  </w:style>
  <w:style w:type="paragraph" w:customStyle="1" w:styleId="476">
    <w:name w:val="表体"/>
    <w:basedOn w:val="156"/>
    <w:next w:val="1"/>
    <w:autoRedefine/>
    <w:qFormat/>
    <w:uiPriority w:val="99"/>
    <w:pPr>
      <w:overflowPunct w:val="0"/>
      <w:spacing w:line="360" w:lineRule="exact"/>
      <w:ind w:left="-57" w:right="-57"/>
    </w:pPr>
    <w:rPr>
      <w:color w:val="000080"/>
      <w:kern w:val="24"/>
      <w:szCs w:val="20"/>
    </w:rPr>
  </w:style>
  <w:style w:type="paragraph" w:customStyle="1" w:styleId="477">
    <w:name w:val="样式 样式表格 + 首行缩进:  0.85 厘米"/>
    <w:basedOn w:val="344"/>
    <w:next w:val="1"/>
    <w:autoRedefine/>
    <w:qFormat/>
    <w:uiPriority w:val="99"/>
    <w:pPr>
      <w:spacing w:line="320" w:lineRule="exact"/>
    </w:pPr>
    <w:rPr>
      <w:rFonts w:cs="宋体"/>
      <w:szCs w:val="20"/>
    </w:rPr>
  </w:style>
  <w:style w:type="paragraph" w:customStyle="1" w:styleId="478">
    <w:name w:val="y表头"/>
    <w:basedOn w:val="19"/>
    <w:next w:val="1"/>
    <w:autoRedefine/>
    <w:qFormat/>
    <w:uiPriority w:val="99"/>
    <w:pPr>
      <w:tabs>
        <w:tab w:val="left" w:pos="900"/>
      </w:tabs>
      <w:adjustRightInd w:val="0"/>
      <w:spacing w:after="0"/>
      <w:ind w:firstLine="425" w:firstLineChars="177"/>
      <w:jc w:val="center"/>
    </w:pPr>
    <w:rPr>
      <w:rFonts w:hint="eastAsia" w:ascii="宋体" w:hAnsi="宋体" w:eastAsia="楷体_GB2312" w:cstheme="minorBidi"/>
      <w:b/>
      <w:sz w:val="24"/>
      <w:szCs w:val="20"/>
    </w:rPr>
  </w:style>
  <w:style w:type="paragraph" w:customStyle="1" w:styleId="479">
    <w:name w:val="xl32"/>
    <w:basedOn w:val="3"/>
    <w:next w:val="1"/>
    <w:autoRedefine/>
    <w:qFormat/>
    <w:uiPriority w:val="99"/>
    <w:pPr>
      <w:keepNext w:val="0"/>
      <w:keepLines w:val="0"/>
      <w:widowControl/>
      <w:pBdr>
        <w:top w:val="single" w:color="auto" w:sz="12" w:space="0"/>
        <w:right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480">
    <w:name w:val="yz"/>
    <w:basedOn w:val="19"/>
    <w:next w:val="1"/>
    <w:autoRedefine/>
    <w:qFormat/>
    <w:uiPriority w:val="99"/>
    <w:pPr>
      <w:tabs>
        <w:tab w:val="left" w:pos="900"/>
      </w:tabs>
      <w:adjustRightInd w:val="0"/>
      <w:spacing w:after="0"/>
      <w:ind w:firstLine="200" w:firstLineChars="200"/>
    </w:pPr>
    <w:rPr>
      <w:rFonts w:hint="eastAsia" w:ascii="宋体" w:hAnsi="宋体" w:cstheme="minorBidi"/>
      <w:sz w:val="24"/>
      <w:szCs w:val="20"/>
    </w:rPr>
  </w:style>
  <w:style w:type="paragraph" w:customStyle="1" w:styleId="481">
    <w:name w:val="图表目录1"/>
    <w:basedOn w:val="150"/>
    <w:next w:val="150"/>
    <w:autoRedefine/>
    <w:qFormat/>
    <w:uiPriority w:val="99"/>
    <w:pPr>
      <w:tabs>
        <w:tab w:val="right" w:leader="dot" w:pos="8051"/>
      </w:tabs>
      <w:ind w:left="840" w:hanging="840"/>
    </w:pPr>
    <w:rPr>
      <w:rFonts w:hAnsi="Calibri"/>
      <w:szCs w:val="20"/>
    </w:rPr>
  </w:style>
  <w:style w:type="character" w:customStyle="1" w:styleId="482">
    <w:name w:val="正文001 Char1"/>
    <w:link w:val="483"/>
    <w:autoRedefine/>
    <w:qFormat/>
    <w:locked/>
    <w:uiPriority w:val="0"/>
    <w:rPr>
      <w:rFonts w:ascii="Arial" w:hAnsi="Arial" w:cs="Arial"/>
      <w:sz w:val="24"/>
    </w:rPr>
  </w:style>
  <w:style w:type="paragraph" w:customStyle="1" w:styleId="483">
    <w:name w:val="正文001"/>
    <w:basedOn w:val="3"/>
    <w:next w:val="1"/>
    <w:link w:val="482"/>
    <w:autoRedefine/>
    <w:qFormat/>
    <w:uiPriority w:val="0"/>
    <w:pPr>
      <w:keepNext w:val="0"/>
      <w:keepLines w:val="0"/>
      <w:spacing w:before="60" w:after="0" w:line="360" w:lineRule="auto"/>
      <w:ind w:firstLine="200" w:firstLineChars="200"/>
      <w:outlineLvl w:val="9"/>
    </w:pPr>
    <w:rPr>
      <w:rFonts w:ascii="Arial" w:hAnsi="Arial" w:cs="Arial" w:eastAsiaTheme="minorEastAsia"/>
      <w:bCs w:val="0"/>
      <w:kern w:val="2"/>
      <w:sz w:val="24"/>
      <w:szCs w:val="22"/>
    </w:rPr>
  </w:style>
  <w:style w:type="paragraph" w:customStyle="1" w:styleId="484">
    <w:name w:val="xl28"/>
    <w:basedOn w:val="3"/>
    <w:next w:val="1"/>
    <w:autoRedefine/>
    <w:qFormat/>
    <w:uiPriority w:val="99"/>
    <w:pPr>
      <w:keepNext w:val="0"/>
      <w:keepLines w:val="0"/>
      <w:widowControl/>
      <w:pBdr>
        <w:bottom w:val="single" w:color="auto" w:sz="8" w:space="0"/>
        <w:right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485">
    <w:name w:val="表 头 Char"/>
    <w:basedOn w:val="3"/>
    <w:next w:val="1"/>
    <w:autoRedefine/>
    <w:qFormat/>
    <w:uiPriority w:val="99"/>
    <w:pPr>
      <w:keepNext w:val="0"/>
      <w:keepLines w:val="0"/>
      <w:adjustRightInd w:val="0"/>
      <w:spacing w:before="120" w:after="120" w:line="360" w:lineRule="atLeast"/>
      <w:ind w:firstLine="425" w:firstLineChars="177"/>
      <w:jc w:val="center"/>
      <w:outlineLvl w:val="9"/>
    </w:pPr>
    <w:rPr>
      <w:rFonts w:eastAsia="黑体"/>
      <w:bCs w:val="0"/>
      <w:spacing w:val="10"/>
      <w:kern w:val="0"/>
      <w:sz w:val="24"/>
      <w:szCs w:val="20"/>
    </w:rPr>
  </w:style>
  <w:style w:type="paragraph" w:customStyle="1" w:styleId="486">
    <w:name w:val="6"/>
    <w:basedOn w:val="3"/>
    <w:next w:val="20"/>
    <w:autoRedefine/>
    <w:qFormat/>
    <w:uiPriority w:val="99"/>
    <w:pPr>
      <w:keepNext w:val="0"/>
      <w:keepLines w:val="0"/>
      <w:spacing w:before="0" w:after="0" w:line="400" w:lineRule="exact"/>
      <w:ind w:firstLine="516" w:firstLineChars="215"/>
      <w:outlineLvl w:val="9"/>
    </w:pPr>
    <w:rPr>
      <w:bCs w:val="0"/>
      <w:kern w:val="2"/>
      <w:sz w:val="24"/>
      <w:szCs w:val="24"/>
    </w:rPr>
  </w:style>
  <w:style w:type="character" w:customStyle="1" w:styleId="487">
    <w:name w:val="cucd-TB Char"/>
    <w:link w:val="488"/>
    <w:autoRedefine/>
    <w:qFormat/>
    <w:locked/>
    <w:uiPriority w:val="0"/>
    <w:rPr>
      <w:szCs w:val="24"/>
    </w:rPr>
  </w:style>
  <w:style w:type="paragraph" w:customStyle="1" w:styleId="488">
    <w:name w:val="cucd-TB"/>
    <w:next w:val="1"/>
    <w:link w:val="487"/>
    <w:autoRedefine/>
    <w:qFormat/>
    <w:uiPriority w:val="0"/>
    <w:pPr>
      <w:spacing w:line="360" w:lineRule="auto"/>
      <w:jc w:val="center"/>
    </w:pPr>
    <w:rPr>
      <w:rFonts w:asciiTheme="minorHAnsi" w:hAnsiTheme="minorHAnsi" w:eastAsiaTheme="minorEastAsia" w:cstheme="minorBidi"/>
      <w:kern w:val="2"/>
      <w:sz w:val="21"/>
      <w:szCs w:val="24"/>
      <w:lang w:val="en-US" w:eastAsia="zh-CN" w:bidi="ar-SA"/>
    </w:rPr>
  </w:style>
  <w:style w:type="paragraph" w:customStyle="1" w:styleId="489">
    <w:name w:val="标准条文"/>
    <w:basedOn w:val="61"/>
    <w:next w:val="61"/>
    <w:autoRedefine/>
    <w:qFormat/>
    <w:uiPriority w:val="99"/>
    <w:rPr>
      <w:rFonts w:hAnsi="Calibri"/>
    </w:rPr>
  </w:style>
  <w:style w:type="paragraph" w:customStyle="1" w:styleId="490">
    <w:name w:val="默认段落字体 Para Char Char Char Char Char Char1 Char Char Char Char"/>
    <w:basedOn w:val="3"/>
    <w:next w:val="1"/>
    <w:autoRedefine/>
    <w:qFormat/>
    <w:uiPriority w:val="99"/>
    <w:pPr>
      <w:keepNext w:val="0"/>
      <w:keepLines w:val="0"/>
      <w:snapToGrid w:val="0"/>
      <w:spacing w:before="0" w:after="0" w:line="360" w:lineRule="auto"/>
      <w:ind w:firstLine="200" w:firstLineChars="200"/>
      <w:outlineLvl w:val="9"/>
    </w:pPr>
    <w:rPr>
      <w:rFonts w:eastAsia="仿宋_GB2312"/>
      <w:bCs w:val="0"/>
      <w:kern w:val="2"/>
      <w:sz w:val="24"/>
      <w:szCs w:val="24"/>
    </w:rPr>
  </w:style>
  <w:style w:type="paragraph" w:customStyle="1" w:styleId="491">
    <w:name w:val="1文章"/>
    <w:basedOn w:val="3"/>
    <w:next w:val="1"/>
    <w:autoRedefine/>
    <w:qFormat/>
    <w:uiPriority w:val="99"/>
    <w:pPr>
      <w:keepNext w:val="0"/>
      <w:keepLines w:val="0"/>
      <w:snapToGrid w:val="0"/>
      <w:spacing w:before="0" w:after="0" w:line="420" w:lineRule="auto"/>
      <w:ind w:firstLine="516" w:firstLineChars="177"/>
      <w:outlineLvl w:val="9"/>
    </w:pPr>
    <w:rPr>
      <w:bCs w:val="0"/>
      <w:color w:val="000000"/>
      <w:kern w:val="2"/>
      <w:sz w:val="24"/>
      <w:szCs w:val="24"/>
    </w:rPr>
  </w:style>
  <w:style w:type="character" w:customStyle="1" w:styleId="492">
    <w:name w:val="cucd-TB-Head Char"/>
    <w:link w:val="493"/>
    <w:autoRedefine/>
    <w:qFormat/>
    <w:locked/>
    <w:uiPriority w:val="0"/>
    <w:rPr>
      <w:rFonts w:ascii="宋体" w:hAnsi="宋体" w:eastAsia="黑体"/>
      <w:color w:val="548DD4"/>
      <w:sz w:val="24"/>
      <w:szCs w:val="21"/>
    </w:rPr>
  </w:style>
  <w:style w:type="paragraph" w:customStyle="1" w:styleId="493">
    <w:name w:val="cucd-TB-Head"/>
    <w:basedOn w:val="3"/>
    <w:next w:val="384"/>
    <w:link w:val="492"/>
    <w:autoRedefine/>
    <w:qFormat/>
    <w:uiPriority w:val="0"/>
    <w:pPr>
      <w:keepNext w:val="0"/>
      <w:keepLines w:val="0"/>
      <w:spacing w:before="120" w:after="0" w:line="360" w:lineRule="auto"/>
      <w:ind w:firstLine="425" w:firstLineChars="177"/>
      <w:jc w:val="center"/>
      <w:outlineLvl w:val="9"/>
    </w:pPr>
    <w:rPr>
      <w:rFonts w:ascii="宋体" w:hAnsi="宋体" w:eastAsia="黑体" w:cstheme="minorBidi"/>
      <w:bCs w:val="0"/>
      <w:color w:val="548DD4"/>
      <w:kern w:val="2"/>
      <w:sz w:val="24"/>
      <w:szCs w:val="21"/>
    </w:rPr>
  </w:style>
  <w:style w:type="character" w:customStyle="1" w:styleId="494">
    <w:name w:val="表 头 Char1"/>
    <w:link w:val="495"/>
    <w:autoRedefine/>
    <w:qFormat/>
    <w:locked/>
    <w:uiPriority w:val="0"/>
    <w:rPr>
      <w:rFonts w:ascii="黑体" w:hAnsi="黑体" w:eastAsia="黑体"/>
      <w:spacing w:val="10"/>
      <w:sz w:val="24"/>
    </w:rPr>
  </w:style>
  <w:style w:type="paragraph" w:customStyle="1" w:styleId="495">
    <w:name w:val="表 头"/>
    <w:basedOn w:val="3"/>
    <w:next w:val="1"/>
    <w:link w:val="494"/>
    <w:autoRedefine/>
    <w:qFormat/>
    <w:uiPriority w:val="0"/>
    <w:pPr>
      <w:keepNext w:val="0"/>
      <w:keepLines w:val="0"/>
      <w:adjustRightInd w:val="0"/>
      <w:spacing w:before="60" w:after="120" w:line="360" w:lineRule="atLeast"/>
      <w:ind w:firstLine="425" w:firstLineChars="177"/>
      <w:jc w:val="center"/>
      <w:outlineLvl w:val="9"/>
    </w:pPr>
    <w:rPr>
      <w:rFonts w:ascii="黑体" w:hAnsi="黑体" w:eastAsia="黑体" w:cstheme="minorBidi"/>
      <w:bCs w:val="0"/>
      <w:spacing w:val="10"/>
      <w:kern w:val="2"/>
      <w:sz w:val="24"/>
      <w:szCs w:val="22"/>
    </w:rPr>
  </w:style>
  <w:style w:type="paragraph" w:customStyle="1" w:styleId="496">
    <w:name w:val="Char Char1 Char"/>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497">
    <w:name w:val="报告书表格"/>
    <w:basedOn w:val="3"/>
    <w:next w:val="1"/>
    <w:autoRedefine/>
    <w:qFormat/>
    <w:uiPriority w:val="99"/>
    <w:pPr>
      <w:keepNext w:val="0"/>
      <w:keepLines w:val="0"/>
      <w:adjustRightInd w:val="0"/>
      <w:spacing w:before="60" w:after="60" w:line="240" w:lineRule="atLeast"/>
      <w:ind w:firstLine="425" w:firstLineChars="177"/>
      <w:jc w:val="center"/>
      <w:outlineLvl w:val="9"/>
    </w:pPr>
    <w:rPr>
      <w:bCs w:val="0"/>
      <w:kern w:val="0"/>
      <w:sz w:val="24"/>
      <w:szCs w:val="20"/>
    </w:rPr>
  </w:style>
  <w:style w:type="paragraph" w:customStyle="1" w:styleId="498">
    <w:name w:val="段"/>
    <w:next w:val="1"/>
    <w:autoRedefine/>
    <w:qFormat/>
    <w:uiPriority w:val="99"/>
    <w:pPr>
      <w:autoSpaceDE w:val="0"/>
      <w:autoSpaceDN w:val="0"/>
      <w:spacing w:line="240" w:lineRule="auto"/>
      <w:ind w:firstLine="200" w:firstLineChars="200"/>
      <w:jc w:val="both"/>
    </w:pPr>
    <w:rPr>
      <w:rFonts w:ascii="宋体" w:hAnsi="Times New Roman" w:eastAsia="宋体" w:cs="Times New Roman"/>
      <w:kern w:val="0"/>
      <w:sz w:val="21"/>
      <w:szCs w:val="20"/>
      <w:lang w:val="en-US" w:eastAsia="zh-CN" w:bidi="ar-SA"/>
    </w:rPr>
  </w:style>
  <w:style w:type="paragraph" w:customStyle="1" w:styleId="499">
    <w:name w:val="Char Char Char Char Char Char Char Char2 Char Char Char Char Char Char Char Char Char Char Char Char Char"/>
    <w:basedOn w:val="3"/>
    <w:next w:val="1"/>
    <w:autoRedefine/>
    <w:qFormat/>
    <w:uiPriority w:val="99"/>
    <w:pPr>
      <w:keepNext w:val="0"/>
      <w:keepLines w:val="0"/>
      <w:spacing w:before="0" w:after="0" w:line="336" w:lineRule="auto"/>
      <w:ind w:firstLine="200" w:firstLineChars="200"/>
      <w:outlineLvl w:val="9"/>
    </w:pPr>
    <w:rPr>
      <w:rFonts w:ascii="宋体" w:hAnsi="宋体" w:eastAsia="汉鼎简书宋" w:cs="宋体"/>
      <w:bCs w:val="0"/>
      <w:spacing w:val="4"/>
      <w:kern w:val="2"/>
      <w:sz w:val="24"/>
      <w:szCs w:val="24"/>
    </w:rPr>
  </w:style>
  <w:style w:type="paragraph" w:customStyle="1" w:styleId="500">
    <w:name w:val="表头名称"/>
    <w:basedOn w:val="14"/>
    <w:next w:val="1"/>
    <w:autoRedefine/>
    <w:qFormat/>
    <w:uiPriority w:val="99"/>
    <w:pPr>
      <w:autoSpaceDE w:val="0"/>
      <w:autoSpaceDN w:val="0"/>
      <w:snapToGrid/>
      <w:spacing w:line="360" w:lineRule="auto"/>
      <w:ind w:firstLine="0" w:firstLineChars="177"/>
      <w:jc w:val="center"/>
    </w:pPr>
    <w:rPr>
      <w:rFonts w:ascii="黑体" w:hAnsi="宋体" w:eastAsia="黑体"/>
      <w:sz w:val="24"/>
      <w:szCs w:val="20"/>
    </w:rPr>
  </w:style>
  <w:style w:type="paragraph" w:customStyle="1" w:styleId="501">
    <w:name w:val="font12"/>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rFonts w:ascii="Symbol" w:hAnsi="Symbol" w:cs="宋体"/>
      <w:bCs w:val="0"/>
      <w:color w:val="000000"/>
      <w:kern w:val="0"/>
      <w:sz w:val="24"/>
      <w:szCs w:val="21"/>
    </w:rPr>
  </w:style>
  <w:style w:type="paragraph" w:customStyle="1" w:styleId="502">
    <w:name w:val="AFTERTITLE"/>
    <w:basedOn w:val="3"/>
    <w:next w:val="1"/>
    <w:autoRedefine/>
    <w:qFormat/>
    <w:uiPriority w:val="99"/>
    <w:pPr>
      <w:keepNext w:val="0"/>
      <w:keepLines w:val="0"/>
      <w:widowControl/>
      <w:spacing w:before="0" w:after="0" w:line="360" w:lineRule="atLeast"/>
      <w:ind w:firstLine="200" w:firstLineChars="200"/>
      <w:jc w:val="center"/>
      <w:outlineLvl w:val="9"/>
    </w:pPr>
    <w:rPr>
      <w:bCs w:val="0"/>
      <w:caps/>
      <w:kern w:val="0"/>
      <w:sz w:val="24"/>
      <w:szCs w:val="20"/>
      <w:lang w:val="fr-FR"/>
    </w:rPr>
  </w:style>
  <w:style w:type="paragraph" w:customStyle="1" w:styleId="503">
    <w:name w:val="font6"/>
    <w:basedOn w:val="3"/>
    <w:next w:val="1"/>
    <w:autoRedefine/>
    <w:qFormat/>
    <w:uiPriority w:val="99"/>
    <w:pPr>
      <w:keepNext w:val="0"/>
      <w:keepLines w:val="0"/>
      <w:widowControl/>
      <w:spacing w:before="100" w:beforeAutospacing="1" w:after="100" w:afterAutospacing="1" w:line="500" w:lineRule="atLeast"/>
      <w:ind w:firstLine="425" w:firstLineChars="177"/>
      <w:jc w:val="left"/>
      <w:outlineLvl w:val="9"/>
    </w:pPr>
    <w:rPr>
      <w:bCs w:val="0"/>
      <w:color w:val="000000"/>
      <w:kern w:val="0"/>
      <w:sz w:val="24"/>
      <w:szCs w:val="21"/>
    </w:rPr>
  </w:style>
  <w:style w:type="paragraph" w:customStyle="1" w:styleId="504">
    <w:name w:val="表序"/>
    <w:basedOn w:val="3"/>
    <w:next w:val="1"/>
    <w:autoRedefine/>
    <w:qFormat/>
    <w:uiPriority w:val="99"/>
    <w:pPr>
      <w:keepNext w:val="0"/>
      <w:keepLines w:val="0"/>
      <w:snapToGrid w:val="0"/>
      <w:spacing w:before="0" w:after="0" w:line="400" w:lineRule="exact"/>
      <w:ind w:firstLine="425" w:firstLineChars="177"/>
      <w:outlineLvl w:val="9"/>
    </w:pPr>
    <w:rPr>
      <w:rFonts w:ascii="宋体" w:hAnsi="宋体"/>
      <w:bCs w:val="0"/>
      <w:kern w:val="0"/>
      <w:sz w:val="24"/>
      <w:szCs w:val="20"/>
    </w:rPr>
  </w:style>
  <w:style w:type="paragraph" w:customStyle="1" w:styleId="505">
    <w:name w:val="段落2"/>
    <w:basedOn w:val="3"/>
    <w:next w:val="1"/>
    <w:autoRedefine/>
    <w:qFormat/>
    <w:uiPriority w:val="99"/>
    <w:pPr>
      <w:keepNext w:val="0"/>
      <w:keepLines w:val="0"/>
      <w:adjustRightInd w:val="0"/>
      <w:spacing w:before="0" w:after="0" w:line="440" w:lineRule="atLeast"/>
      <w:ind w:firstLine="425" w:firstLineChars="177"/>
      <w:outlineLvl w:val="9"/>
    </w:pPr>
    <w:rPr>
      <w:bCs w:val="0"/>
      <w:spacing w:val="6"/>
      <w:kern w:val="2"/>
      <w:sz w:val="28"/>
      <w:szCs w:val="20"/>
    </w:rPr>
  </w:style>
  <w:style w:type="paragraph" w:customStyle="1" w:styleId="506">
    <w:name w:val="公式题注"/>
    <w:next w:val="1"/>
    <w:autoRedefine/>
    <w:qFormat/>
    <w:uiPriority w:val="99"/>
    <w:pPr>
      <w:spacing w:line="0" w:lineRule="atLeast"/>
      <w:jc w:val="right"/>
    </w:pPr>
    <w:rPr>
      <w:rFonts w:ascii="Times New Roman" w:hAnsi="Times New Roman" w:eastAsia="黑体" w:cs="Times New Roman"/>
      <w:kern w:val="2"/>
      <w:sz w:val="24"/>
      <w:szCs w:val="20"/>
      <w:lang w:val="en-US" w:eastAsia="zh-CN" w:bidi="ar-SA"/>
    </w:rPr>
  </w:style>
  <w:style w:type="paragraph" w:customStyle="1" w:styleId="507">
    <w:name w:val="尾注文本1"/>
    <w:basedOn w:val="150"/>
    <w:next w:val="1"/>
    <w:autoRedefine/>
    <w:qFormat/>
    <w:uiPriority w:val="99"/>
    <w:rPr>
      <w:rFonts w:hAnsi="Calibri"/>
      <w:sz w:val="21"/>
      <w:szCs w:val="20"/>
    </w:rPr>
  </w:style>
  <w:style w:type="paragraph" w:customStyle="1" w:styleId="508">
    <w:name w:val="正文文字缩进1"/>
    <w:basedOn w:val="20"/>
    <w:next w:val="1"/>
    <w:autoRedefine/>
    <w:qFormat/>
    <w:uiPriority w:val="99"/>
    <w:pPr>
      <w:spacing w:line="360" w:lineRule="auto"/>
      <w:ind w:firstLine="551" w:firstLineChars="0"/>
    </w:pPr>
    <w:rPr>
      <w:rFonts w:ascii="黑体" w:eastAsia="黑体"/>
      <w:b/>
      <w:sz w:val="28"/>
      <w:szCs w:val="20"/>
    </w:rPr>
  </w:style>
  <w:style w:type="character" w:customStyle="1" w:styleId="509">
    <w:name w:val="样式4 Char"/>
    <w:link w:val="510"/>
    <w:autoRedefine/>
    <w:qFormat/>
    <w:locked/>
    <w:uiPriority w:val="0"/>
    <w:rPr>
      <w:rFonts w:ascii="宋体" w:hAnsi="宋体" w:eastAsia="宋体"/>
      <w:bCs/>
      <w:sz w:val="24"/>
      <w:szCs w:val="24"/>
    </w:rPr>
  </w:style>
  <w:style w:type="paragraph" w:customStyle="1" w:styleId="510">
    <w:name w:val="样式4"/>
    <w:basedOn w:val="19"/>
    <w:next w:val="1"/>
    <w:link w:val="509"/>
    <w:autoRedefine/>
    <w:qFormat/>
    <w:uiPriority w:val="0"/>
    <w:pPr>
      <w:spacing w:before="156" w:after="0" w:line="360" w:lineRule="auto"/>
      <w:ind w:firstLine="480" w:firstLineChars="200"/>
    </w:pPr>
    <w:rPr>
      <w:rFonts w:ascii="宋体" w:hAnsi="宋体" w:cstheme="minorBidi"/>
      <w:bCs/>
      <w:sz w:val="24"/>
    </w:rPr>
  </w:style>
  <w:style w:type="paragraph" w:customStyle="1" w:styleId="511">
    <w:name w:val="项目编号"/>
    <w:basedOn w:val="3"/>
    <w:next w:val="1"/>
    <w:autoRedefine/>
    <w:qFormat/>
    <w:uiPriority w:val="99"/>
    <w:pPr>
      <w:keepNext w:val="0"/>
      <w:keepLines w:val="0"/>
      <w:spacing w:before="120" w:after="120" w:line="360" w:lineRule="auto"/>
      <w:ind w:firstLine="425" w:firstLineChars="177"/>
      <w:outlineLvl w:val="9"/>
    </w:pPr>
    <w:rPr>
      <w:bCs w:val="0"/>
      <w:kern w:val="2"/>
      <w:sz w:val="24"/>
      <w:szCs w:val="20"/>
    </w:rPr>
  </w:style>
  <w:style w:type="paragraph" w:customStyle="1" w:styleId="512">
    <w:name w:val="Char Char Char Char Char Char Char Char Char Char Char"/>
    <w:basedOn w:val="3"/>
    <w:next w:val="1"/>
    <w:autoRedefine/>
    <w:qFormat/>
    <w:uiPriority w:val="99"/>
    <w:pPr>
      <w:keepNext w:val="0"/>
      <w:keepLines w:val="0"/>
      <w:spacing w:before="0" w:after="0" w:line="500" w:lineRule="atLeast"/>
      <w:ind w:firstLine="425" w:firstLineChars="177"/>
      <w:outlineLvl w:val="9"/>
    </w:pPr>
    <w:rPr>
      <w:bCs w:val="0"/>
      <w:kern w:val="2"/>
      <w:sz w:val="24"/>
      <w:szCs w:val="24"/>
    </w:rPr>
  </w:style>
  <w:style w:type="paragraph" w:customStyle="1" w:styleId="513">
    <w:name w:val="样式 样式 样式 首行缩进:  2 字符 + 首行缩进:  2 字符 + 首行缩进:  2 字符"/>
    <w:basedOn w:val="3"/>
    <w:next w:val="1"/>
    <w:autoRedefine/>
    <w:qFormat/>
    <w:uiPriority w:val="99"/>
    <w:pPr>
      <w:keepNext w:val="0"/>
      <w:keepLines w:val="0"/>
      <w:spacing w:before="0" w:after="0" w:line="500" w:lineRule="atLeast"/>
      <w:ind w:firstLine="567" w:firstLineChars="200"/>
      <w:outlineLvl w:val="9"/>
    </w:pPr>
    <w:rPr>
      <w:rFonts w:ascii="宋体"/>
      <w:bCs w:val="0"/>
      <w:kern w:val="2"/>
      <w:sz w:val="27"/>
      <w:szCs w:val="20"/>
    </w:rPr>
  </w:style>
  <w:style w:type="paragraph" w:customStyle="1" w:styleId="514">
    <w:name w:val="表、图名"/>
    <w:basedOn w:val="3"/>
    <w:next w:val="1"/>
    <w:autoRedefine/>
    <w:qFormat/>
    <w:uiPriority w:val="99"/>
    <w:pPr>
      <w:keepNext w:val="0"/>
      <w:keepLines w:val="0"/>
      <w:adjustRightInd w:val="0"/>
      <w:snapToGrid w:val="0"/>
      <w:spacing w:before="0" w:after="0" w:line="360" w:lineRule="auto"/>
      <w:ind w:firstLine="482" w:firstLineChars="177"/>
      <w:jc w:val="center"/>
      <w:outlineLvl w:val="9"/>
    </w:pPr>
    <w:rPr>
      <w:rFonts w:hAnsi="宋体"/>
      <w:bCs w:val="0"/>
      <w:color w:val="000000"/>
      <w:kern w:val="0"/>
      <w:sz w:val="24"/>
      <w:szCs w:val="21"/>
    </w:rPr>
  </w:style>
  <w:style w:type="paragraph" w:customStyle="1" w:styleId="515">
    <w:name w:val="正文 1"/>
    <w:basedOn w:val="3"/>
    <w:next w:val="1"/>
    <w:autoRedefine/>
    <w:qFormat/>
    <w:uiPriority w:val="99"/>
    <w:pPr>
      <w:keepNext w:val="0"/>
      <w:keepLines w:val="0"/>
      <w:spacing w:before="0" w:after="0" w:line="480" w:lineRule="exact"/>
      <w:ind w:firstLine="567" w:firstLineChars="177"/>
      <w:outlineLvl w:val="9"/>
    </w:pPr>
    <w:rPr>
      <w:bCs w:val="0"/>
      <w:kern w:val="2"/>
      <w:sz w:val="28"/>
      <w:szCs w:val="20"/>
    </w:rPr>
  </w:style>
  <w:style w:type="paragraph" w:customStyle="1" w:styleId="516">
    <w:name w:val="z正文"/>
    <w:basedOn w:val="20"/>
    <w:next w:val="1"/>
    <w:autoRedefine/>
    <w:qFormat/>
    <w:uiPriority w:val="99"/>
    <w:pPr>
      <w:autoSpaceDE w:val="0"/>
      <w:autoSpaceDN w:val="0"/>
      <w:adjustRightInd w:val="0"/>
      <w:snapToGrid w:val="0"/>
      <w:spacing w:line="360" w:lineRule="auto"/>
      <w:ind w:firstLine="200"/>
    </w:pPr>
  </w:style>
  <w:style w:type="paragraph" w:customStyle="1" w:styleId="517">
    <w:name w:val="样式 日期 + 宋体 行距: 1.5 倍行距"/>
    <w:basedOn w:val="25"/>
    <w:next w:val="1"/>
    <w:autoRedefine/>
    <w:qFormat/>
    <w:uiPriority w:val="99"/>
    <w:pPr>
      <w:widowControl/>
      <w:overflowPunct w:val="0"/>
      <w:autoSpaceDE w:val="0"/>
      <w:autoSpaceDN w:val="0"/>
      <w:adjustRightInd w:val="0"/>
      <w:spacing w:line="480" w:lineRule="exact"/>
      <w:ind w:left="0" w:leftChars="0" w:firstLine="200" w:firstLineChars="200"/>
    </w:pPr>
    <w:rPr>
      <w:rFonts w:ascii="宋体" w:hAnsi="宋体" w:cs="宋体"/>
      <w:color w:val="000000"/>
      <w:kern w:val="0"/>
      <w:sz w:val="28"/>
      <w:szCs w:val="20"/>
      <w:lang w:val="en-GB"/>
    </w:rPr>
  </w:style>
  <w:style w:type="paragraph" w:customStyle="1" w:styleId="518">
    <w:name w:val="xl49"/>
    <w:basedOn w:val="3"/>
    <w:next w:val="1"/>
    <w:autoRedefine/>
    <w:qFormat/>
    <w:uiPriority w:val="99"/>
    <w:pPr>
      <w:keepNext w:val="0"/>
      <w:keepLines w:val="0"/>
      <w:widowControl/>
      <w:pBdr>
        <w:left w:val="single" w:color="auto" w:sz="8"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519">
    <w:name w:val="xl25"/>
    <w:basedOn w:val="3"/>
    <w:next w:val="1"/>
    <w:autoRedefine/>
    <w:qFormat/>
    <w:uiPriority w:val="99"/>
    <w:pPr>
      <w:keepNext w:val="0"/>
      <w:keepLines w:val="0"/>
      <w:widowControl/>
      <w:pBdr>
        <w:left w:val="single" w:color="auto" w:sz="4" w:space="0"/>
        <w:bottom w:val="single" w:color="auto" w:sz="4" w:space="0"/>
        <w:right w:val="single" w:color="auto" w:sz="4" w:space="0"/>
      </w:pBdr>
      <w:autoSpaceDE w:val="0"/>
      <w:autoSpaceDN w:val="0"/>
      <w:snapToGrid w:val="0"/>
      <w:spacing w:before="100" w:beforeAutospacing="1" w:after="100" w:afterAutospacing="1" w:line="500" w:lineRule="atLeast"/>
      <w:ind w:firstLine="425" w:firstLineChars="177"/>
      <w:jc w:val="center"/>
      <w:outlineLvl w:val="9"/>
    </w:pPr>
    <w:rPr>
      <w:rFonts w:ascii="Arial Unicode MS" w:hAnsi="Arial Unicode MS" w:eastAsia="Arial Unicode MS"/>
      <w:bCs w:val="0"/>
      <w:kern w:val="0"/>
      <w:sz w:val="24"/>
      <w:szCs w:val="20"/>
    </w:rPr>
  </w:style>
  <w:style w:type="paragraph" w:customStyle="1" w:styleId="520">
    <w:name w:val="Char Char Char Char Char Char Char Char Char Char"/>
    <w:basedOn w:val="3"/>
    <w:next w:val="1"/>
    <w:autoRedefine/>
    <w:qFormat/>
    <w:uiPriority w:val="99"/>
    <w:pPr>
      <w:keepNext w:val="0"/>
      <w:keepLines w:val="0"/>
      <w:spacing w:before="0" w:after="0" w:line="500" w:lineRule="atLeast"/>
      <w:ind w:firstLine="425" w:firstLineChars="177"/>
      <w:jc w:val="center"/>
      <w:outlineLvl w:val="9"/>
    </w:pPr>
    <w:rPr>
      <w:rFonts w:ascii="黑体" w:hAnsi="宋体" w:eastAsia="黑体"/>
      <w:bCs w:val="0"/>
      <w:color w:val="000000"/>
      <w:kern w:val="24"/>
      <w:sz w:val="32"/>
      <w:szCs w:val="32"/>
    </w:rPr>
  </w:style>
  <w:style w:type="paragraph" w:customStyle="1" w:styleId="521">
    <w:name w:val="表内字"/>
    <w:next w:val="1"/>
    <w:autoRedefine/>
    <w:qFormat/>
    <w:uiPriority w:val="99"/>
    <w:pPr>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522">
    <w:name w:val="表的格式（小四）"/>
    <w:basedOn w:val="3"/>
    <w:next w:val="1"/>
    <w:autoRedefine/>
    <w:qFormat/>
    <w:uiPriority w:val="99"/>
    <w:pPr>
      <w:keepNext w:val="0"/>
      <w:keepLines w:val="0"/>
      <w:adjustRightInd w:val="0"/>
      <w:spacing w:before="0" w:after="0" w:line="360" w:lineRule="atLeast"/>
      <w:ind w:firstLine="425" w:firstLineChars="177"/>
      <w:jc w:val="center"/>
      <w:outlineLvl w:val="9"/>
    </w:pPr>
    <w:rPr>
      <w:bCs w:val="0"/>
      <w:kern w:val="0"/>
      <w:sz w:val="24"/>
      <w:szCs w:val="20"/>
    </w:rPr>
  </w:style>
  <w:style w:type="paragraph" w:customStyle="1" w:styleId="523">
    <w:name w:val="列出段落11"/>
    <w:basedOn w:val="3"/>
    <w:next w:val="1"/>
    <w:autoRedefine/>
    <w:qFormat/>
    <w:uiPriority w:val="99"/>
    <w:pPr>
      <w:keepNext w:val="0"/>
      <w:keepLines w:val="0"/>
      <w:spacing w:before="0" w:after="0" w:line="500" w:lineRule="atLeast"/>
      <w:ind w:firstLine="420" w:firstLineChars="200"/>
      <w:outlineLvl w:val="9"/>
    </w:pPr>
    <w:rPr>
      <w:rFonts w:ascii="Calibri" w:hAnsi="Calibri"/>
      <w:bCs w:val="0"/>
      <w:kern w:val="2"/>
      <w:sz w:val="24"/>
      <w:szCs w:val="24"/>
    </w:rPr>
  </w:style>
  <w:style w:type="paragraph" w:customStyle="1" w:styleId="524">
    <w:name w:val="acee正文"/>
    <w:basedOn w:val="3"/>
    <w:next w:val="1"/>
    <w:autoRedefine/>
    <w:qFormat/>
    <w:uiPriority w:val="99"/>
    <w:pPr>
      <w:keepNext w:val="0"/>
      <w:keepLines w:val="0"/>
      <w:spacing w:before="0" w:after="0" w:line="480" w:lineRule="exact"/>
      <w:ind w:firstLine="640" w:firstLineChars="200"/>
      <w:outlineLvl w:val="9"/>
    </w:pPr>
    <w:rPr>
      <w:rFonts w:ascii="仿宋_GB2312" w:hAnsi="宋体" w:eastAsia="仿宋_GB2312"/>
      <w:bCs w:val="0"/>
      <w:kern w:val="2"/>
      <w:sz w:val="32"/>
      <w:szCs w:val="24"/>
    </w:rPr>
  </w:style>
  <w:style w:type="paragraph" w:customStyle="1" w:styleId="525">
    <w:name w:val="xl56"/>
    <w:basedOn w:val="3"/>
    <w:next w:val="1"/>
    <w:autoRedefine/>
    <w:qFormat/>
    <w:uiPriority w:val="99"/>
    <w:pPr>
      <w:keepNext w:val="0"/>
      <w:keepLines w:val="0"/>
      <w:widowControl/>
      <w:pBdr>
        <w:top w:val="single" w:color="auto" w:sz="12" w:space="0"/>
        <w:left w:val="single" w:color="auto" w:sz="8" w:space="0"/>
        <w:bottom w:val="single" w:color="auto" w:sz="8" w:space="0"/>
      </w:pBdr>
      <w:spacing w:before="100" w:beforeAutospacing="1" w:after="100" w:afterAutospacing="1" w:line="500" w:lineRule="atLeast"/>
      <w:ind w:firstLine="425" w:firstLineChars="177"/>
      <w:jc w:val="center"/>
      <w:outlineLvl w:val="9"/>
    </w:pPr>
    <w:rPr>
      <w:rFonts w:ascii="宋体" w:hAnsi="宋体" w:cs="宋体"/>
      <w:bCs w:val="0"/>
      <w:color w:val="000000"/>
      <w:kern w:val="0"/>
      <w:sz w:val="24"/>
      <w:szCs w:val="21"/>
    </w:rPr>
  </w:style>
  <w:style w:type="paragraph" w:customStyle="1" w:styleId="526">
    <w:name w:val="EIA标题2"/>
    <w:basedOn w:val="4"/>
    <w:next w:val="1"/>
    <w:autoRedefine/>
    <w:qFormat/>
    <w:uiPriority w:val="99"/>
    <w:pPr>
      <w:tabs>
        <w:tab w:val="left" w:pos="576"/>
      </w:tabs>
      <w:spacing w:before="0" w:after="120" w:line="440" w:lineRule="exact"/>
      <w:ind w:firstLine="425" w:firstLineChars="177"/>
      <w:jc w:val="left"/>
    </w:pPr>
    <w:rPr>
      <w:rFonts w:ascii="Times New Roman" w:hAnsi="Times New Roman" w:eastAsia="黑体" w:cs="Times New Roman"/>
      <w:bCs w:val="0"/>
      <w:color w:val="000000"/>
      <w:sz w:val="24"/>
      <w:szCs w:val="20"/>
    </w:rPr>
  </w:style>
  <w:style w:type="paragraph" w:customStyle="1" w:styleId="527">
    <w:name w:val="样式"/>
    <w:basedOn w:val="3"/>
    <w:next w:val="1"/>
    <w:autoRedefine/>
    <w:qFormat/>
    <w:uiPriority w:val="99"/>
    <w:pPr>
      <w:keepNext w:val="0"/>
      <w:keepLines w:val="0"/>
      <w:pBdr>
        <w:bottom w:val="single" w:color="auto" w:sz="4" w:space="1"/>
      </w:pBdr>
      <w:spacing w:before="0" w:after="0" w:line="500" w:lineRule="atLeast"/>
      <w:ind w:firstLine="425" w:firstLineChars="177"/>
      <w:outlineLvl w:val="9"/>
    </w:pPr>
    <w:rPr>
      <w:bCs w:val="0"/>
      <w:kern w:val="2"/>
      <w:sz w:val="18"/>
      <w:szCs w:val="24"/>
    </w:rPr>
  </w:style>
  <w:style w:type="paragraph" w:customStyle="1" w:styleId="528">
    <w:name w:val="样式 标题 4常用标题 4 + 段前: 6 磅 段后: 6 磅 行距: 固定值 26 磅"/>
    <w:basedOn w:val="6"/>
    <w:next w:val="1"/>
    <w:autoRedefine/>
    <w:qFormat/>
    <w:uiPriority w:val="99"/>
    <w:pPr>
      <w:tabs>
        <w:tab w:val="left" w:pos="2250"/>
      </w:tabs>
      <w:spacing w:before="0" w:after="0" w:line="240" w:lineRule="auto"/>
      <w:ind w:left="2250" w:hanging="420" w:firstLineChars="177"/>
    </w:pPr>
    <w:rPr>
      <w:rFonts w:ascii="Arial" w:hAnsi="Arial" w:eastAsia="黑体" w:cs="宋体"/>
      <w:szCs w:val="20"/>
    </w:rPr>
  </w:style>
  <w:style w:type="paragraph" w:customStyle="1" w:styleId="529">
    <w:name w:val="EIA正文"/>
    <w:basedOn w:val="3"/>
    <w:next w:val="1"/>
    <w:autoRedefine/>
    <w:qFormat/>
    <w:uiPriority w:val="99"/>
    <w:pPr>
      <w:keepNext w:val="0"/>
      <w:keepLines w:val="0"/>
      <w:spacing w:before="0" w:after="0" w:line="360" w:lineRule="auto"/>
      <w:ind w:firstLine="578" w:firstLineChars="177"/>
      <w:outlineLvl w:val="9"/>
    </w:pPr>
    <w:rPr>
      <w:rFonts w:ascii="宋体" w:hAnsi="宋体"/>
      <w:bCs w:val="0"/>
      <w:kern w:val="2"/>
      <w:sz w:val="24"/>
      <w:szCs w:val="20"/>
    </w:rPr>
  </w:style>
  <w:style w:type="paragraph" w:customStyle="1" w:styleId="530">
    <w:name w:val="5"/>
    <w:basedOn w:val="3"/>
    <w:next w:val="14"/>
    <w:autoRedefine/>
    <w:qFormat/>
    <w:uiPriority w:val="99"/>
    <w:pPr>
      <w:keepNext w:val="0"/>
      <w:keepLines w:val="0"/>
      <w:spacing w:before="0" w:after="0" w:line="500" w:lineRule="atLeast"/>
      <w:ind w:firstLine="420" w:firstLineChars="177"/>
      <w:outlineLvl w:val="9"/>
    </w:pPr>
    <w:rPr>
      <w:bCs w:val="0"/>
      <w:kern w:val="2"/>
      <w:sz w:val="24"/>
      <w:szCs w:val="21"/>
    </w:rPr>
  </w:style>
  <w:style w:type="paragraph" w:customStyle="1" w:styleId="531">
    <w:name w:val="+正文"/>
    <w:basedOn w:val="3"/>
    <w:next w:val="1"/>
    <w:autoRedefine/>
    <w:qFormat/>
    <w:uiPriority w:val="99"/>
    <w:pPr>
      <w:keepNext w:val="0"/>
      <w:keepLines w:val="0"/>
      <w:adjustRightInd w:val="0"/>
      <w:snapToGrid w:val="0"/>
      <w:spacing w:before="0" w:after="0" w:line="360" w:lineRule="auto"/>
      <w:ind w:firstLine="200" w:firstLineChars="200"/>
      <w:outlineLvl w:val="9"/>
    </w:pPr>
    <w:rPr>
      <w:bCs w:val="0"/>
      <w:kern w:val="2"/>
      <w:sz w:val="24"/>
      <w:szCs w:val="28"/>
    </w:rPr>
  </w:style>
  <w:style w:type="paragraph" w:customStyle="1" w:styleId="532">
    <w:name w:val="样式 宋体 四号 两端对齐 行距: 1.5 倍行距"/>
    <w:basedOn w:val="3"/>
    <w:next w:val="1"/>
    <w:autoRedefine/>
    <w:qFormat/>
    <w:uiPriority w:val="99"/>
    <w:pPr>
      <w:keepNext w:val="0"/>
      <w:keepLines w:val="0"/>
      <w:widowControl/>
      <w:overflowPunct w:val="0"/>
      <w:autoSpaceDE w:val="0"/>
      <w:autoSpaceDN w:val="0"/>
      <w:adjustRightInd w:val="0"/>
      <w:spacing w:before="0" w:after="0" w:line="480" w:lineRule="exact"/>
      <w:ind w:firstLine="200" w:firstLineChars="200"/>
      <w:outlineLvl w:val="9"/>
    </w:pPr>
    <w:rPr>
      <w:rFonts w:ascii="宋体" w:hAnsi="宋体" w:cs="宋体"/>
      <w:bCs w:val="0"/>
      <w:kern w:val="0"/>
      <w:sz w:val="28"/>
      <w:szCs w:val="20"/>
      <w:lang w:val="en-GB"/>
    </w:rPr>
  </w:style>
  <w:style w:type="character" w:customStyle="1" w:styleId="533">
    <w:name w:val="sn Char Char"/>
    <w:link w:val="534"/>
    <w:autoRedefine/>
    <w:qFormat/>
    <w:locked/>
    <w:uiPriority w:val="0"/>
    <w:rPr>
      <w:rFonts w:ascii="Arial" w:hAnsi="Arial" w:cs="Arial"/>
      <w:sz w:val="24"/>
      <w:szCs w:val="24"/>
    </w:rPr>
  </w:style>
  <w:style w:type="paragraph" w:customStyle="1" w:styleId="534">
    <w:name w:val="sn"/>
    <w:basedOn w:val="42"/>
    <w:next w:val="1"/>
    <w:link w:val="533"/>
    <w:autoRedefine/>
    <w:qFormat/>
    <w:uiPriority w:val="0"/>
    <w:rPr>
      <w:rFonts w:ascii="Arial" w:hAnsi="Arial" w:cs="Arial"/>
    </w:rPr>
  </w:style>
  <w:style w:type="paragraph" w:customStyle="1" w:styleId="535">
    <w:name w:val="Char Char Char Char2"/>
    <w:basedOn w:val="3"/>
    <w:next w:val="1"/>
    <w:autoRedefine/>
    <w:qFormat/>
    <w:uiPriority w:val="99"/>
    <w:pPr>
      <w:keepNext w:val="0"/>
      <w:keepLines w:val="0"/>
      <w:spacing w:before="0" w:after="0" w:line="500" w:lineRule="atLeast"/>
      <w:ind w:firstLine="425" w:firstLineChars="177"/>
      <w:outlineLvl w:val="9"/>
    </w:pPr>
    <w:rPr>
      <w:bCs w:val="0"/>
      <w:kern w:val="2"/>
      <w:sz w:val="24"/>
      <w:szCs w:val="24"/>
    </w:rPr>
  </w:style>
  <w:style w:type="paragraph" w:customStyle="1" w:styleId="536">
    <w:name w:val="1表格"/>
    <w:basedOn w:val="3"/>
    <w:next w:val="1"/>
    <w:autoRedefine/>
    <w:qFormat/>
    <w:uiPriority w:val="99"/>
    <w:pPr>
      <w:keepNext w:val="0"/>
      <w:keepLines w:val="0"/>
      <w:snapToGrid w:val="0"/>
      <w:spacing w:before="0" w:after="0" w:line="500" w:lineRule="atLeast"/>
      <w:ind w:firstLine="425" w:firstLineChars="177"/>
      <w:jc w:val="center"/>
      <w:outlineLvl w:val="9"/>
    </w:pPr>
    <w:rPr>
      <w:bCs w:val="0"/>
      <w:color w:val="000000"/>
      <w:spacing w:val="4"/>
      <w:kern w:val="0"/>
      <w:sz w:val="24"/>
      <w:szCs w:val="24"/>
    </w:rPr>
  </w:style>
  <w:style w:type="paragraph" w:customStyle="1" w:styleId="537">
    <w:name w:val="样式 标题 3样式　标题 3　自动设置标题 3 Char章 + Times New 表题3"/>
    <w:basedOn w:val="5"/>
    <w:next w:val="1"/>
    <w:autoRedefine/>
    <w:qFormat/>
    <w:uiPriority w:val="99"/>
    <w:pPr>
      <w:tabs>
        <w:tab w:val="left" w:pos="1830"/>
        <w:tab w:val="left" w:pos="3800"/>
        <w:tab w:val="left" w:pos="5200"/>
      </w:tabs>
      <w:autoSpaceDE w:val="0"/>
      <w:autoSpaceDN w:val="0"/>
      <w:adjustRightInd w:val="0"/>
      <w:spacing w:before="120" w:after="0" w:line="240" w:lineRule="auto"/>
      <w:ind w:left="1830" w:hanging="420"/>
    </w:pPr>
    <w:rPr>
      <w:rFonts w:ascii="Times New Roman" w:hAnsi="Times New Roman"/>
      <w:bCs/>
      <w:kern w:val="0"/>
      <w:sz w:val="28"/>
      <w:szCs w:val="28"/>
    </w:rPr>
  </w:style>
  <w:style w:type="paragraph" w:customStyle="1" w:styleId="538">
    <w:name w:val="Bullet_Indent"/>
    <w:basedOn w:val="3"/>
    <w:next w:val="1"/>
    <w:autoRedefine/>
    <w:qFormat/>
    <w:uiPriority w:val="99"/>
    <w:pPr>
      <w:keepNext w:val="0"/>
      <w:keepLines w:val="0"/>
      <w:widowControl/>
      <w:spacing w:before="0" w:after="240" w:line="500" w:lineRule="atLeast"/>
      <w:ind w:left="1440" w:hanging="720" w:firstLineChars="177"/>
      <w:jc w:val="left"/>
      <w:outlineLvl w:val="9"/>
    </w:pPr>
    <w:rPr>
      <w:bCs w:val="0"/>
      <w:kern w:val="0"/>
      <w:sz w:val="24"/>
      <w:szCs w:val="20"/>
    </w:rPr>
  </w:style>
  <w:style w:type="paragraph" w:customStyle="1" w:styleId="539">
    <w:name w:val="zhengwen"/>
    <w:basedOn w:val="3"/>
    <w:next w:val="1"/>
    <w:autoRedefine/>
    <w:qFormat/>
    <w:uiPriority w:val="99"/>
    <w:pPr>
      <w:keepNext w:val="0"/>
      <w:keepLines w:val="0"/>
      <w:widowControl/>
      <w:spacing w:before="100" w:beforeAutospacing="1" w:after="100" w:afterAutospacing="1" w:line="800" w:lineRule="atLeast"/>
      <w:ind w:firstLine="425" w:firstLineChars="177"/>
      <w:jc w:val="left"/>
      <w:outlineLvl w:val="9"/>
    </w:pPr>
    <w:rPr>
      <w:rFonts w:ascii="Arial Unicode MS" w:hAnsi="Arial Unicode MS"/>
      <w:bCs w:val="0"/>
      <w:color w:val="333333"/>
      <w:kern w:val="0"/>
      <w:sz w:val="18"/>
      <w:szCs w:val="18"/>
    </w:rPr>
  </w:style>
  <w:style w:type="paragraph" w:customStyle="1" w:styleId="540">
    <w:name w:val="xl50"/>
    <w:basedOn w:val="3"/>
    <w:next w:val="1"/>
    <w:autoRedefine/>
    <w:qFormat/>
    <w:uiPriority w:val="99"/>
    <w:pPr>
      <w:keepNext w:val="0"/>
      <w:keepLines w:val="0"/>
      <w:widowControl/>
      <w:pBdr>
        <w:left w:val="single" w:color="auto" w:sz="8" w:space="0"/>
        <w:bottom w:val="single" w:color="auto" w:sz="8" w:space="0"/>
        <w:right w:val="single" w:color="auto" w:sz="8" w:space="0"/>
      </w:pBdr>
      <w:spacing w:before="100" w:beforeAutospacing="1" w:after="100" w:afterAutospacing="1" w:line="500" w:lineRule="atLeast"/>
      <w:ind w:firstLine="425" w:firstLineChars="177"/>
      <w:jc w:val="center"/>
      <w:outlineLvl w:val="9"/>
    </w:pPr>
    <w:rPr>
      <w:bCs w:val="0"/>
      <w:color w:val="000000"/>
      <w:kern w:val="0"/>
      <w:sz w:val="24"/>
      <w:szCs w:val="21"/>
    </w:rPr>
  </w:style>
  <w:style w:type="paragraph" w:customStyle="1" w:styleId="541">
    <w:name w:val="表格2"/>
    <w:basedOn w:val="3"/>
    <w:next w:val="1"/>
    <w:autoRedefine/>
    <w:qFormat/>
    <w:uiPriority w:val="99"/>
    <w:pPr>
      <w:keepNext w:val="0"/>
      <w:keepLines w:val="0"/>
      <w:spacing w:beforeLines="5" w:after="0" w:line="500" w:lineRule="atLeast"/>
      <w:ind w:firstLine="425" w:firstLineChars="177"/>
      <w:jc w:val="center"/>
      <w:outlineLvl w:val="9"/>
    </w:pPr>
    <w:rPr>
      <w:rFonts w:ascii="宋体"/>
      <w:bCs w:val="0"/>
      <w:kern w:val="2"/>
      <w:sz w:val="24"/>
      <w:szCs w:val="20"/>
    </w:rPr>
  </w:style>
  <w:style w:type="paragraph" w:customStyle="1" w:styleId="542">
    <w:name w:val="Char Char Char Char1 Char Char Char1 Char Char Char"/>
    <w:basedOn w:val="3"/>
    <w:next w:val="1"/>
    <w:autoRedefine/>
    <w:qFormat/>
    <w:uiPriority w:val="99"/>
    <w:pPr>
      <w:keepNext w:val="0"/>
      <w:keepLines w:val="0"/>
      <w:spacing w:before="0" w:after="0" w:line="360" w:lineRule="auto"/>
      <w:ind w:firstLine="200" w:firstLineChars="200"/>
      <w:outlineLvl w:val="9"/>
    </w:pPr>
    <w:rPr>
      <w:rFonts w:ascii="宋体" w:hAnsi="宋体" w:cs="宋体"/>
      <w:bCs w:val="0"/>
      <w:kern w:val="2"/>
      <w:sz w:val="24"/>
      <w:szCs w:val="24"/>
    </w:rPr>
  </w:style>
  <w:style w:type="paragraph" w:customStyle="1" w:styleId="543">
    <w:name w:val="IDC A-Head (2nd Line)"/>
    <w:basedOn w:val="3"/>
    <w:next w:val="1"/>
    <w:autoRedefine/>
    <w:qFormat/>
    <w:uiPriority w:val="99"/>
    <w:pPr>
      <w:keepNext w:val="0"/>
      <w:keepLines w:val="0"/>
      <w:widowControl/>
      <w:numPr>
        <w:ilvl w:val="0"/>
        <w:numId w:val="1"/>
      </w:numPr>
      <w:spacing w:before="0" w:after="0" w:line="500" w:lineRule="atLeast"/>
      <w:ind w:firstLine="177" w:firstLineChars="177"/>
      <w:jc w:val="center"/>
      <w:outlineLvl w:val="9"/>
    </w:pPr>
    <w:rPr>
      <w:bCs w:val="0"/>
      <w:caps/>
      <w:kern w:val="0"/>
      <w:sz w:val="24"/>
      <w:szCs w:val="20"/>
    </w:rPr>
  </w:style>
  <w:style w:type="paragraph" w:customStyle="1" w:styleId="544">
    <w:name w:val="表格文字（黑体）"/>
    <w:basedOn w:val="210"/>
    <w:next w:val="1"/>
    <w:autoRedefine/>
    <w:qFormat/>
    <w:uiPriority w:val="99"/>
    <w:rPr>
      <w:rFonts w:ascii="Times New Roman" w:hAnsi="Times New Roman" w:eastAsia="宋体"/>
      <w:kern w:val="2"/>
      <w:sz w:val="21"/>
    </w:rPr>
  </w:style>
  <w:style w:type="paragraph" w:customStyle="1" w:styleId="545">
    <w:name w:val="Body Text 21"/>
    <w:basedOn w:val="3"/>
    <w:next w:val="1"/>
    <w:autoRedefine/>
    <w:qFormat/>
    <w:uiPriority w:val="99"/>
    <w:pPr>
      <w:keepNext w:val="0"/>
      <w:keepLines w:val="0"/>
      <w:autoSpaceDE w:val="0"/>
      <w:autoSpaceDN w:val="0"/>
      <w:adjustRightInd w:val="0"/>
      <w:spacing w:before="0" w:after="0" w:line="480" w:lineRule="exact"/>
      <w:ind w:firstLine="540" w:firstLineChars="177"/>
      <w:outlineLvl w:val="9"/>
    </w:pPr>
    <w:rPr>
      <w:rFonts w:ascii="宋体" w:hAnsi="Tms Rmn"/>
      <w:bCs w:val="0"/>
      <w:kern w:val="0"/>
      <w:sz w:val="24"/>
      <w:szCs w:val="20"/>
    </w:rPr>
  </w:style>
  <w:style w:type="character" w:customStyle="1" w:styleId="546">
    <w:name w:val="二级标题 Char"/>
    <w:basedOn w:val="64"/>
    <w:link w:val="547"/>
    <w:autoRedefine/>
    <w:qFormat/>
    <w:locked/>
    <w:uiPriority w:val="0"/>
    <w:rPr>
      <w:rFonts w:ascii="Arial" w:hAnsi="黑体" w:eastAsia="黑体" w:cs="Arial"/>
      <w:color w:val="000000"/>
      <w:kern w:val="0"/>
      <w:sz w:val="28"/>
      <w:szCs w:val="30"/>
    </w:rPr>
  </w:style>
  <w:style w:type="paragraph" w:customStyle="1" w:styleId="547">
    <w:name w:val="二级标题"/>
    <w:basedOn w:val="4"/>
    <w:next w:val="1"/>
    <w:link w:val="546"/>
    <w:autoRedefine/>
    <w:qFormat/>
    <w:uiPriority w:val="0"/>
    <w:pPr>
      <w:spacing w:before="200" w:after="200" w:line="360" w:lineRule="auto"/>
    </w:pPr>
    <w:rPr>
      <w:rFonts w:ascii="Arial" w:hAnsi="黑体" w:eastAsia="黑体" w:cs="Arial"/>
      <w:color w:val="000000"/>
      <w:kern w:val="0"/>
      <w:sz w:val="28"/>
      <w:szCs w:val="30"/>
    </w:rPr>
  </w:style>
  <w:style w:type="paragraph" w:customStyle="1" w:styleId="548">
    <w:name w:val="正文曹"/>
    <w:basedOn w:val="20"/>
    <w:next w:val="1"/>
    <w:autoRedefine/>
    <w:qFormat/>
    <w:uiPriority w:val="99"/>
    <w:pPr>
      <w:widowControl/>
      <w:spacing w:line="500" w:lineRule="exact"/>
      <w:jc w:val="left"/>
    </w:pPr>
    <w:rPr>
      <w:rFonts w:ascii="宋体" w:hAnsi="宋体"/>
      <w:color w:val="000000"/>
    </w:rPr>
  </w:style>
  <w:style w:type="character" w:customStyle="1" w:styleId="549">
    <w:name w:val="【标题2】 Char Char"/>
    <w:link w:val="550"/>
    <w:autoRedefine/>
    <w:qFormat/>
    <w:locked/>
    <w:uiPriority w:val="0"/>
    <w:rPr>
      <w:rFonts w:ascii="宋体" w:hAnsi="宋体" w:eastAsia="宋体"/>
      <w:b/>
      <w:bCs/>
      <w:sz w:val="28"/>
    </w:rPr>
  </w:style>
  <w:style w:type="paragraph" w:customStyle="1" w:styleId="550">
    <w:name w:val="【标题2】"/>
    <w:basedOn w:val="4"/>
    <w:next w:val="1"/>
    <w:link w:val="549"/>
    <w:autoRedefine/>
    <w:qFormat/>
    <w:uiPriority w:val="0"/>
    <w:pPr>
      <w:keepNext w:val="0"/>
      <w:tabs>
        <w:tab w:val="left" w:pos="720"/>
      </w:tabs>
      <w:spacing w:before="0" w:after="0" w:line="440" w:lineRule="exact"/>
    </w:pPr>
    <w:rPr>
      <w:rFonts w:ascii="宋体" w:hAnsi="宋体" w:eastAsia="宋体" w:cstheme="minorBidi"/>
      <w:sz w:val="28"/>
      <w:szCs w:val="22"/>
    </w:rPr>
  </w:style>
  <w:style w:type="character" w:customStyle="1" w:styleId="551">
    <w:name w:val="表格内正文 Char"/>
    <w:link w:val="552"/>
    <w:autoRedefine/>
    <w:qFormat/>
    <w:locked/>
    <w:uiPriority w:val="0"/>
    <w:rPr>
      <w:rFonts w:ascii="宋体" w:hAnsi="宋体" w:eastAsia="宋体"/>
      <w:szCs w:val="24"/>
    </w:rPr>
  </w:style>
  <w:style w:type="paragraph" w:customStyle="1" w:styleId="552">
    <w:name w:val="表格内正文"/>
    <w:basedOn w:val="3"/>
    <w:next w:val="1"/>
    <w:link w:val="551"/>
    <w:autoRedefine/>
    <w:qFormat/>
    <w:uiPriority w:val="0"/>
    <w:pPr>
      <w:keepNext w:val="0"/>
      <w:keepLines w:val="0"/>
      <w:spacing w:before="0" w:after="0" w:line="360" w:lineRule="auto"/>
      <w:jc w:val="center"/>
      <w:outlineLvl w:val="9"/>
    </w:pPr>
    <w:rPr>
      <w:rFonts w:ascii="宋体" w:hAnsi="宋体" w:cstheme="minorBidi"/>
      <w:bCs w:val="0"/>
      <w:kern w:val="2"/>
      <w:sz w:val="21"/>
      <w:szCs w:val="24"/>
    </w:rPr>
  </w:style>
  <w:style w:type="paragraph" w:customStyle="1" w:styleId="553">
    <w:name w:val="样式 cucd-0 + 宋体"/>
    <w:basedOn w:val="384"/>
    <w:next w:val="1"/>
    <w:autoRedefine/>
    <w:qFormat/>
    <w:uiPriority w:val="99"/>
    <w:rPr>
      <w:rFonts w:ascii="宋体" w:hAnsi="宋体"/>
    </w:rPr>
  </w:style>
  <w:style w:type="paragraph" w:customStyle="1" w:styleId="554">
    <w:name w:val="Char Char Char Char Char Char Char Char Char Char Char Char1 Char Char Char Char Char Char Char Char Char Char Char Char1 Char"/>
    <w:basedOn w:val="3"/>
    <w:next w:val="1"/>
    <w:autoRedefine/>
    <w:semiHidden/>
    <w:qFormat/>
    <w:uiPriority w:val="99"/>
    <w:pPr>
      <w:keepNext w:val="0"/>
      <w:keepLines w:val="0"/>
      <w:spacing w:before="0" w:after="0" w:line="336" w:lineRule="auto"/>
      <w:ind w:firstLine="200" w:firstLineChars="200"/>
      <w:outlineLvl w:val="9"/>
    </w:pPr>
    <w:rPr>
      <w:rFonts w:ascii="宋体" w:hAnsi="宋体" w:eastAsia="汉鼎简书宋" w:cs="宋体"/>
      <w:bCs w:val="0"/>
      <w:kern w:val="2"/>
      <w:sz w:val="24"/>
      <w:szCs w:val="24"/>
    </w:rPr>
  </w:style>
  <w:style w:type="paragraph" w:customStyle="1" w:styleId="555">
    <w:name w:val="Char Char Char1 Char"/>
    <w:basedOn w:val="3"/>
    <w:next w:val="1"/>
    <w:autoRedefine/>
    <w:semiHidden/>
    <w:qFormat/>
    <w:uiPriority w:val="99"/>
    <w:pPr>
      <w:keepNext w:val="0"/>
      <w:keepLines w:val="0"/>
      <w:spacing w:before="0" w:after="0" w:line="500" w:lineRule="atLeast"/>
      <w:ind w:firstLine="425" w:firstLineChars="177"/>
      <w:outlineLvl w:val="9"/>
    </w:pPr>
    <w:rPr>
      <w:bCs w:val="0"/>
      <w:kern w:val="2"/>
      <w:sz w:val="24"/>
      <w:szCs w:val="24"/>
    </w:rPr>
  </w:style>
  <w:style w:type="paragraph" w:customStyle="1" w:styleId="556">
    <w:name w:val="正文(a)"/>
    <w:basedOn w:val="3"/>
    <w:next w:val="1"/>
    <w:autoRedefine/>
    <w:semiHidden/>
    <w:qFormat/>
    <w:uiPriority w:val="99"/>
    <w:pPr>
      <w:keepNext w:val="0"/>
      <w:keepLines w:val="0"/>
      <w:widowControl/>
      <w:tabs>
        <w:tab w:val="left" w:pos="1139"/>
        <w:tab w:val="left" w:pos="1332"/>
      </w:tabs>
      <w:spacing w:before="0" w:after="0" w:line="351" w:lineRule="atLeast"/>
      <w:ind w:left="-141" w:firstLine="566" w:firstLineChars="177"/>
      <w:outlineLvl w:val="9"/>
    </w:pPr>
    <w:rPr>
      <w:rFonts w:ascii="宋体" w:cs="宋体"/>
      <w:color w:val="000000"/>
      <w:spacing w:val="5"/>
      <w:kern w:val="0"/>
      <w:sz w:val="24"/>
      <w:szCs w:val="21"/>
      <w:u w:color="000000"/>
    </w:rPr>
  </w:style>
  <w:style w:type="character" w:styleId="557">
    <w:name w:val="Placeholder Text"/>
    <w:basedOn w:val="49"/>
    <w:autoRedefine/>
    <w:semiHidden/>
    <w:qFormat/>
    <w:uiPriority w:val="99"/>
    <w:rPr>
      <w:color w:val="808080"/>
    </w:rPr>
  </w:style>
  <w:style w:type="character" w:customStyle="1" w:styleId="558">
    <w:name w:val="页脚 Char1"/>
    <w:basedOn w:val="49"/>
    <w:autoRedefine/>
    <w:semiHidden/>
    <w:qFormat/>
    <w:uiPriority w:val="99"/>
    <w:rPr>
      <w:rFonts w:ascii="Times New Roman" w:hAnsi="Times New Roman" w:eastAsia="宋体" w:cs="Times New Roman"/>
      <w:sz w:val="18"/>
      <w:szCs w:val="18"/>
    </w:rPr>
  </w:style>
  <w:style w:type="character" w:customStyle="1" w:styleId="559">
    <w:name w:val="文档结构图 Char1"/>
    <w:basedOn w:val="49"/>
    <w:autoRedefine/>
    <w:semiHidden/>
    <w:qFormat/>
    <w:uiPriority w:val="99"/>
    <w:rPr>
      <w:rFonts w:ascii="宋体" w:hAnsi="Times New Roman" w:eastAsia="宋体" w:cs="Times New Roman"/>
      <w:sz w:val="18"/>
      <w:szCs w:val="18"/>
    </w:rPr>
  </w:style>
  <w:style w:type="character" w:customStyle="1" w:styleId="560">
    <w:name w:val="副标题 Char1"/>
    <w:basedOn w:val="49"/>
    <w:autoRedefine/>
    <w:qFormat/>
    <w:uiPriority w:val="11"/>
    <w:rPr>
      <w:rFonts w:eastAsia="宋体" w:asciiTheme="majorHAnsi" w:hAnsiTheme="majorHAnsi" w:cstheme="majorBidi"/>
      <w:b/>
      <w:bCs/>
      <w:kern w:val="28"/>
      <w:sz w:val="32"/>
      <w:szCs w:val="32"/>
    </w:rPr>
  </w:style>
  <w:style w:type="character" w:customStyle="1" w:styleId="561">
    <w:name w:val="fontstyle21"/>
    <w:basedOn w:val="49"/>
    <w:autoRedefine/>
    <w:qFormat/>
    <w:uiPriority w:val="0"/>
    <w:rPr>
      <w:rFonts w:hint="default" w:ascii="Times New Roman" w:hAnsi="Times New Roman" w:cs="Times New Roman"/>
      <w:color w:val="000000"/>
      <w:sz w:val="24"/>
      <w:szCs w:val="24"/>
    </w:rPr>
  </w:style>
  <w:style w:type="character" w:customStyle="1" w:styleId="562">
    <w:name w:val="正文文本 2 Char1"/>
    <w:basedOn w:val="49"/>
    <w:autoRedefine/>
    <w:semiHidden/>
    <w:qFormat/>
    <w:uiPriority w:val="0"/>
    <w:rPr>
      <w:rFonts w:ascii="Times New Roman" w:hAnsi="Times New Roman" w:eastAsia="宋体" w:cs="Times New Roman"/>
      <w:szCs w:val="24"/>
    </w:rPr>
  </w:style>
  <w:style w:type="character" w:customStyle="1" w:styleId="563">
    <w:name w:val="正文文本 3 Char1"/>
    <w:basedOn w:val="49"/>
    <w:autoRedefine/>
    <w:semiHidden/>
    <w:qFormat/>
    <w:uiPriority w:val="0"/>
    <w:rPr>
      <w:rFonts w:ascii="Times New Roman" w:hAnsi="Times New Roman" w:eastAsia="宋体" w:cs="Times New Roman"/>
      <w:sz w:val="16"/>
      <w:szCs w:val="16"/>
    </w:rPr>
  </w:style>
  <w:style w:type="character" w:customStyle="1" w:styleId="564">
    <w:name w:val="正文文本缩进 3 Char1"/>
    <w:basedOn w:val="49"/>
    <w:autoRedefine/>
    <w:semiHidden/>
    <w:qFormat/>
    <w:uiPriority w:val="99"/>
    <w:rPr>
      <w:rFonts w:ascii="Times New Roman" w:hAnsi="Times New Roman" w:eastAsia="宋体" w:cs="Times New Roman"/>
      <w:sz w:val="16"/>
      <w:szCs w:val="16"/>
    </w:rPr>
  </w:style>
  <w:style w:type="character" w:customStyle="1" w:styleId="565">
    <w:name w:val="批注主题 Char1"/>
    <w:basedOn w:val="134"/>
    <w:autoRedefine/>
    <w:semiHidden/>
    <w:qFormat/>
    <w:uiPriority w:val="99"/>
    <w:rPr>
      <w:rFonts w:ascii="Times New Roman" w:hAnsi="Times New Roman" w:eastAsia="宋体" w:cs="Times New Roman"/>
      <w:b/>
      <w:bCs/>
      <w:szCs w:val="24"/>
    </w:rPr>
  </w:style>
  <w:style w:type="character" w:customStyle="1" w:styleId="566">
    <w:name w:val="批注框文本 Char1"/>
    <w:basedOn w:val="49"/>
    <w:autoRedefine/>
    <w:semiHidden/>
    <w:qFormat/>
    <w:uiPriority w:val="0"/>
    <w:rPr>
      <w:rFonts w:ascii="Times New Roman" w:hAnsi="Times New Roman" w:eastAsia="宋体" w:cs="Times New Roman"/>
      <w:sz w:val="18"/>
      <w:szCs w:val="18"/>
    </w:rPr>
  </w:style>
  <w:style w:type="character" w:customStyle="1" w:styleId="567">
    <w:name w:val="【正文】 Char Char"/>
    <w:autoRedefine/>
    <w:qFormat/>
    <w:uiPriority w:val="0"/>
    <w:rPr>
      <w:sz w:val="24"/>
    </w:rPr>
  </w:style>
  <w:style w:type="character" w:customStyle="1" w:styleId="568">
    <w:name w:val="fontstyle31"/>
    <w:basedOn w:val="49"/>
    <w:autoRedefine/>
    <w:qFormat/>
    <w:uiPriority w:val="0"/>
    <w:rPr>
      <w:rFonts w:hint="default" w:ascii="TimesNewRomanPS-ItalicMT" w:hAnsi="TimesNewRomanPS-ItalicMT"/>
      <w:i/>
      <w:iCs/>
      <w:color w:val="000000"/>
      <w:sz w:val="14"/>
      <w:szCs w:val="14"/>
    </w:rPr>
  </w:style>
  <w:style w:type="character" w:customStyle="1" w:styleId="569">
    <w:name w:val="表正文 Char1 Char Char"/>
    <w:autoRedefine/>
    <w:qFormat/>
    <w:uiPriority w:val="0"/>
    <w:rPr>
      <w:sz w:val="24"/>
    </w:rPr>
  </w:style>
  <w:style w:type="character" w:customStyle="1" w:styleId="570">
    <w:name w:val="style81"/>
    <w:autoRedefine/>
    <w:qFormat/>
    <w:uiPriority w:val="0"/>
    <w:rPr>
      <w:rFonts w:hint="eastAsia" w:ascii="宋体" w:hAnsi="宋体" w:eastAsia="黑体" w:cs="宋体"/>
      <w:kern w:val="2"/>
      <w:sz w:val="24"/>
      <w:szCs w:val="24"/>
      <w:lang w:val="en-US" w:eastAsia="zh-CN" w:bidi="ar-SA"/>
    </w:rPr>
  </w:style>
  <w:style w:type="character" w:customStyle="1" w:styleId="571">
    <w:name w:val="样式 正文zoe + 幼圆1 Char Char"/>
    <w:autoRedefine/>
    <w:qFormat/>
    <w:uiPriority w:val="0"/>
    <w:rPr>
      <w:rFonts w:hint="eastAsia" w:ascii="幼圆" w:hAnsi="幼圆" w:eastAsia="宋体" w:cs="Times New Roman"/>
      <w:kern w:val="0"/>
      <w:sz w:val="24"/>
      <w:szCs w:val="20"/>
    </w:rPr>
  </w:style>
  <w:style w:type="character" w:customStyle="1" w:styleId="572">
    <w:name w:val="正文(首行缩进) Char Char"/>
    <w:autoRedefine/>
    <w:qFormat/>
    <w:uiPriority w:val="0"/>
    <w:rPr>
      <w:snapToGrid w:val="0"/>
      <w:sz w:val="24"/>
      <w:szCs w:val="24"/>
    </w:rPr>
  </w:style>
  <w:style w:type="character" w:customStyle="1" w:styleId="573">
    <w:name w:val="表格 Char Char"/>
    <w:autoRedefine/>
    <w:qFormat/>
    <w:uiPriority w:val="0"/>
    <w:rPr>
      <w:rFonts w:hint="eastAsia" w:ascii="宋体" w:hAnsi="宋体" w:eastAsia="宋体" w:cs="Times New Roman"/>
      <w:snapToGrid w:val="0"/>
      <w:kern w:val="0"/>
      <w:sz w:val="20"/>
      <w:szCs w:val="20"/>
    </w:rPr>
  </w:style>
  <w:style w:type="character" w:customStyle="1" w:styleId="574">
    <w:name w:val="Char Char17"/>
    <w:autoRedefine/>
    <w:qFormat/>
    <w:uiPriority w:val="0"/>
    <w:rPr>
      <w:rFonts w:hint="default" w:ascii="Times New Roman" w:hAnsi="Times New Roman" w:eastAsia="黑体" w:cs="Times New Roman"/>
      <w:bCs/>
      <w:color w:val="000000"/>
      <w:sz w:val="28"/>
      <w:szCs w:val="28"/>
    </w:rPr>
  </w:style>
  <w:style w:type="character" w:customStyle="1" w:styleId="575">
    <w:name w:val="Char Char16"/>
    <w:autoRedefine/>
    <w:qFormat/>
    <w:uiPriority w:val="0"/>
    <w:rPr>
      <w:rFonts w:hint="default" w:ascii="Times New Roman" w:hAnsi="Times New Roman" w:eastAsia="宋体" w:cs="Times New Roman"/>
      <w:b/>
      <w:bCs/>
      <w:color w:val="000000"/>
      <w:sz w:val="28"/>
      <w:szCs w:val="28"/>
    </w:rPr>
  </w:style>
  <w:style w:type="character" w:customStyle="1" w:styleId="576">
    <w:name w:val="正文文本缩进 Char Char"/>
    <w:basedOn w:val="49"/>
    <w:autoRedefine/>
    <w:qFormat/>
    <w:uiPriority w:val="0"/>
  </w:style>
  <w:style w:type="character" w:customStyle="1" w:styleId="577">
    <w:name w:val="正文文本_"/>
    <w:autoRedefine/>
    <w:qFormat/>
    <w:uiPriority w:val="0"/>
    <w:rPr>
      <w:rFonts w:hint="eastAsia" w:ascii="MingLiU" w:hAnsi="MingLiU" w:eastAsia="MingLiU" w:cs="MingLiU"/>
      <w:sz w:val="23"/>
      <w:szCs w:val="23"/>
      <w:u w:val="none"/>
    </w:rPr>
  </w:style>
  <w:style w:type="character" w:customStyle="1" w:styleId="578">
    <w:name w:val="正文文本 + Times New Roman3"/>
    <w:autoRedefine/>
    <w:qFormat/>
    <w:uiPriority w:val="0"/>
    <w:rPr>
      <w:rFonts w:hint="default" w:ascii="Times New Roman" w:hAnsi="Times New Roman" w:eastAsia="MingLiU" w:cs="Times New Roman"/>
      <w:sz w:val="23"/>
      <w:szCs w:val="23"/>
      <w:u w:val="none"/>
    </w:rPr>
  </w:style>
  <w:style w:type="character" w:customStyle="1" w:styleId="579">
    <w:name w:val="正文文本 + Times New Roman2"/>
    <w:autoRedefine/>
    <w:qFormat/>
    <w:uiPriority w:val="0"/>
    <w:rPr>
      <w:rFonts w:hint="default" w:ascii="Times New Roman" w:hAnsi="Times New Roman" w:eastAsia="MingLiU" w:cs="Times New Roman"/>
      <w:b/>
      <w:bCs/>
      <w:sz w:val="16"/>
      <w:szCs w:val="16"/>
      <w:u w:val="none"/>
    </w:rPr>
  </w:style>
  <w:style w:type="character" w:customStyle="1" w:styleId="580">
    <w:name w:val="正文文本 (2) + Times New Roman"/>
    <w:autoRedefine/>
    <w:qFormat/>
    <w:uiPriority w:val="0"/>
    <w:rPr>
      <w:rFonts w:hint="default" w:ascii="Times New Roman" w:hAnsi="Times New Roman" w:eastAsia="MingLiU" w:cs="Times New Roman"/>
      <w:b/>
      <w:bCs/>
      <w:sz w:val="20"/>
      <w:szCs w:val="20"/>
      <w:lang w:bidi="ar-SA"/>
    </w:rPr>
  </w:style>
  <w:style w:type="character" w:customStyle="1" w:styleId="581">
    <w:name w:val="正文文本 + 间距 0 pt"/>
    <w:autoRedefine/>
    <w:qFormat/>
    <w:uiPriority w:val="0"/>
    <w:rPr>
      <w:rFonts w:hint="eastAsia" w:ascii="MingLiU" w:hAnsi="MingLiU" w:eastAsia="MingLiU" w:cs="MingLiU"/>
      <w:spacing w:val="-11"/>
      <w:sz w:val="23"/>
      <w:szCs w:val="23"/>
      <w:u w:val="none"/>
    </w:rPr>
  </w:style>
  <w:style w:type="character" w:customStyle="1" w:styleId="582">
    <w:name w:val="正文文本 + 间距 0 pt10"/>
    <w:autoRedefine/>
    <w:qFormat/>
    <w:uiPriority w:val="0"/>
    <w:rPr>
      <w:rFonts w:hint="eastAsia" w:ascii="MingLiU" w:hAnsi="MingLiU" w:eastAsia="MingLiU" w:cs="MingLiU"/>
      <w:spacing w:val="-15"/>
      <w:sz w:val="23"/>
      <w:szCs w:val="23"/>
      <w:u w:val="none"/>
    </w:rPr>
  </w:style>
  <w:style w:type="character" w:customStyle="1" w:styleId="583">
    <w:name w:val="Char Char172"/>
    <w:autoRedefine/>
    <w:qFormat/>
    <w:uiPriority w:val="0"/>
    <w:rPr>
      <w:rFonts w:hint="default" w:ascii="Times New Roman" w:hAnsi="Times New Roman" w:eastAsia="黑体" w:cs="Times New Roman"/>
      <w:bCs/>
      <w:color w:val="000000"/>
      <w:sz w:val="28"/>
      <w:szCs w:val="28"/>
    </w:rPr>
  </w:style>
  <w:style w:type="character" w:customStyle="1" w:styleId="584">
    <w:name w:val="Char Char162"/>
    <w:autoRedefine/>
    <w:qFormat/>
    <w:uiPriority w:val="0"/>
    <w:rPr>
      <w:rFonts w:hint="default" w:ascii="Times New Roman" w:hAnsi="Times New Roman" w:eastAsia="宋体" w:cs="Times New Roman"/>
      <w:b/>
      <w:bCs/>
      <w:color w:val="000000"/>
      <w:sz w:val="28"/>
      <w:szCs w:val="28"/>
    </w:rPr>
  </w:style>
  <w:style w:type="character" w:customStyle="1" w:styleId="585">
    <w:name w:val="Char Char171"/>
    <w:autoRedefine/>
    <w:qFormat/>
    <w:uiPriority w:val="0"/>
    <w:rPr>
      <w:rFonts w:hint="default" w:ascii="Times New Roman" w:hAnsi="Times New Roman" w:eastAsia="黑体" w:cs="Times New Roman"/>
      <w:bCs/>
      <w:color w:val="000000"/>
      <w:sz w:val="28"/>
      <w:szCs w:val="28"/>
    </w:rPr>
  </w:style>
  <w:style w:type="character" w:customStyle="1" w:styleId="586">
    <w:name w:val="Char Char161"/>
    <w:autoRedefine/>
    <w:qFormat/>
    <w:uiPriority w:val="0"/>
    <w:rPr>
      <w:rFonts w:hint="default" w:ascii="Times New Roman" w:hAnsi="Times New Roman" w:eastAsia="宋体" w:cs="Times New Roman"/>
      <w:b/>
      <w:bCs/>
      <w:color w:val="000000"/>
      <w:sz w:val="28"/>
      <w:szCs w:val="28"/>
    </w:rPr>
  </w:style>
  <w:style w:type="character" w:customStyle="1" w:styleId="587">
    <w:name w:val="样式 黑体 四号"/>
    <w:basedOn w:val="49"/>
    <w:autoRedefine/>
    <w:qFormat/>
    <w:uiPriority w:val="0"/>
    <w:rPr>
      <w:rFonts w:hint="eastAsia" w:ascii="黑体" w:hAnsi="黑体" w:eastAsia="黑体"/>
      <w:sz w:val="28"/>
    </w:rPr>
  </w:style>
  <w:style w:type="character" w:customStyle="1" w:styleId="588">
    <w:name w:val="样式 黑体 小三"/>
    <w:basedOn w:val="49"/>
    <w:autoRedefine/>
    <w:qFormat/>
    <w:uiPriority w:val="0"/>
    <w:rPr>
      <w:rFonts w:hint="default" w:ascii="Times New Roman" w:hAnsi="Times New Roman" w:eastAsia="仿宋_GB2312" w:cs="Times New Roman"/>
    </w:rPr>
  </w:style>
  <w:style w:type="character" w:customStyle="1" w:styleId="589">
    <w:name w:val="Normal Char Char"/>
    <w:autoRedefine/>
    <w:qFormat/>
    <w:uiPriority w:val="0"/>
    <w:rPr>
      <w:rFonts w:hint="eastAsia" w:ascii="宋体" w:hAnsi="Times New Roman" w:eastAsia="宋体"/>
      <w:kern w:val="2"/>
      <w:sz w:val="24"/>
      <w:szCs w:val="22"/>
      <w:lang w:val="en-US" w:eastAsia="zh-CN" w:bidi="ar-SA"/>
    </w:rPr>
  </w:style>
  <w:style w:type="character" w:customStyle="1" w:styleId="590">
    <w:name w:val="Char Char4"/>
    <w:autoRedefine/>
    <w:qFormat/>
    <w:uiPriority w:val="0"/>
    <w:rPr>
      <w:rFonts w:hint="eastAsia" w:ascii="楷体_GB2312" w:eastAsia="楷体_GB2312"/>
      <w:color w:val="000000"/>
      <w:sz w:val="24"/>
      <w:szCs w:val="24"/>
      <w:shd w:val="clear" w:color="auto" w:fill="FFFFFF"/>
      <w:lang w:val="zh-CN" w:eastAsia="zh-CN" w:bidi="ar-SA"/>
    </w:rPr>
  </w:style>
  <w:style w:type="character" w:customStyle="1" w:styleId="591">
    <w:name w:val="表头 Char"/>
    <w:autoRedefine/>
    <w:qFormat/>
    <w:uiPriority w:val="0"/>
    <w:rPr>
      <w:rFonts w:hint="eastAsia" w:ascii="黑体" w:hAnsi="黑体"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592">
    <w:name w:val="正文---------------- Char"/>
    <w:autoRedefine/>
    <w:qFormat/>
    <w:uiPriority w:val="0"/>
    <w:rPr>
      <w:rFonts w:hint="default" w:ascii="Times New Roman" w:hAnsi="Times New Roman" w:eastAsia="宋体" w:cs="Times New Roman"/>
      <w:spacing w:val="16"/>
      <w:sz w:val="24"/>
      <w:szCs w:val="20"/>
    </w:rPr>
  </w:style>
  <w:style w:type="character" w:customStyle="1" w:styleId="593">
    <w:name w:val="表格标题 Char Char"/>
    <w:autoRedefine/>
    <w:qFormat/>
    <w:uiPriority w:val="0"/>
    <w:rPr>
      <w:rFonts w:hint="eastAsia" w:ascii="宋体" w:hAnsi="宋体" w:eastAsia="宋体"/>
      <w:szCs w:val="21"/>
    </w:rPr>
  </w:style>
  <w:style w:type="character" w:customStyle="1" w:styleId="594">
    <w:name w:val="style151"/>
    <w:autoRedefine/>
    <w:qFormat/>
    <w:uiPriority w:val="0"/>
    <w:rPr>
      <w:spacing w:val="240"/>
      <w:sz w:val="18"/>
      <w:szCs w:val="18"/>
    </w:rPr>
  </w:style>
  <w:style w:type="character" w:customStyle="1" w:styleId="595">
    <w:name w:val="正 Char1"/>
    <w:autoRedefine/>
    <w:qFormat/>
    <w:uiPriority w:val="0"/>
    <w:rPr>
      <w:rFonts w:hint="eastAsia" w:ascii="宋体" w:hAnsi="宋体" w:eastAsia="宋体" w:cs="宋体"/>
      <w:sz w:val="24"/>
    </w:rPr>
  </w:style>
  <w:style w:type="character" w:customStyle="1" w:styleId="596">
    <w:name w:val="样式 样式 四号 蓝色 + 自动设置"/>
    <w:basedOn w:val="49"/>
    <w:autoRedefine/>
    <w:qFormat/>
    <w:uiPriority w:val="0"/>
    <w:rPr>
      <w:color w:val="auto"/>
      <w:sz w:val="24"/>
    </w:rPr>
  </w:style>
  <w:style w:type="character" w:customStyle="1" w:styleId="597">
    <w:name w:val="apple-converted-space"/>
    <w:basedOn w:val="49"/>
    <w:autoRedefine/>
    <w:qFormat/>
    <w:uiPriority w:val="0"/>
  </w:style>
  <w:style w:type="character" w:customStyle="1" w:styleId="598">
    <w:name w:val="正文111 Char Char"/>
    <w:autoRedefine/>
    <w:qFormat/>
    <w:uiPriority w:val="0"/>
    <w:rPr>
      <w:rFonts w:hint="default" w:ascii="Times New Roman" w:hAnsi="Times New Roman" w:eastAsia="仿宋_GB2312" w:cs="Times New Roman"/>
      <w:spacing w:val="6"/>
      <w:sz w:val="24"/>
      <w:szCs w:val="24"/>
    </w:rPr>
  </w:style>
  <w:style w:type="character" w:customStyle="1" w:styleId="599">
    <w:name w:val="已访问的超链接1"/>
    <w:basedOn w:val="49"/>
    <w:autoRedefine/>
    <w:qFormat/>
    <w:uiPriority w:val="0"/>
    <w:rPr>
      <w:color w:val="800080"/>
      <w:u w:val="single"/>
    </w:rPr>
  </w:style>
  <w:style w:type="character" w:customStyle="1" w:styleId="600">
    <w:name w:val="defaultfont"/>
    <w:basedOn w:val="49"/>
    <w:autoRedefine/>
    <w:qFormat/>
    <w:uiPriority w:val="0"/>
  </w:style>
  <w:style w:type="character" w:customStyle="1" w:styleId="601">
    <w:name w:val="正文文本 2 Char Char Char"/>
    <w:autoRedefine/>
    <w:qFormat/>
    <w:uiPriority w:val="0"/>
    <w:rPr>
      <w:kern w:val="2"/>
      <w:sz w:val="21"/>
      <w:szCs w:val="24"/>
    </w:rPr>
  </w:style>
  <w:style w:type="character" w:customStyle="1" w:styleId="602">
    <w:name w:val="题注 Char1 Char1"/>
    <w:autoRedefine/>
    <w:qFormat/>
    <w:uiPriority w:val="0"/>
    <w:rPr>
      <w:rFonts w:hint="default" w:ascii="Arial" w:hAnsi="Arial" w:eastAsia="黑体" w:cs="Arial"/>
      <w:color w:val="000000"/>
      <w:spacing w:val="4"/>
      <w:kern w:val="2"/>
      <w:sz w:val="21"/>
      <w:szCs w:val="21"/>
      <w:lang w:val="en-US" w:eastAsia="zh-CN" w:bidi="ar-SA"/>
    </w:rPr>
  </w:style>
  <w:style w:type="character" w:customStyle="1" w:styleId="603">
    <w:name w:val="default1"/>
    <w:autoRedefine/>
    <w:qFormat/>
    <w:uiPriority w:val="0"/>
    <w:rPr>
      <w:sz w:val="21"/>
      <w:szCs w:val="21"/>
    </w:rPr>
  </w:style>
  <w:style w:type="character" w:customStyle="1" w:styleId="604">
    <w:name w:val="正文（首行缩进两字）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hint="eastAsia" w:ascii="宋体" w:hAnsi="宋体" w:eastAsia="宋体"/>
      <w:sz w:val="21"/>
      <w:lang w:val="en-US" w:eastAsia="zh-CN" w:bidi="ar-SA"/>
    </w:rPr>
  </w:style>
  <w:style w:type="character" w:customStyle="1" w:styleId="605">
    <w:name w:val="style3"/>
    <w:basedOn w:val="49"/>
    <w:autoRedefine/>
    <w:qFormat/>
    <w:uiPriority w:val="0"/>
  </w:style>
  <w:style w:type="character" w:customStyle="1" w:styleId="606">
    <w:name w:val="textfont11"/>
    <w:autoRedefine/>
    <w:qFormat/>
    <w:uiPriority w:val="0"/>
    <w:rPr>
      <w:color w:val="000000"/>
      <w:sz w:val="21"/>
      <w:szCs w:val="21"/>
      <w:u w:val="none"/>
    </w:rPr>
  </w:style>
  <w:style w:type="character" w:customStyle="1" w:styleId="607">
    <w:name w:val="正文2 Char Char"/>
    <w:autoRedefine/>
    <w:qFormat/>
    <w:uiPriority w:val="0"/>
    <w:rPr>
      <w:sz w:val="21"/>
    </w:rPr>
  </w:style>
  <w:style w:type="character" w:customStyle="1" w:styleId="608">
    <w:name w:val="批注框文本 Char Char Char"/>
    <w:autoRedefine/>
    <w:qFormat/>
    <w:uiPriority w:val="0"/>
    <w:rPr>
      <w:kern w:val="2"/>
      <w:sz w:val="18"/>
      <w:szCs w:val="18"/>
    </w:rPr>
  </w:style>
  <w:style w:type="character" w:customStyle="1" w:styleId="609">
    <w:name w:val="apple-style-span"/>
    <w:basedOn w:val="49"/>
    <w:autoRedefine/>
    <w:qFormat/>
    <w:uiPriority w:val="0"/>
  </w:style>
  <w:style w:type="character" w:customStyle="1" w:styleId="610">
    <w:name w:val="zy"/>
    <w:basedOn w:val="49"/>
    <w:autoRedefine/>
    <w:qFormat/>
    <w:uiPriority w:val="0"/>
  </w:style>
  <w:style w:type="character" w:customStyle="1" w:styleId="611">
    <w:name w:val="unnamed11"/>
    <w:autoRedefine/>
    <w:qFormat/>
    <w:uiPriority w:val="0"/>
    <w:rPr>
      <w:spacing w:val="400"/>
      <w:sz w:val="18"/>
      <w:szCs w:val="18"/>
    </w:rPr>
  </w:style>
  <w:style w:type="character" w:customStyle="1" w:styleId="612">
    <w:name w:val="oblogtext"/>
    <w:basedOn w:val="49"/>
    <w:autoRedefine/>
    <w:qFormat/>
    <w:uiPriority w:val="0"/>
  </w:style>
  <w:style w:type="character" w:customStyle="1" w:styleId="613">
    <w:name w:val="题注 Char1"/>
    <w:autoRedefine/>
    <w:qFormat/>
    <w:uiPriority w:val="0"/>
    <w:rPr>
      <w:rFonts w:hint="default" w:ascii="Arial" w:hAnsi="Arial" w:eastAsia="黑体" w:cs="Arial"/>
    </w:rPr>
  </w:style>
  <w:style w:type="character" w:customStyle="1" w:styleId="614">
    <w:name w:val="txt31"/>
    <w:autoRedefine/>
    <w:qFormat/>
    <w:uiPriority w:val="0"/>
    <w:rPr>
      <w:dstrike/>
      <w:sz w:val="18"/>
    </w:rPr>
  </w:style>
  <w:style w:type="character" w:customStyle="1" w:styleId="615">
    <w:name w:val="中创国发题注 Char"/>
    <w:autoRedefine/>
    <w:qFormat/>
    <w:locked/>
    <w:uiPriority w:val="0"/>
    <w:rPr>
      <w:rFonts w:hint="default" w:ascii="Cambria" w:hAnsi="Cambria" w:eastAsia="黑体" w:cs="Cambria"/>
      <w:lang w:val="en-US" w:eastAsia="zh-CN" w:bidi="ar-SA"/>
    </w:rPr>
  </w:style>
  <w:style w:type="character" w:customStyle="1" w:styleId="616">
    <w:name w:val="样式 标题 2 + Times New Roman Char"/>
    <w:autoRedefine/>
    <w:qFormat/>
    <w:uiPriority w:val="0"/>
    <w:rPr>
      <w:rFonts w:hint="default" w:ascii="Times New Roman" w:hAnsi="Times New Roman" w:eastAsia="黑体" w:cs="Times New Roman"/>
      <w:color w:val="000000"/>
      <w:kern w:val="2"/>
      <w:sz w:val="28"/>
      <w:szCs w:val="30"/>
      <w:lang w:val="en-US" w:eastAsia="zh-CN" w:bidi="ar-SA"/>
    </w:rPr>
  </w:style>
  <w:style w:type="character" w:customStyle="1" w:styleId="617">
    <w:name w:val="zw1"/>
    <w:autoRedefine/>
    <w:qFormat/>
    <w:uiPriority w:val="0"/>
    <w:rPr>
      <w:rFonts w:hint="eastAsia" w:ascii="宋体" w:hAnsi="宋体" w:eastAsia="宋体"/>
      <w:spacing w:val="400"/>
      <w:sz w:val="22"/>
      <w:szCs w:val="22"/>
    </w:rPr>
  </w:style>
  <w:style w:type="character" w:customStyle="1" w:styleId="618">
    <w:name w:val="样式1 Char"/>
    <w:autoRedefine/>
    <w:qFormat/>
    <w:uiPriority w:val="0"/>
    <w:rPr>
      <w:rFonts w:hint="default" w:ascii="Arial" w:hAnsi="Arial" w:eastAsia="宋体" w:cs="Arial"/>
      <w:kern w:val="2"/>
      <w:sz w:val="24"/>
      <w:szCs w:val="24"/>
      <w:lang w:val="en-US" w:eastAsia="zh-CN" w:bidi="ar-SA"/>
    </w:rPr>
  </w:style>
  <w:style w:type="character" w:customStyle="1" w:styleId="619">
    <w:name w:val="ddd"/>
    <w:basedOn w:val="49"/>
    <w:autoRedefine/>
    <w:qFormat/>
    <w:uiPriority w:val="0"/>
  </w:style>
  <w:style w:type="character" w:customStyle="1" w:styleId="620">
    <w:name w:val="样式2 Char"/>
    <w:autoRedefine/>
    <w:qFormat/>
    <w:uiPriority w:val="0"/>
    <w:rPr>
      <w:rFonts w:hint="eastAsia" w:ascii="宋体" w:hAnsi="黑体" w:eastAsia="黑体"/>
      <w:b/>
      <w:bCs/>
      <w:kern w:val="2"/>
      <w:sz w:val="32"/>
      <w:szCs w:val="32"/>
      <w:lang w:val="en-US" w:eastAsia="zh-CN" w:bidi="ar-SA"/>
    </w:rPr>
  </w:style>
  <w:style w:type="character" w:customStyle="1" w:styleId="621">
    <w:name w:val="f10wentitle"/>
    <w:basedOn w:val="49"/>
    <w:autoRedefine/>
    <w:qFormat/>
    <w:uiPriority w:val="0"/>
  </w:style>
  <w:style w:type="character" w:customStyle="1" w:styleId="622">
    <w:name w:val="cucd-0 Char"/>
    <w:autoRedefine/>
    <w:qFormat/>
    <w:uiPriority w:val="0"/>
    <w:rPr>
      <w:kern w:val="2"/>
      <w:sz w:val="24"/>
      <w:szCs w:val="24"/>
      <w:lang w:val="en-US" w:eastAsia="zh-CN" w:bidi="ar-SA"/>
    </w:rPr>
  </w:style>
  <w:style w:type="character" w:customStyle="1" w:styleId="623">
    <w:name w:val="6666661"/>
    <w:autoRedefine/>
    <w:qFormat/>
    <w:uiPriority w:val="0"/>
    <w:rPr>
      <w:color w:val="666666"/>
      <w:sz w:val="18"/>
      <w:szCs w:val="18"/>
      <w:u w:val="none"/>
    </w:rPr>
  </w:style>
  <w:style w:type="character" w:customStyle="1" w:styleId="624">
    <w:name w:val="正文001 Char Char"/>
    <w:autoRedefine/>
    <w:qFormat/>
    <w:uiPriority w:val="0"/>
    <w:rPr>
      <w:rFonts w:hint="default" w:ascii="Arial" w:hAnsi="Arial" w:eastAsia="宋体" w:cs="Arial"/>
      <w:kern w:val="2"/>
      <w:sz w:val="24"/>
      <w:lang w:val="en-US" w:eastAsia="zh-CN" w:bidi="ar-SA"/>
    </w:rPr>
  </w:style>
  <w:style w:type="character" w:customStyle="1" w:styleId="625">
    <w:name w:val="正文样式1 Char Char"/>
    <w:autoRedefine/>
    <w:qFormat/>
    <w:uiPriority w:val="0"/>
    <w:rPr>
      <w:rFonts w:hint="eastAsia" w:ascii="宋体" w:hAnsi="宋体" w:eastAsia="宋体"/>
      <w:sz w:val="24"/>
    </w:rPr>
  </w:style>
  <w:style w:type="character" w:customStyle="1" w:styleId="626">
    <w:name w:val="tpc_content1"/>
    <w:autoRedefine/>
    <w:qFormat/>
    <w:uiPriority w:val="0"/>
    <w:rPr>
      <w:sz w:val="17"/>
      <w:szCs w:val="17"/>
    </w:rPr>
  </w:style>
  <w:style w:type="character" w:customStyle="1" w:styleId="627">
    <w:name w:val="grame"/>
    <w:basedOn w:val="49"/>
    <w:autoRedefine/>
    <w:qFormat/>
    <w:uiPriority w:val="0"/>
  </w:style>
  <w:style w:type="character" w:customStyle="1" w:styleId="628">
    <w:name w:val="cucd-3 Char Char"/>
    <w:autoRedefine/>
    <w:qFormat/>
    <w:uiPriority w:val="0"/>
    <w:rPr>
      <w:b/>
      <w:sz w:val="28"/>
      <w:szCs w:val="24"/>
      <w:lang w:val="en-US" w:eastAsia="zh-CN" w:bidi="ar-SA"/>
    </w:rPr>
  </w:style>
  <w:style w:type="character" w:customStyle="1" w:styleId="629">
    <w:name w:val="正文样式 Char Char"/>
    <w:autoRedefine/>
    <w:qFormat/>
    <w:uiPriority w:val="0"/>
    <w:rPr>
      <w:rFonts w:hint="eastAsia" w:ascii="宋体" w:hAnsi="宋体" w:eastAsia="宋体"/>
      <w:color w:val="000000"/>
      <w:sz w:val="24"/>
      <w:szCs w:val="24"/>
    </w:rPr>
  </w:style>
  <w:style w:type="character" w:customStyle="1" w:styleId="630">
    <w:name w:val="f9wen1"/>
    <w:autoRedefine/>
    <w:qFormat/>
    <w:uiPriority w:val="0"/>
    <w:rPr>
      <w:dstrike/>
      <w:spacing w:val="12"/>
      <w:sz w:val="18"/>
    </w:rPr>
  </w:style>
  <w:style w:type="character" w:customStyle="1" w:styleId="631">
    <w:name w:val="正文文本缩进 3 Char Char Char"/>
    <w:autoRedefine/>
    <w:qFormat/>
    <w:uiPriority w:val="0"/>
    <w:rPr>
      <w:rFonts w:hint="eastAsia" w:ascii="宋体" w:hAnsi="宋体" w:eastAsia="宋体"/>
      <w:kern w:val="2"/>
      <w:sz w:val="24"/>
    </w:rPr>
  </w:style>
  <w:style w:type="character" w:customStyle="1" w:styleId="632">
    <w:name w:val="正文样式10 Char Char"/>
    <w:autoRedefine/>
    <w:qFormat/>
    <w:uiPriority w:val="0"/>
    <w:rPr>
      <w:rFonts w:hint="eastAsia" w:ascii="宋体" w:hAnsi="宋体" w:eastAsia="宋体" w:cs="Arial"/>
      <w:bCs/>
      <w:color w:val="FF00FF"/>
      <w:sz w:val="24"/>
      <w:lang w:val="zh-CN"/>
    </w:rPr>
  </w:style>
  <w:style w:type="character" w:customStyle="1" w:styleId="633">
    <w:name w:val="访问过的超链接1"/>
    <w:autoRedefine/>
    <w:qFormat/>
    <w:uiPriority w:val="0"/>
    <w:rPr>
      <w:color w:val="800080"/>
      <w:u w:val="single"/>
    </w:rPr>
  </w:style>
  <w:style w:type="character" w:customStyle="1" w:styleId="634">
    <w:name w:val="a11"/>
    <w:autoRedefine/>
    <w:qFormat/>
    <w:uiPriority w:val="0"/>
    <w:rPr>
      <w:color w:val="000000"/>
      <w:sz w:val="18"/>
      <w:szCs w:val="18"/>
    </w:rPr>
  </w:style>
  <w:style w:type="character" w:customStyle="1" w:styleId="635">
    <w:name w:val="表头 Char2"/>
    <w:autoRedefine/>
    <w:qFormat/>
    <w:uiPriority w:val="0"/>
    <w:rPr>
      <w:rFonts w:hint="eastAsia" w:ascii="宋体" w:hAnsi="宋体" w:eastAsia="仿宋_GB2312"/>
      <w:b/>
      <w:color w:val="000000"/>
      <w:sz w:val="18"/>
    </w:rPr>
  </w:style>
  <w:style w:type="character" w:customStyle="1" w:styleId="636">
    <w:name w:val="正文1 Char Char"/>
    <w:autoRedefine/>
    <w:qFormat/>
    <w:uiPriority w:val="0"/>
    <w:rPr>
      <w:rFonts w:hint="eastAsia" w:ascii="宋体" w:hAnsi="宋体" w:eastAsia="宋体"/>
      <w:sz w:val="28"/>
    </w:rPr>
  </w:style>
  <w:style w:type="character" w:customStyle="1" w:styleId="637">
    <w:name w:val="正文首行缩进 Char Char Char"/>
    <w:autoRedefine/>
    <w:qFormat/>
    <w:uiPriority w:val="0"/>
    <w:rPr>
      <w:kern w:val="2"/>
      <w:sz w:val="24"/>
    </w:rPr>
  </w:style>
  <w:style w:type="character" w:customStyle="1" w:styleId="638">
    <w:name w:val="正文文本 3 Char Char Char"/>
    <w:autoRedefine/>
    <w:qFormat/>
    <w:uiPriority w:val="0"/>
    <w:rPr>
      <w:kern w:val="2"/>
      <w:sz w:val="16"/>
      <w:szCs w:val="16"/>
    </w:rPr>
  </w:style>
  <w:style w:type="character" w:customStyle="1" w:styleId="639">
    <w:name w:val="日期 Char Char Char"/>
    <w:autoRedefine/>
    <w:qFormat/>
    <w:uiPriority w:val="0"/>
    <w:rPr>
      <w:rFonts w:hint="eastAsia" w:ascii="黑体" w:hAnsi="黑体" w:eastAsia="黑体"/>
      <w:sz w:val="28"/>
      <w:lang w:val="en-GB"/>
    </w:rPr>
  </w:style>
  <w:style w:type="character" w:customStyle="1" w:styleId="640">
    <w:name w:val="批注主题 Char Char Char"/>
    <w:autoRedefine/>
    <w:qFormat/>
    <w:uiPriority w:val="0"/>
    <w:rPr>
      <w:b/>
      <w:bCs/>
      <w:kern w:val="2"/>
      <w:sz w:val="21"/>
      <w:szCs w:val="24"/>
    </w:rPr>
  </w:style>
  <w:style w:type="character" w:customStyle="1" w:styleId="641">
    <w:name w:val="正文文本缩进 2 Char Char Char"/>
    <w:autoRedefine/>
    <w:qFormat/>
    <w:uiPriority w:val="0"/>
    <w:rPr>
      <w:kern w:val="2"/>
      <w:sz w:val="27"/>
    </w:rPr>
  </w:style>
  <w:style w:type="character" w:customStyle="1" w:styleId="642">
    <w:name w:val="正文首行缩进 2 Char Char Char"/>
    <w:autoRedefine/>
    <w:qFormat/>
    <w:uiPriority w:val="0"/>
    <w:rPr>
      <w:kern w:val="2"/>
      <w:sz w:val="28"/>
      <w:szCs w:val="24"/>
    </w:rPr>
  </w:style>
  <w:style w:type="character" w:customStyle="1" w:styleId="643">
    <w:name w:val="图表注 Char"/>
    <w:autoRedefine/>
    <w:qFormat/>
    <w:uiPriority w:val="0"/>
    <w:rPr>
      <w:rFonts w:hint="default" w:ascii="Arial" w:hAnsi="Arial" w:eastAsia="黑体" w:cs="Arial"/>
      <w:kern w:val="2"/>
      <w:lang w:val="en-US" w:eastAsia="zh-CN" w:bidi="ar-SA"/>
    </w:rPr>
  </w:style>
  <w:style w:type="character" w:customStyle="1" w:styleId="644">
    <w:name w:val="表头 Char Char"/>
    <w:autoRedefine/>
    <w:qFormat/>
    <w:uiPriority w:val="0"/>
    <w:rPr>
      <w:rFonts w:hint="eastAsia" w:ascii="宋体" w:hAnsi="宋体" w:eastAsia="宋体"/>
      <w:b/>
      <w:kern w:val="2"/>
      <w:sz w:val="24"/>
      <w:szCs w:val="24"/>
      <w:lang w:val="en-US" w:eastAsia="zh-CN" w:bidi="ar-SA"/>
    </w:rPr>
  </w:style>
  <w:style w:type="character" w:customStyle="1" w:styleId="645">
    <w:name w:val="javascript"/>
    <w:basedOn w:val="49"/>
    <w:autoRedefine/>
    <w:qFormat/>
    <w:uiPriority w:val="0"/>
  </w:style>
  <w:style w:type="character" w:customStyle="1" w:styleId="646">
    <w:name w:val="content"/>
    <w:basedOn w:val="49"/>
    <w:autoRedefine/>
    <w:qFormat/>
    <w:uiPriority w:val="0"/>
  </w:style>
  <w:style w:type="character" w:customStyle="1" w:styleId="647">
    <w:name w:val="文档结构图 Char Char Char"/>
    <w:autoRedefine/>
    <w:qFormat/>
    <w:uiPriority w:val="0"/>
    <w:rPr>
      <w:kern w:val="2"/>
      <w:sz w:val="21"/>
      <w:szCs w:val="24"/>
      <w:shd w:val="clear" w:color="auto" w:fill="000080"/>
    </w:rPr>
  </w:style>
  <w:style w:type="character" w:customStyle="1" w:styleId="648">
    <w:name w:val="text1"/>
    <w:autoRedefine/>
    <w:qFormat/>
    <w:uiPriority w:val="0"/>
    <w:rPr>
      <w:rFonts w:hint="eastAsia" w:ascii="宋体" w:hAnsi="宋体" w:eastAsia="宋体"/>
      <w:color w:val="999999"/>
      <w:sz w:val="18"/>
      <w:szCs w:val="18"/>
      <w:u w:val="none"/>
    </w:rPr>
  </w:style>
  <w:style w:type="character" w:customStyle="1" w:styleId="649">
    <w:name w:val="正文001 Char"/>
    <w:autoRedefine/>
    <w:qFormat/>
    <w:uiPriority w:val="0"/>
    <w:rPr>
      <w:rFonts w:hint="default" w:ascii="Arial" w:hAnsi="Arial" w:eastAsia="宋体" w:cs="Arial"/>
      <w:kern w:val="2"/>
      <w:sz w:val="24"/>
      <w:lang w:val="en-US" w:eastAsia="zh-CN" w:bidi="ar-SA"/>
    </w:rPr>
  </w:style>
  <w:style w:type="character" w:customStyle="1" w:styleId="650">
    <w:name w:val="141"/>
    <w:autoRedefine/>
    <w:qFormat/>
    <w:uiPriority w:val="0"/>
    <w:rPr>
      <w:color w:val="000000"/>
      <w:spacing w:val="330"/>
      <w:sz w:val="21"/>
      <w:szCs w:val="21"/>
    </w:rPr>
  </w:style>
  <w:style w:type="character" w:customStyle="1" w:styleId="651">
    <w:name w:val="red_font1"/>
    <w:autoRedefine/>
    <w:qFormat/>
    <w:uiPriority w:val="0"/>
    <w:rPr>
      <w:color w:val="FF0000"/>
      <w:sz w:val="18"/>
      <w:szCs w:val="18"/>
      <w:u w:val="none"/>
    </w:rPr>
  </w:style>
  <w:style w:type="character" w:customStyle="1" w:styleId="652">
    <w:name w:val="cucd-1 Char Char"/>
    <w:autoRedefine/>
    <w:qFormat/>
    <w:uiPriority w:val="0"/>
    <w:rPr>
      <w:rFonts w:hint="eastAsia" w:ascii="黑体" w:hAnsi="黑体" w:eastAsia="黑体"/>
      <w:b/>
      <w:sz w:val="36"/>
      <w:szCs w:val="24"/>
      <w:lang w:val="en-US" w:eastAsia="zh-CN" w:bidi="ar-SA"/>
    </w:rPr>
  </w:style>
  <w:style w:type="character" w:customStyle="1" w:styleId="653">
    <w:name w:val="题注 Char2"/>
    <w:autoRedefine/>
    <w:qFormat/>
    <w:uiPriority w:val="0"/>
    <w:rPr>
      <w:rFonts w:hint="default" w:ascii="Arial" w:hAnsi="Arial" w:eastAsia="黑体" w:cs="Arial"/>
      <w:kern w:val="2"/>
      <w:lang w:val="en-US" w:eastAsia="zh-CN" w:bidi="ar-SA"/>
    </w:rPr>
  </w:style>
  <w:style w:type="character" w:customStyle="1" w:styleId="654">
    <w:name w:val="mainfont21"/>
    <w:autoRedefine/>
    <w:qFormat/>
    <w:uiPriority w:val="0"/>
    <w:rPr>
      <w:color w:val="666666"/>
      <w:sz w:val="18"/>
      <w:szCs w:val="18"/>
      <w:u w:val="none"/>
    </w:rPr>
  </w:style>
  <w:style w:type="character" w:customStyle="1" w:styleId="655">
    <w:name w:val="标题 Char Char Char"/>
    <w:autoRedefine/>
    <w:qFormat/>
    <w:uiPriority w:val="0"/>
    <w:rPr>
      <w:rFonts w:hint="default" w:ascii="Helvetica" w:hAnsi="Helvetica" w:eastAsia="黑体"/>
      <w:snapToGrid w:val="0"/>
      <w:color w:val="000000"/>
      <w:spacing w:val="4"/>
      <w:kern w:val="2"/>
      <w:sz w:val="32"/>
      <w:szCs w:val="32"/>
    </w:rPr>
  </w:style>
  <w:style w:type="character" w:customStyle="1" w:styleId="656">
    <w:name w:val="正文（首行缩进两字） Char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hint="eastAsia" w:ascii="宋体" w:hAnsi="宋体" w:eastAsia="宋体"/>
      <w:kern w:val="2"/>
      <w:sz w:val="24"/>
      <w:lang w:val="en-US" w:eastAsia="zh-CN" w:bidi="ar-SA"/>
    </w:rPr>
  </w:style>
  <w:style w:type="character" w:customStyle="1" w:styleId="657">
    <w:name w:val="textcontents"/>
    <w:basedOn w:val="49"/>
    <w:autoRedefine/>
    <w:qFormat/>
    <w:uiPriority w:val="0"/>
  </w:style>
  <w:style w:type="character" w:customStyle="1" w:styleId="658">
    <w:name w:val="批注文字 Char Char Char"/>
    <w:autoRedefine/>
    <w:qFormat/>
    <w:uiPriority w:val="0"/>
    <w:rPr>
      <w:kern w:val="2"/>
      <w:sz w:val="21"/>
      <w:szCs w:val="24"/>
    </w:rPr>
  </w:style>
  <w:style w:type="character" w:customStyle="1" w:styleId="659">
    <w:name w:val="cucd-TB Char Char"/>
    <w:autoRedefine/>
    <w:qFormat/>
    <w:uiPriority w:val="0"/>
    <w:rPr>
      <w:szCs w:val="24"/>
      <w:lang w:val="en-US" w:eastAsia="zh-CN" w:bidi="ar-SA"/>
    </w:rPr>
  </w:style>
  <w:style w:type="character" w:customStyle="1" w:styleId="660">
    <w:name w:val="zzsy051"/>
    <w:autoRedefine/>
    <w:qFormat/>
    <w:uiPriority w:val="0"/>
    <w:rPr>
      <w:rFonts w:hint="eastAsia" w:ascii="宋体" w:hAnsi="宋体" w:eastAsia="宋体"/>
      <w:b/>
      <w:bCs/>
      <w:color w:val="FF0000"/>
      <w:sz w:val="24"/>
      <w:szCs w:val="24"/>
    </w:rPr>
  </w:style>
  <w:style w:type="character" w:customStyle="1" w:styleId="661">
    <w:name w:val="正文1 Char"/>
    <w:autoRedefine/>
    <w:qFormat/>
    <w:uiPriority w:val="0"/>
    <w:rPr>
      <w:rFonts w:hint="eastAsia" w:ascii="宋体" w:hAnsi="宋体" w:eastAsia="宋体"/>
      <w:sz w:val="28"/>
    </w:rPr>
  </w:style>
  <w:style w:type="character" w:customStyle="1" w:styleId="662">
    <w:name w:val="样式 日期 + 宋体 Char"/>
    <w:autoRedefine/>
    <w:qFormat/>
    <w:uiPriority w:val="0"/>
    <w:rPr>
      <w:rFonts w:hint="eastAsia" w:ascii="宋体" w:hAnsi="宋体" w:eastAsia="宋体"/>
      <w:kern w:val="2"/>
      <w:sz w:val="28"/>
      <w:lang w:val="en-GB" w:eastAsia="zh-CN" w:bidi="ar-SA"/>
    </w:rPr>
  </w:style>
  <w:style w:type="character" w:customStyle="1" w:styleId="663">
    <w:name w:val="HTML 预设格式 Char Char Char"/>
    <w:autoRedefine/>
    <w:qFormat/>
    <w:uiPriority w:val="0"/>
    <w:rPr>
      <w:rFonts w:hint="default" w:ascii="Arial" w:hAnsi="Arial" w:cs="Arial"/>
      <w:sz w:val="21"/>
      <w:szCs w:val="21"/>
    </w:rPr>
  </w:style>
  <w:style w:type="character" w:customStyle="1" w:styleId="664">
    <w:name w:val="l_text Char Char"/>
    <w:autoRedefine/>
    <w:qFormat/>
    <w:uiPriority w:val="0"/>
    <w:rPr>
      <w:rFonts w:hint="eastAsia" w:ascii="宋体" w:hAnsi="宋体" w:eastAsia="宋体"/>
      <w:sz w:val="28"/>
      <w:szCs w:val="28"/>
    </w:rPr>
  </w:style>
  <w:style w:type="character" w:customStyle="1" w:styleId="665">
    <w:name w:val="unnamed31"/>
    <w:autoRedefine/>
    <w:qFormat/>
    <w:uiPriority w:val="0"/>
    <w:rPr>
      <w:sz w:val="18"/>
    </w:rPr>
  </w:style>
  <w:style w:type="character" w:customStyle="1" w:styleId="666">
    <w:name w:val="样式 日期 + 宋体 Char Char"/>
    <w:autoRedefine/>
    <w:qFormat/>
    <w:uiPriority w:val="0"/>
    <w:rPr>
      <w:rFonts w:hint="eastAsia" w:ascii="宋体" w:hAnsi="宋体" w:eastAsia="宋体"/>
      <w:kern w:val="2"/>
      <w:sz w:val="28"/>
      <w:lang w:eastAsia="zh-CN" w:bidi="ar-SA"/>
    </w:rPr>
  </w:style>
  <w:style w:type="character" w:customStyle="1" w:styleId="667">
    <w:name w:val="正文1 Char1"/>
    <w:autoRedefine/>
    <w:qFormat/>
    <w:uiPriority w:val="0"/>
    <w:rPr>
      <w:rFonts w:hint="eastAsia" w:ascii="宋体" w:hAnsi="宋体" w:eastAsia="宋体"/>
      <w:snapToGrid w:val="0"/>
      <w:sz w:val="24"/>
      <w:szCs w:val="24"/>
      <w:lang w:val="en-US" w:eastAsia="zh-CN" w:bidi="ar-SA"/>
    </w:rPr>
  </w:style>
  <w:style w:type="character" w:customStyle="1" w:styleId="668">
    <w:name w:val="页脚 Char Char Char"/>
    <w:autoRedefine/>
    <w:qFormat/>
    <w:uiPriority w:val="0"/>
    <w:rPr>
      <w:kern w:val="2"/>
      <w:sz w:val="18"/>
      <w:szCs w:val="18"/>
    </w:rPr>
  </w:style>
  <w:style w:type="character" w:customStyle="1" w:styleId="669">
    <w:name w:val="cucd-TB-Head Char Char"/>
    <w:autoRedefine/>
    <w:qFormat/>
    <w:uiPriority w:val="0"/>
    <w:rPr>
      <w:rFonts w:hint="eastAsia" w:ascii="宋体" w:hAnsi="宋体" w:eastAsia="黑体"/>
      <w:sz w:val="24"/>
      <w:szCs w:val="21"/>
    </w:rPr>
  </w:style>
  <w:style w:type="character" w:customStyle="1" w:styleId="670">
    <w:name w:val="样式表 Char Char"/>
    <w:autoRedefine/>
    <w:qFormat/>
    <w:uiPriority w:val="0"/>
    <w:rPr>
      <w:rFonts w:hint="eastAsia" w:ascii="黑体" w:hAnsi="黑体" w:eastAsia="黑体" w:cs="宋体"/>
      <w:color w:val="000000"/>
      <w:spacing w:val="8"/>
    </w:rPr>
  </w:style>
  <w:style w:type="character" w:customStyle="1" w:styleId="671">
    <w:name w:val="px14"/>
    <w:basedOn w:val="49"/>
    <w:autoRedefine/>
    <w:qFormat/>
    <w:uiPriority w:val="0"/>
  </w:style>
  <w:style w:type="character" w:customStyle="1" w:styleId="672">
    <w:name w:val="正文1-1 Char Char"/>
    <w:autoRedefine/>
    <w:qFormat/>
    <w:uiPriority w:val="0"/>
    <w:rPr>
      <w:rFonts w:hint="eastAsia" w:ascii="宋体" w:hAnsi="宋体" w:eastAsia="仿宋_GB2312" w:cs="宋体"/>
      <w:sz w:val="28"/>
      <w:szCs w:val="24"/>
    </w:rPr>
  </w:style>
  <w:style w:type="character" w:customStyle="1" w:styleId="673">
    <w:name w:val="cucd-0 Char Char"/>
    <w:autoRedefine/>
    <w:qFormat/>
    <w:uiPriority w:val="0"/>
    <w:rPr>
      <w:kern w:val="2"/>
      <w:sz w:val="24"/>
      <w:szCs w:val="24"/>
      <w:lang w:val="en-US" w:eastAsia="zh-CN" w:bidi="ar-SA"/>
    </w:rPr>
  </w:style>
  <w:style w:type="character" w:customStyle="1" w:styleId="674">
    <w:name w:val="postbody1"/>
    <w:autoRedefine/>
    <w:qFormat/>
    <w:uiPriority w:val="0"/>
    <w:rPr>
      <w:sz w:val="21"/>
      <w:szCs w:val="21"/>
    </w:rPr>
  </w:style>
  <w:style w:type="character" w:customStyle="1" w:styleId="675">
    <w:name w:val="cucd-TB-Head Char1"/>
    <w:autoRedefine/>
    <w:qFormat/>
    <w:uiPriority w:val="0"/>
    <w:rPr>
      <w:rFonts w:hint="eastAsia" w:ascii="宋体" w:hAnsi="宋体" w:eastAsia="宋体"/>
      <w:b/>
      <w:kern w:val="2"/>
      <w:sz w:val="24"/>
      <w:szCs w:val="24"/>
      <w:lang w:val="en-US" w:eastAsia="zh-CN" w:bidi="ar-SA"/>
    </w:rPr>
  </w:style>
  <w:style w:type="character" w:customStyle="1" w:styleId="676">
    <w:name w:val="defaultfont1"/>
    <w:basedOn w:val="49"/>
    <w:autoRedefine/>
    <w:qFormat/>
    <w:uiPriority w:val="0"/>
  </w:style>
  <w:style w:type="character" w:customStyle="1" w:styleId="677">
    <w:name w:val="cucd-3 Char1"/>
    <w:autoRedefine/>
    <w:qFormat/>
    <w:uiPriority w:val="0"/>
    <w:rPr>
      <w:b/>
      <w:kern w:val="2"/>
      <w:sz w:val="28"/>
      <w:szCs w:val="24"/>
      <w:lang w:val="en-US" w:eastAsia="zh-CN" w:bidi="ar-SA"/>
    </w:rPr>
  </w:style>
  <w:style w:type="character" w:customStyle="1" w:styleId="678">
    <w:name w:val="unnamed3"/>
    <w:basedOn w:val="49"/>
    <w:autoRedefine/>
    <w:qFormat/>
    <w:uiPriority w:val="0"/>
  </w:style>
  <w:style w:type="character" w:customStyle="1" w:styleId="679">
    <w:name w:val="样式 方正宋三简体 四号"/>
    <w:autoRedefine/>
    <w:qFormat/>
    <w:uiPriority w:val="0"/>
    <w:rPr>
      <w:rFonts w:hint="eastAsia" w:ascii="宋体" w:hAnsi="宋体" w:eastAsia="宋体"/>
      <w:sz w:val="27"/>
      <w:szCs w:val="27"/>
    </w:rPr>
  </w:style>
  <w:style w:type="character" w:customStyle="1" w:styleId="680">
    <w:name w:val="jc zi14"/>
    <w:basedOn w:val="49"/>
    <w:autoRedefine/>
    <w:qFormat/>
    <w:uiPriority w:val="0"/>
  </w:style>
  <w:style w:type="character" w:customStyle="1" w:styleId="681">
    <w:name w:val="Default Char Char"/>
    <w:autoRedefine/>
    <w:qFormat/>
    <w:uiPriority w:val="0"/>
    <w:rPr>
      <w:color w:val="000000"/>
      <w:sz w:val="24"/>
      <w:szCs w:val="24"/>
      <w:lang w:val="en-US" w:eastAsia="zh-CN" w:bidi="ar-SA"/>
    </w:rPr>
  </w:style>
  <w:style w:type="character" w:customStyle="1" w:styleId="682">
    <w:name w:val="正文文本缩进 3 Char Char"/>
    <w:basedOn w:val="49"/>
    <w:autoRedefine/>
    <w:qFormat/>
    <w:uiPriority w:val="0"/>
    <w:rPr>
      <w:rFonts w:hint="eastAsia" w:ascii="宋体" w:hAnsi="宋体" w:eastAsia="宋体"/>
      <w:b/>
      <w:bCs/>
      <w:kern w:val="2"/>
      <w:sz w:val="24"/>
      <w:szCs w:val="24"/>
      <w:lang w:val="en-US" w:eastAsia="zh-CN" w:bidi="ar-SA"/>
    </w:rPr>
  </w:style>
  <w:style w:type="character" w:customStyle="1" w:styleId="683">
    <w:name w:val="fontstyle41"/>
    <w:basedOn w:val="49"/>
    <w:autoRedefine/>
    <w:qFormat/>
    <w:uiPriority w:val="0"/>
    <w:rPr>
      <w:rFonts w:hint="eastAsia" w:ascii="SymbolMT" w:hAnsi="SymbolMT" w:eastAsia="SymbolMT"/>
      <w:color w:val="000000"/>
      <w:sz w:val="24"/>
      <w:szCs w:val="24"/>
    </w:rPr>
  </w:style>
  <w:style w:type="character" w:customStyle="1" w:styleId="684">
    <w:name w:val="fontstyle51"/>
    <w:basedOn w:val="49"/>
    <w:autoRedefine/>
    <w:qFormat/>
    <w:uiPriority w:val="0"/>
    <w:rPr>
      <w:rFonts w:hint="default" w:ascii="TimesNewRomanPS-ItalicMT" w:hAnsi="TimesNewRomanPS-ItalicMT"/>
      <w:i/>
      <w:iCs/>
      <w:color w:val="000000"/>
      <w:sz w:val="24"/>
      <w:szCs w:val="24"/>
    </w:rPr>
  </w:style>
  <w:style w:type="character" w:customStyle="1" w:styleId="685">
    <w:name w:val="【表头】 Char Char"/>
    <w:autoRedefine/>
    <w:qFormat/>
    <w:uiPriority w:val="0"/>
    <w:rPr>
      <w:b/>
      <w:sz w:val="24"/>
    </w:rPr>
  </w:style>
  <w:style w:type="character" w:customStyle="1" w:styleId="686">
    <w:name w:val="普通(网站) Char"/>
    <w:autoRedefine/>
    <w:qFormat/>
    <w:locked/>
    <w:uiPriority w:val="0"/>
    <w:rPr>
      <w:rFonts w:hint="default" w:ascii="Calibri" w:hAnsi="Calibri"/>
      <w:color w:val="000000"/>
      <w:sz w:val="24"/>
      <w:szCs w:val="24"/>
    </w:rPr>
  </w:style>
  <w:style w:type="character" w:customStyle="1" w:styleId="687">
    <w:name w:val="默认段落字体1"/>
    <w:autoRedefine/>
    <w:semiHidden/>
    <w:qFormat/>
    <w:uiPriority w:val="0"/>
    <w:rPr>
      <w:rFonts w:hint="default" w:ascii="Times New Roman" w:hAnsi="Times New Roman" w:cs="Times New Roman"/>
      <w:sz w:val="21"/>
    </w:rPr>
  </w:style>
  <w:style w:type="character" w:customStyle="1" w:styleId="688">
    <w:name w:val="正文首行缩进 Char2"/>
    <w:basedOn w:val="49"/>
    <w:autoRedefine/>
    <w:semiHidden/>
    <w:qFormat/>
    <w:uiPriority w:val="99"/>
    <w:rPr>
      <w:rFonts w:hint="default" w:ascii="Times New Roman" w:hAnsi="Times New Roman" w:eastAsia="宋体" w:cs="Times New Roman"/>
      <w:kern w:val="0"/>
      <w:sz w:val="24"/>
      <w:szCs w:val="24"/>
    </w:rPr>
  </w:style>
  <w:style w:type="table" w:customStyle="1" w:styleId="689">
    <w:name w:val="网格型（pxg）2"/>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0">
    <w:name w:val="网格型4"/>
    <w:basedOn w:val="44"/>
    <w:autoRedefine/>
    <w:qFormat/>
    <w:uiPriority w:val="0"/>
    <w:pPr>
      <w:widowControl w:val="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91">
    <w:name w:val="网格型1"/>
    <w:basedOn w:val="44"/>
    <w:autoRedefine/>
    <w:qFormat/>
    <w:uiPriority w:val="0"/>
    <w:pPr>
      <w:spacing w:line="240" w:lineRule="auto"/>
      <w:jc w:val="left"/>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92">
    <w:name w:val="网格型刘1"/>
    <w:basedOn w:val="44"/>
    <w:autoRedefine/>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93">
    <w:name w:val="网格型001"/>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4">
    <w:name w:val="网格型002"/>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5">
    <w:name w:val="网格型003"/>
    <w:basedOn w:val="44"/>
    <w:autoRedefine/>
    <w:qFormat/>
    <w:uiPriority w:val="0"/>
    <w:pPr>
      <w:spacing w:line="240" w:lineRule="auto"/>
      <w:jc w:val="left"/>
    </w:pPr>
    <w:rPr>
      <w:rFonts w:ascii="Calibri" w:hAnsi="Calibri" w:eastAsia="宋体" w:cs="Times New Roman"/>
      <w:color w:val="000000"/>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6">
    <w:name w:val="网格型0031"/>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7">
    <w:name w:val="网格型004"/>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8">
    <w:name w:val="网格型005"/>
    <w:basedOn w:val="44"/>
    <w:autoRedefine/>
    <w:qFormat/>
    <w:uiPriority w:val="0"/>
    <w:pPr>
      <w:spacing w:line="240" w:lineRule="auto"/>
      <w:jc w:val="left"/>
    </w:pPr>
    <w:rPr>
      <w:rFonts w:ascii="Calibri" w:hAnsi="Calibri" w:eastAsia="宋体" w:cs="Times New Roman"/>
      <w:color w:val="000000"/>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99">
    <w:name w:val="网格型0032"/>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0">
    <w:name w:val="网格型006"/>
    <w:basedOn w:val="44"/>
    <w:autoRedefine/>
    <w:qFormat/>
    <w:uiPriority w:val="0"/>
    <w:pPr>
      <w:spacing w:line="240" w:lineRule="auto"/>
      <w:jc w:val="left"/>
    </w:pPr>
    <w:rPr>
      <w:rFonts w:ascii="Calibri" w:hAnsi="Calibri" w:eastAsia="宋体" w:cs="Times New Roman"/>
      <w:color w:val="000000"/>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1">
    <w:name w:val="网格型0033"/>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2">
    <w:name w:val="网格型0034"/>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3">
    <w:name w:val="网格型007"/>
    <w:basedOn w:val="44"/>
    <w:autoRedefine/>
    <w:qFormat/>
    <w:uiPriority w:val="0"/>
    <w:pPr>
      <w:spacing w:line="240" w:lineRule="auto"/>
      <w:jc w:val="left"/>
    </w:pPr>
    <w:rPr>
      <w:rFonts w:ascii="Calibri" w:hAnsi="Calibri" w:eastAsia="宋体" w:cs="Times New Roman"/>
      <w:color w:val="000000"/>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4">
    <w:name w:val="网格型0035"/>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5">
    <w:name w:val="网格型008"/>
    <w:basedOn w:val="44"/>
    <w:autoRedefine/>
    <w:qFormat/>
    <w:uiPriority w:val="59"/>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6">
    <w:name w:val="网格型11"/>
    <w:basedOn w:val="44"/>
    <w:autoRedefine/>
    <w:qFormat/>
    <w:uiPriority w:val="59"/>
    <w:pPr>
      <w:spacing w:line="240" w:lineRule="auto"/>
      <w:jc w:val="left"/>
    </w:pPr>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7">
    <w:name w:val="网格型2"/>
    <w:basedOn w:val="44"/>
    <w:autoRedefine/>
    <w:qFormat/>
    <w:uiPriority w:val="0"/>
    <w:pPr>
      <w:spacing w:line="240" w:lineRule="auto"/>
      <w:jc w:val="left"/>
    </w:pPr>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8">
    <w:name w:val="网格型3"/>
    <w:basedOn w:val="44"/>
    <w:autoRedefine/>
    <w:qFormat/>
    <w:uiPriority w:val="0"/>
    <w:pPr>
      <w:spacing w:line="240" w:lineRule="auto"/>
      <w:jc w:val="left"/>
    </w:pPr>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09">
    <w:name w:val="网格型（pxg）1"/>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10">
    <w:name w:val="网格型（pxg）3"/>
    <w:basedOn w:val="44"/>
    <w:autoRedefine/>
    <w:qFormat/>
    <w:uiPriority w:val="0"/>
    <w:pPr>
      <w:spacing w:line="240" w:lineRule="auto"/>
      <w:jc w:val="left"/>
    </w:pPr>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11">
    <w:name w:val="cucd-table"/>
    <w:basedOn w:val="44"/>
    <w:autoRedefine/>
    <w:qFormat/>
    <w:uiPriority w:val="0"/>
    <w:pPr>
      <w:spacing w:line="240" w:lineRule="auto"/>
      <w:jc w:val="center"/>
    </w:pPr>
    <w:rPr>
      <w:rFonts w:ascii="Times New Roman" w:hAnsi="Times New Roman" w:eastAsia="宋体" w:cs="Times New Roman"/>
      <w:kern w:val="0"/>
      <w:sz w:val="20"/>
      <w:szCs w:val="20"/>
    </w:r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table" w:customStyle="1" w:styleId="712">
    <w:name w:val="报告书格式"/>
    <w:basedOn w:val="44"/>
    <w:autoRedefine/>
    <w:qFormat/>
    <w:uiPriority w:val="0"/>
    <w:pPr>
      <w:adjustRightInd w:val="0"/>
      <w:snapToGrid w:val="0"/>
      <w:spacing w:line="240" w:lineRule="auto"/>
      <w:jc w:val="center"/>
    </w:pPr>
    <w:rPr>
      <w:rFonts w:ascii="Times New Roman" w:hAnsi="Times New Roman" w:eastAsia="宋体" w:cs="Times New Roman"/>
      <w:kern w:val="0"/>
      <w:sz w:val="18"/>
      <w:szCs w:val="18"/>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713">
    <w:name w:val="网格型刘11"/>
    <w:basedOn w:val="44"/>
    <w:autoRedefine/>
    <w:qFormat/>
    <w:uiPriority w:val="99"/>
    <w:pPr>
      <w:spacing w:line="240" w:lineRule="auto"/>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14">
    <w:name w:val="普通(网站) Char1"/>
    <w:autoRedefine/>
    <w:qFormat/>
    <w:locked/>
    <w:uiPriority w:val="0"/>
    <w:rPr>
      <w:rFonts w:ascii="Calibri" w:hAnsi="Calibri"/>
      <w:color w:val="000000"/>
      <w:sz w:val="24"/>
      <w:szCs w:val="24"/>
    </w:rPr>
  </w:style>
  <w:style w:type="character" w:customStyle="1" w:styleId="715">
    <w:name w:val="尾注文本 Char"/>
    <w:basedOn w:val="49"/>
    <w:link w:val="27"/>
    <w:autoRedefine/>
    <w:semiHidden/>
    <w:qFormat/>
    <w:uiPriority w:val="99"/>
    <w:rPr>
      <w:rFonts w:ascii="Times New Roman" w:hAnsi="Times New Roman" w:eastAsia="宋体" w:cs="Times New Roman"/>
      <w:szCs w:val="24"/>
    </w:rPr>
  </w:style>
  <w:style w:type="table" w:customStyle="1" w:styleId="716">
    <w:name w:val="[表格样式]"/>
    <w:basedOn w:val="44"/>
    <w:autoRedefine/>
    <w:qFormat/>
    <w:uiPriority w:val="99"/>
    <w:pPr>
      <w:adjustRightInd w:val="0"/>
      <w:snapToGrid w:val="0"/>
      <w:spacing w:line="240" w:lineRule="auto"/>
      <w:jc w:val="center"/>
    </w:pPr>
    <w:rPr>
      <w:rFonts w:ascii="Times New Roman" w:hAnsi="Times New Roman" w:eastAsia="宋体"/>
      <w:snapToGrid w:val="0"/>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717">
    <w:name w:val="正文00 Char"/>
    <w:autoRedefine/>
    <w:qFormat/>
    <w:uiPriority w:val="0"/>
    <w:rPr>
      <w:rFonts w:ascii="Times New Roman" w:hAnsi="Times New Roman" w:eastAsia="宋体" w:cs="Times New Roman"/>
      <w:sz w:val="24"/>
      <w:szCs w:val="24"/>
    </w:rPr>
  </w:style>
  <w:style w:type="character" w:customStyle="1" w:styleId="718">
    <w:name w:val="正文文本最新 Char Char Char Char Char Char Char"/>
    <w:autoRedefine/>
    <w:qFormat/>
    <w:uiPriority w:val="0"/>
    <w:rPr>
      <w:rFonts w:eastAsia="宋体"/>
      <w:kern w:val="2"/>
      <w:sz w:val="28"/>
      <w:lang w:val="en-US" w:eastAsia="zh-CN"/>
    </w:rPr>
  </w:style>
  <w:style w:type="paragraph" w:styleId="719">
    <w:name w:val="List Paragraph"/>
    <w:basedOn w:val="1"/>
    <w:autoRedefine/>
    <w:qFormat/>
    <w:uiPriority w:val="99"/>
    <w:pPr>
      <w:ind w:firstLine="420" w:firstLineChars="200"/>
    </w:pPr>
  </w:style>
  <w:style w:type="character" w:customStyle="1" w:styleId="720">
    <w:name w:val="缩进2 Char"/>
    <w:link w:val="721"/>
    <w:autoRedefine/>
    <w:qFormat/>
    <w:uiPriority w:val="0"/>
    <w:rPr>
      <w:rFonts w:ascii="宋体" w:hAnsi="宋体"/>
      <w:sz w:val="24"/>
      <w:szCs w:val="21"/>
    </w:rPr>
  </w:style>
  <w:style w:type="paragraph" w:customStyle="1" w:styleId="721">
    <w:name w:val="缩进2"/>
    <w:basedOn w:val="1"/>
    <w:link w:val="720"/>
    <w:autoRedefine/>
    <w:qFormat/>
    <w:uiPriority w:val="0"/>
    <w:pPr>
      <w:spacing w:line="360" w:lineRule="auto"/>
      <w:ind w:firstLine="200" w:firstLineChars="200"/>
    </w:pPr>
    <w:rPr>
      <w:rFonts w:ascii="宋体" w:hAnsi="宋体" w:eastAsiaTheme="minorEastAsia" w:cstheme="minorBidi"/>
      <w:sz w:val="24"/>
      <w:szCs w:val="21"/>
    </w:rPr>
  </w:style>
  <w:style w:type="character" w:customStyle="1" w:styleId="722">
    <w:name w:val="表文 Char"/>
    <w:link w:val="308"/>
    <w:autoRedefine/>
    <w:qFormat/>
    <w:uiPriority w:val="0"/>
    <w:rPr>
      <w:rFonts w:ascii="Times New Roman" w:hAnsi="Times New Roman" w:eastAsia="宋体" w:cs="Times New Roman"/>
      <w:sz w:val="24"/>
      <w:szCs w:val="24"/>
    </w:rPr>
  </w:style>
  <w:style w:type="character" w:customStyle="1" w:styleId="723">
    <w:name w:val="表头 字符"/>
    <w:autoRedefine/>
    <w:qFormat/>
    <w:uiPriority w:val="0"/>
    <w:rPr>
      <w:rFonts w:ascii="Times New Roman" w:hAnsi="Times New Roman" w:eastAsia="黑体"/>
      <w:sz w:val="24"/>
    </w:rPr>
  </w:style>
  <w:style w:type="character" w:customStyle="1" w:styleId="724">
    <w:name w:val="标题 4 字符"/>
    <w:autoRedefine/>
    <w:qFormat/>
    <w:uiPriority w:val="0"/>
    <w:rPr>
      <w:rFonts w:ascii="Times New Roman" w:hAnsi="Times New Roman"/>
      <w:kern w:val="2"/>
      <w:sz w:val="24"/>
    </w:rPr>
  </w:style>
  <w:style w:type="character" w:customStyle="1" w:styleId="725">
    <w:name w:val="页眉 字符"/>
    <w:autoRedefine/>
    <w:qFormat/>
    <w:uiPriority w:val="99"/>
    <w:rPr>
      <w:rFonts w:ascii="Times New Roman" w:hAnsi="Times New Roman" w:eastAsia="宋体"/>
      <w:sz w:val="18"/>
      <w:szCs w:val="18"/>
    </w:rPr>
  </w:style>
  <w:style w:type="character" w:customStyle="1" w:styleId="726">
    <w:name w:val="页脚 字符"/>
    <w:autoRedefine/>
    <w:qFormat/>
    <w:uiPriority w:val="0"/>
    <w:rPr>
      <w:rFonts w:ascii="Times New Roman" w:hAnsi="Times New Roman" w:eastAsia="宋体"/>
      <w:sz w:val="18"/>
      <w:szCs w:val="18"/>
    </w:rPr>
  </w:style>
  <w:style w:type="character" w:customStyle="1" w:styleId="727">
    <w:name w:val="纯文本 字符"/>
    <w:autoRedefine/>
    <w:qFormat/>
    <w:uiPriority w:val="0"/>
    <w:rPr>
      <w:rFonts w:ascii="宋体" w:hAnsi="Courier New"/>
    </w:rPr>
  </w:style>
  <w:style w:type="paragraph" w:customStyle="1" w:styleId="728">
    <w:name w:val="Body text|1"/>
    <w:autoRedefine/>
    <w:qFormat/>
    <w:uiPriority w:val="0"/>
    <w:pPr>
      <w:widowControl w:val="0"/>
      <w:spacing w:after="100" w:line="434" w:lineRule="auto"/>
      <w:ind w:firstLine="400"/>
      <w:jc w:val="left"/>
    </w:pPr>
    <w:rPr>
      <w:rFonts w:ascii="宋体" w:hAnsi="宋体" w:eastAsia="宋体" w:cs="宋体"/>
      <w:color w:val="000000"/>
      <w:kern w:val="0"/>
      <w:sz w:val="22"/>
      <w:szCs w:val="22"/>
      <w:lang w:val="zh-TW" w:eastAsia="zh-TW" w:bidi="zh-TW"/>
    </w:rPr>
  </w:style>
  <w:style w:type="paragraph" w:customStyle="1" w:styleId="729">
    <w:name w:val="正文格式"/>
    <w:basedOn w:val="1"/>
    <w:autoRedefine/>
    <w:qFormat/>
    <w:uiPriority w:val="0"/>
    <w:pPr>
      <w:spacing w:line="360" w:lineRule="auto"/>
      <w:ind w:firstLine="482"/>
    </w:pPr>
    <w:rPr>
      <w:rFonts w:ascii="Calibri" w:hAnsi="Calibri"/>
      <w:kern w:val="0"/>
    </w:rPr>
  </w:style>
  <w:style w:type="paragraph" w:customStyle="1" w:styleId="730">
    <w:name w:val="表格填充项"/>
    <w:basedOn w:val="1"/>
    <w:autoRedefine/>
    <w:qFormat/>
    <w:uiPriority w:val="0"/>
    <w:pPr>
      <w:spacing w:line="240" w:lineRule="atLeast"/>
      <w:jc w:val="center"/>
    </w:pPr>
    <w:rPr>
      <w:rFonts w:ascii="宋体" w:hAnsi="宋体"/>
      <w:b/>
    </w:rPr>
  </w:style>
  <w:style w:type="character" w:customStyle="1" w:styleId="731">
    <w:name w:val="NormalCharacter"/>
    <w:autoRedefine/>
    <w:semiHidden/>
    <w:qFormat/>
    <w:uiPriority w:val="0"/>
    <w:rPr>
      <w:kern w:val="2"/>
      <w:sz w:val="21"/>
      <w:szCs w:val="24"/>
      <w:lang w:val="en-US" w:eastAsia="zh-CN" w:bidi="ar-SA"/>
    </w:rPr>
  </w:style>
  <w:style w:type="paragraph" w:customStyle="1" w:styleId="732">
    <w:name w:val="Table Paragraph"/>
    <w:basedOn w:val="1"/>
    <w:autoRedefine/>
    <w:qFormat/>
    <w:uiPriority w:val="1"/>
    <w:pPr>
      <w:jc w:val="center"/>
    </w:pPr>
    <w:rPr>
      <w:rFonts w:ascii="Calibri" w:hAnsi="Calibri"/>
      <w:szCs w:val="21"/>
    </w:rPr>
  </w:style>
  <w:style w:type="paragraph" w:customStyle="1" w:styleId="733">
    <w:name w:val="Default1"/>
    <w:autoRedefine/>
    <w:qFormat/>
    <w:uiPriority w:val="0"/>
    <w:pPr>
      <w:widowControl w:val="0"/>
      <w:autoSpaceDE w:val="0"/>
      <w:autoSpaceDN w:val="0"/>
      <w:adjustRightInd w:val="0"/>
      <w:spacing w:line="240" w:lineRule="auto"/>
      <w:jc w:val="left"/>
    </w:pPr>
    <w:rPr>
      <w:rFonts w:ascii="宋体" w:hAnsi="Calibri" w:eastAsia="宋体" w:cs="宋体"/>
      <w:color w:val="000000"/>
      <w:kern w:val="0"/>
      <w:sz w:val="24"/>
      <w:szCs w:val="24"/>
      <w:lang w:val="en-US" w:eastAsia="zh-CN" w:bidi="ar-SA"/>
    </w:rPr>
  </w:style>
  <w:style w:type="paragraph" w:customStyle="1" w:styleId="734">
    <w:name w:val="样式 样式 样式 报告书正文 + 首行缩进:  2 字符1 + 加粗 + 首行缩进:  2 字符"/>
    <w:basedOn w:val="1"/>
    <w:autoRedefine/>
    <w:qFormat/>
    <w:uiPriority w:val="0"/>
    <w:pPr>
      <w:adjustRightInd w:val="0"/>
      <w:snapToGrid w:val="0"/>
      <w:spacing w:line="360" w:lineRule="auto"/>
      <w:ind w:firstLine="200" w:firstLineChars="200"/>
    </w:pPr>
    <w:rPr>
      <w:rFonts w:cs="宋体"/>
      <w:sz w:val="24"/>
      <w:szCs w:val="20"/>
    </w:rPr>
  </w:style>
  <w:style w:type="paragraph" w:customStyle="1" w:styleId="735">
    <w:name w:val="aaa正文"/>
    <w:basedOn w:val="1"/>
    <w:autoRedefine/>
    <w:qFormat/>
    <w:uiPriority w:val="0"/>
    <w:pPr>
      <w:spacing w:line="480" w:lineRule="exact"/>
      <w:ind w:firstLine="200" w:firstLineChars="200"/>
    </w:pPr>
    <w:rPr>
      <w:rFonts w:hAnsi="Calibri"/>
      <w:kern w:val="0"/>
      <w:sz w:val="24"/>
    </w:rPr>
  </w:style>
  <w:style w:type="paragraph" w:customStyle="1" w:styleId="736">
    <w:name w:val="样式 样式 行距: 1.5 倍行距 + 首行缩进:  2 字符"/>
    <w:basedOn w:val="1"/>
    <w:autoRedefine/>
    <w:qFormat/>
    <w:uiPriority w:val="0"/>
    <w:pPr>
      <w:adjustRightInd w:val="0"/>
      <w:snapToGrid w:val="0"/>
      <w:spacing w:line="360" w:lineRule="auto"/>
      <w:ind w:firstLine="480" w:firstLineChars="200"/>
    </w:pPr>
    <w:rPr>
      <w:sz w:val="24"/>
      <w:szCs w:val="20"/>
    </w:rPr>
  </w:style>
  <w:style w:type="paragraph" w:customStyle="1" w:styleId="737">
    <w:name w:val="样式 样式 正文首行缩进正文首行缩进 Char + 首行缩进:  2 字符 + 首行缩进:  2 字符"/>
    <w:basedOn w:val="1"/>
    <w:autoRedefine/>
    <w:qFormat/>
    <w:uiPriority w:val="0"/>
    <w:pPr>
      <w:adjustRightInd w:val="0"/>
      <w:snapToGrid w:val="0"/>
      <w:spacing w:line="360" w:lineRule="auto"/>
      <w:ind w:firstLine="480" w:firstLineChars="200"/>
      <w:textAlignment w:val="baseline"/>
    </w:pPr>
    <w:rPr>
      <w:rFonts w:ascii="宋体" w:hAnsi="Calibri" w:cs="宋体"/>
      <w:lang w:val="zh-CN"/>
    </w:rPr>
  </w:style>
  <w:style w:type="character" w:customStyle="1" w:styleId="738">
    <w:name w:val="标题4 Char1"/>
    <w:basedOn w:val="49"/>
    <w:autoRedefine/>
    <w:qFormat/>
    <w:uiPriority w:val="0"/>
    <w:rPr>
      <w:rFonts w:ascii="Times New Roman" w:hAnsi="宋体" w:eastAsia="黑体" w:cs="Times New Roman"/>
      <w:sz w:val="24"/>
      <w:szCs w:val="24"/>
    </w:rPr>
  </w:style>
  <w:style w:type="paragraph" w:customStyle="1" w:styleId="739">
    <w:name w:val="Char4"/>
    <w:basedOn w:val="1"/>
    <w:next w:val="19"/>
    <w:autoRedefine/>
    <w:qFormat/>
    <w:uiPriority w:val="0"/>
    <w:pPr>
      <w:jc w:val="left"/>
    </w:pPr>
    <w:rPr>
      <w:szCs w:val="21"/>
    </w:rPr>
  </w:style>
  <w:style w:type="paragraph" w:customStyle="1" w:styleId="740">
    <w:name w:val="表文00"/>
    <w:basedOn w:val="1"/>
    <w:next w:val="1"/>
    <w:autoRedefine/>
    <w:qFormat/>
    <w:uiPriority w:val="0"/>
    <w:pPr>
      <w:autoSpaceDE w:val="0"/>
      <w:autoSpaceDN w:val="0"/>
      <w:contextualSpacing/>
      <w:jc w:val="center"/>
    </w:pPr>
    <w:rPr>
      <w:szCs w:val="18"/>
    </w:rPr>
  </w:style>
  <w:style w:type="table" w:customStyle="1" w:styleId="741">
    <w:name w:val="Table Normal"/>
    <w:basedOn w:val="44"/>
    <w:autoRedefine/>
    <w:semiHidden/>
    <w:unhideWhenUsed/>
    <w:qFormat/>
    <w:uiPriority w:val="0"/>
    <w:pPr>
      <w:spacing w:line="240" w:lineRule="auto"/>
      <w:jc w:val="left"/>
    </w:pPr>
    <w:rPr>
      <w:rFonts w:ascii="Arial" w:hAnsi="Arial" w:cs="Arial"/>
      <w:snapToGrid w:val="0"/>
      <w:color w:val="000000"/>
      <w:kern w:val="0"/>
      <w:szCs w:val="21"/>
    </w:rPr>
    <w:tblPr>
      <w:tblCellMar>
        <w:top w:w="0" w:type="dxa"/>
        <w:left w:w="0" w:type="dxa"/>
        <w:bottom w:w="0" w:type="dxa"/>
        <w:right w:w="0" w:type="dxa"/>
      </w:tblCellMar>
    </w:tblPr>
  </w:style>
  <w:style w:type="paragraph" w:customStyle="1" w:styleId="742">
    <w:name w:val="样式 (中文) 仿宋_GB2312 四号 加粗 行距: 最小值 26 磅"/>
    <w:basedOn w:val="1"/>
    <w:link w:val="743"/>
    <w:autoRedefine/>
    <w:qFormat/>
    <w:uiPriority w:val="0"/>
    <w:pPr>
      <w:spacing w:line="520" w:lineRule="atLeast"/>
    </w:pPr>
    <w:rPr>
      <w:rFonts w:eastAsia="仿宋_GB2312" w:cs="宋体"/>
      <w:b/>
      <w:bCs/>
      <w:sz w:val="28"/>
      <w:szCs w:val="20"/>
    </w:rPr>
  </w:style>
  <w:style w:type="character" w:customStyle="1" w:styleId="743">
    <w:name w:val="样式 (中文) 仿宋_GB2312 四号 加粗 行距: 最小值 26 磅 Char"/>
    <w:link w:val="742"/>
    <w:autoRedefine/>
    <w:qFormat/>
    <w:uiPriority w:val="0"/>
    <w:rPr>
      <w:rFonts w:ascii="Times New Roman" w:hAnsi="Times New Roman" w:eastAsia="仿宋_GB2312" w:cs="宋体"/>
      <w:b/>
      <w:bCs/>
      <w:sz w:val="28"/>
      <w:szCs w:val="20"/>
    </w:rPr>
  </w:style>
  <w:style w:type="character" w:customStyle="1" w:styleId="744">
    <w:name w:val="表格标题 Char Char Char Char"/>
    <w:autoRedefine/>
    <w:qFormat/>
    <w:uiPriority w:val="0"/>
    <w:rPr>
      <w:rFonts w:ascii="仿宋_GB2312" w:hAnsi="Arial" w:eastAsia="仿宋_GB2312"/>
      <w:kern w:val="24"/>
      <w:sz w:val="24"/>
      <w:szCs w:val="24"/>
    </w:rPr>
  </w:style>
  <w:style w:type="paragraph" w:customStyle="1" w:styleId="745">
    <w:name w:val="表中的文字"/>
    <w:basedOn w:val="222"/>
    <w:autoRedefine/>
    <w:qFormat/>
    <w:uiPriority w:val="0"/>
    <w:pPr>
      <w:spacing w:line="440" w:lineRule="exact"/>
      <w:ind w:firstLine="0" w:firstLineChars="0"/>
    </w:pPr>
    <w:rPr>
      <w:bCs/>
      <w:color w:val="000000"/>
      <w:kern w:val="0"/>
      <w:sz w:val="21"/>
      <w:szCs w:val="21"/>
    </w:rPr>
  </w:style>
  <w:style w:type="character" w:customStyle="1" w:styleId="746">
    <w:name w:val="showhidemsg1"/>
    <w:basedOn w:val="49"/>
    <w:autoRedefine/>
    <w:qFormat/>
    <w:uiPriority w:val="0"/>
  </w:style>
  <w:style w:type="paragraph" w:customStyle="1" w:styleId="747">
    <w:name w:val="表格内"/>
    <w:basedOn w:val="1"/>
    <w:autoRedefine/>
    <w:qFormat/>
    <w:uiPriority w:val="99"/>
    <w:pPr>
      <w:spacing w:line="360" w:lineRule="exact"/>
      <w:jc w:val="center"/>
    </w:pPr>
    <w:rPr>
      <w:rFonts w:ascii="Calibri" w:hAnsi="Calibri" w:eastAsia="Times New Roman"/>
      <w:szCs w:val="21"/>
    </w:rPr>
  </w:style>
  <w:style w:type="paragraph" w:customStyle="1" w:styleId="748">
    <w:name w:val="a正文"/>
    <w:basedOn w:val="1"/>
    <w:autoRedefine/>
    <w:qFormat/>
    <w:uiPriority w:val="0"/>
    <w:pPr>
      <w:spacing w:line="520" w:lineRule="exact"/>
      <w:ind w:firstLine="561"/>
    </w:pPr>
    <w:rPr>
      <w:sz w:val="28"/>
      <w:szCs w:val="22"/>
    </w:rPr>
  </w:style>
  <w:style w:type="paragraph" w:customStyle="1" w:styleId="749">
    <w:name w:val="表内文字"/>
    <w:basedOn w:val="1"/>
    <w:autoRedefine/>
    <w:qFormat/>
    <w:uiPriority w:val="0"/>
    <w:pPr>
      <w:widowControl/>
      <w:spacing w:after="200" w:line="276" w:lineRule="auto"/>
      <w:jc w:val="center"/>
    </w:pPr>
    <w:rPr>
      <w:color w:val="000000"/>
      <w:kern w:val="0"/>
      <w:sz w:val="22"/>
      <w:szCs w:val="18"/>
    </w:rPr>
  </w:style>
  <w:style w:type="paragraph" w:customStyle="1" w:styleId="750">
    <w:name w:val="列出段落2"/>
    <w:basedOn w:val="1"/>
    <w:autoRedefine/>
    <w:qFormat/>
    <w:uiPriority w:val="34"/>
    <w:pPr>
      <w:widowControl/>
      <w:spacing w:after="200" w:line="276" w:lineRule="auto"/>
      <w:ind w:firstLine="420"/>
      <w:jc w:val="left"/>
    </w:pPr>
    <w:rPr>
      <w:rFonts w:asciiTheme="minorHAnsi" w:hAnsiTheme="minorHAnsi" w:eastAsiaTheme="minorEastAsia" w:cstheme="minorBidi"/>
      <w:kern w:val="0"/>
      <w:sz w:val="24"/>
    </w:rPr>
  </w:style>
  <w:style w:type="table" w:customStyle="1" w:styleId="751">
    <w:name w:val="网格型5"/>
    <w:basedOn w:val="44"/>
    <w:autoRedefine/>
    <w:qFormat/>
    <w:uiPriority w:val="0"/>
    <w:pPr>
      <w:widowControl w:val="0"/>
      <w:spacing w:line="240" w:lineRule="auto"/>
      <w:jc w:val="left"/>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2">
    <w:name w:val="网格型6"/>
    <w:basedOn w:val="44"/>
    <w:autoRedefine/>
    <w:qFormat/>
    <w:uiPriority w:val="0"/>
    <w:pPr>
      <w:spacing w:line="240" w:lineRule="auto"/>
      <w:jc w:val="left"/>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53">
    <w:name w:val="标题3"/>
    <w:autoRedefine/>
    <w:unhideWhenUsed/>
    <w:qFormat/>
    <w:uiPriority w:val="3"/>
    <w:pPr>
      <w:spacing w:line="240" w:lineRule="auto"/>
      <w:jc w:val="left"/>
      <w:outlineLvl w:val="3"/>
    </w:pPr>
    <w:rPr>
      <w:rFonts w:asciiTheme="minorHAnsi" w:hAnsiTheme="minorHAnsi" w:eastAsiaTheme="minorEastAsia" w:cstheme="minorBidi"/>
      <w:kern w:val="2"/>
      <w:sz w:val="21"/>
      <w:szCs w:val="22"/>
      <w:lang w:val="en-US" w:eastAsia="zh-CN" w:bidi="ar-SA"/>
    </w:rPr>
  </w:style>
  <w:style w:type="table" w:customStyle="1" w:styleId="754">
    <w:name w:val="网格型7"/>
    <w:basedOn w:val="44"/>
    <w:autoRedefine/>
    <w:qFormat/>
    <w:uiPriority w:val="0"/>
    <w:pPr>
      <w:spacing w:line="240" w:lineRule="auto"/>
      <w:jc w:val="left"/>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5">
    <w:name w:val="网格型8"/>
    <w:basedOn w:val="44"/>
    <w:autoRedefine/>
    <w:qFormat/>
    <w:uiPriority w:val="0"/>
    <w:pPr>
      <w:widowControl w:val="0"/>
      <w:spacing w:line="240" w:lineRule="auto"/>
      <w:jc w:val="left"/>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6">
    <w:name w:val="网格型9"/>
    <w:basedOn w:val="44"/>
    <w:autoRedefine/>
    <w:qFormat/>
    <w:uiPriority w:val="0"/>
    <w:pPr>
      <w:widowControl w:val="0"/>
      <w:spacing w:line="240" w:lineRule="auto"/>
      <w:jc w:val="left"/>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7">
    <w:name w:val="灰度表格1"/>
    <w:basedOn w:val="44"/>
    <w:autoRedefine/>
    <w:qFormat/>
    <w:uiPriority w:val="59"/>
    <w:pPr>
      <w:spacing w:line="240" w:lineRule="auto"/>
      <w:jc w:val="left"/>
    </w:pPr>
    <w:rPr>
      <w:rFonts w:ascii="Calibri" w:hAnsi="Calibri" w:eastAsia="微软雅黑" w:cs="Times New Roman"/>
      <w:kern w:val="0"/>
      <w:sz w:val="22"/>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58">
    <w:name w:val="表头图头2"/>
    <w:basedOn w:val="19"/>
    <w:next w:val="24"/>
    <w:autoRedefine/>
    <w:qFormat/>
    <w:uiPriority w:val="0"/>
    <w:pPr>
      <w:spacing w:after="0"/>
      <w:jc w:val="center"/>
      <w:outlineLvl w:val="5"/>
    </w:pPr>
    <w:rPr>
      <w:rFonts w:eastAsia="黑体"/>
      <w:b/>
      <w:sz w:val="24"/>
    </w:rPr>
  </w:style>
  <w:style w:type="paragraph" w:customStyle="1" w:styleId="759">
    <w:name w:val="Heading 4"/>
    <w:basedOn w:val="1"/>
    <w:autoRedefine/>
    <w:qFormat/>
    <w:uiPriority w:val="0"/>
    <w:pPr>
      <w:keepNext w:val="0"/>
      <w:keepLines w:val="0"/>
      <w:widowControl w:val="0"/>
      <w:suppressLineNumbers w:val="0"/>
      <w:autoSpaceDE w:val="0"/>
      <w:autoSpaceDN w:val="0"/>
      <w:spacing w:before="103" w:beforeAutospacing="0" w:after="0" w:afterAutospacing="0"/>
      <w:ind w:left="0" w:right="0"/>
      <w:jc w:val="center"/>
      <w:outlineLvl w:val="4"/>
    </w:pPr>
    <w:rPr>
      <w:rFonts w:hint="eastAsia" w:ascii="宋体" w:hAnsi="宋体" w:eastAsia="宋体" w:cs="宋体"/>
      <w:b/>
      <w:bCs/>
      <w:kern w:val="0"/>
      <w:sz w:val="24"/>
      <w:szCs w:val="24"/>
      <w:lang w:val="en-US" w:eastAsia="zh-CN" w:bidi="ar"/>
    </w:rPr>
  </w:style>
  <w:style w:type="paragraph" w:customStyle="1" w:styleId="760">
    <w:name w:val="表中字"/>
    <w:basedOn w:val="1"/>
    <w:autoRedefine/>
    <w:qFormat/>
    <w:uiPriority w:val="0"/>
    <w:pPr>
      <w:keepNext w:val="0"/>
      <w:keepLines w:val="0"/>
      <w:widowControl w:val="0"/>
      <w:suppressLineNumbers w:val="0"/>
      <w:spacing w:before="0" w:beforeAutospacing="0" w:after="0" w:afterAutospacing="0" w:line="240" w:lineRule="atLeast"/>
      <w:ind w:left="0" w:right="0"/>
      <w:jc w:val="center"/>
    </w:pPr>
    <w:rPr>
      <w:rFonts w:hint="default" w:ascii="Times New Roman" w:hAnsi="Times New Roman" w:eastAsia="宋体" w:cs="Times New Roman"/>
      <w:kern w:val="2"/>
      <w:sz w:val="21"/>
      <w:szCs w:val="24"/>
      <w:lang w:val="en-US" w:eastAsia="zh-CN" w:bidi="ar"/>
    </w:rPr>
  </w:style>
  <w:style w:type="character" w:customStyle="1" w:styleId="761">
    <w:name w:val="信息标题 Char"/>
    <w:basedOn w:val="49"/>
    <w:link w:val="37"/>
    <w:autoRedefine/>
    <w:qFormat/>
    <w:uiPriority w:val="0"/>
    <w:rPr>
      <w:rFonts w:ascii="Calibri Light" w:hAnsi="Calibri Light" w:eastAsia="宋体" w:cs="Times New Roman"/>
      <w:kern w:val="2"/>
      <w:sz w:val="24"/>
      <w:szCs w:val="24"/>
      <w:shd w:val="pct20" w:color="auto" w:fill="auto"/>
    </w:rPr>
  </w:style>
  <w:style w:type="character" w:customStyle="1" w:styleId="762">
    <w:name w:val="标题 3 Char2"/>
    <w:basedOn w:val="49"/>
    <w:autoRedefine/>
    <w:qFormat/>
    <w:uiPriority w:val="0"/>
    <w:rPr>
      <w:rFonts w:hint="eastAsia" w:ascii="宋体" w:hAnsi="宋体" w:eastAsia="宋体" w:cs="宋体"/>
      <w:sz w:val="32"/>
      <w:szCs w:val="32"/>
    </w:rPr>
  </w:style>
  <w:style w:type="paragraph" w:customStyle="1" w:styleId="763">
    <w:name w:val="msolistparagraph"/>
    <w:basedOn w:val="1"/>
    <w:autoRedefine/>
    <w:qFormat/>
    <w:uiPriority w:val="0"/>
    <w:pPr>
      <w:keepNext w:val="0"/>
      <w:keepLines w:val="0"/>
      <w:widowControl w:val="0"/>
      <w:suppressLineNumbers w:val="0"/>
      <w:autoSpaceDE w:val="0"/>
      <w:autoSpaceDN w:val="0"/>
      <w:spacing w:before="161" w:beforeAutospacing="0" w:after="0" w:afterAutospacing="0"/>
      <w:ind w:left="1761" w:right="0" w:hanging="602"/>
      <w:jc w:val="left"/>
    </w:pPr>
    <w:rPr>
      <w:rFonts w:hint="eastAsia" w:ascii="宋体" w:hAnsi="宋体" w:eastAsia="宋体" w:cs="宋体"/>
      <w:kern w:val="0"/>
      <w:sz w:val="22"/>
      <w:szCs w:val="22"/>
      <w:lang w:val="en-US" w:eastAsia="zh-CN" w:bidi="ar"/>
    </w:rPr>
  </w:style>
  <w:style w:type="character" w:customStyle="1" w:styleId="764">
    <w:name w:val="正文文本 字符1"/>
    <w:autoRedefine/>
    <w:semiHidden/>
    <w:qFormat/>
    <w:uiPriority w:val="0"/>
    <w:rPr>
      <w:rFonts w:ascii="Times New Roman" w:hAnsi="Times New Roman" w:eastAsia="宋体"/>
      <w:sz w:val="24"/>
    </w:rPr>
  </w:style>
  <w:style w:type="paragraph" w:customStyle="1" w:styleId="765">
    <w:name w:val="我的正文"/>
    <w:basedOn w:val="1"/>
    <w:autoRedefine/>
    <w:qFormat/>
    <w:uiPriority w:val="0"/>
    <w:pPr>
      <w:adjustRightInd w:val="0"/>
      <w:snapToGrid w:val="0"/>
      <w:spacing w:line="480" w:lineRule="exact"/>
      <w:ind w:firstLine="720"/>
      <w:jc w:val="left"/>
    </w:pPr>
    <w:rPr>
      <w:rFonts w:ascii="宋体" w:hAnsi="宋体" w:cs="宋体"/>
      <w:bCs/>
      <w:kern w:val="0"/>
      <w:sz w:val="20"/>
      <w:szCs w:val="21"/>
    </w:rPr>
  </w:style>
  <w:style w:type="paragraph" w:customStyle="1" w:styleId="766">
    <w:name w:val="正文 段落3级"/>
    <w:autoRedefine/>
    <w:qFormat/>
    <w:uiPriority w:val="0"/>
    <w:pPr>
      <w:keepNext/>
      <w:keepLines/>
      <w:spacing w:before="156" w:beforeLines="50" w:after="156" w:afterLines="50" w:line="500" w:lineRule="exact"/>
      <w:outlineLvl w:val="2"/>
    </w:pPr>
    <w:rPr>
      <w:rFonts w:ascii="Times New Roman" w:hAnsi="Times New Roman" w:eastAsia="仿宋_GB2312" w:cs="Times New Roman"/>
      <w:b/>
      <w:bCs/>
      <w:kern w:val="2"/>
      <w:sz w:val="28"/>
      <w:szCs w:val="32"/>
      <w:lang w:val="en-US" w:eastAsia="zh-CN" w:bidi="ar-SA"/>
    </w:rPr>
  </w:style>
  <w:style w:type="paragraph" w:customStyle="1" w:styleId="767">
    <w:name w:val="WPSOffice手动目录 1"/>
    <w:autoRedefine/>
    <w:qFormat/>
    <w:uiPriority w:val="0"/>
    <w:pPr>
      <w:ind w:leftChars="0"/>
    </w:pPr>
    <w:rPr>
      <w:rFonts w:ascii="Times New Roman" w:hAnsi="Times New Roman" w:eastAsia="宋体" w:cs="Times New Roman"/>
      <w:sz w:val="20"/>
      <w:szCs w:val="20"/>
    </w:rPr>
  </w:style>
  <w:style w:type="paragraph" w:customStyle="1" w:styleId="768">
    <w:name w:val="WPSOffice手动目录 2"/>
    <w:autoRedefine/>
    <w:qFormat/>
    <w:uiPriority w:val="0"/>
    <w:pPr>
      <w:ind w:leftChars="200"/>
    </w:pPr>
    <w:rPr>
      <w:rFonts w:ascii="Times New Roman" w:hAnsi="Times New Roman" w:eastAsia="宋体" w:cs="Times New Roman"/>
      <w:sz w:val="20"/>
      <w:szCs w:val="20"/>
    </w:rPr>
  </w:style>
  <w:style w:type="paragraph" w:customStyle="1" w:styleId="769">
    <w:name w:val="WPSOffice手动目录 3"/>
    <w:autoRedefine/>
    <w:qFormat/>
    <w:uiPriority w:val="0"/>
    <w:pPr>
      <w:ind w:leftChars="400"/>
    </w:pPr>
    <w:rPr>
      <w:rFonts w:ascii="Times New Roman" w:hAnsi="Times New Roman" w:eastAsia="宋体" w:cs="Times New Roman"/>
      <w:sz w:val="20"/>
      <w:szCs w:val="20"/>
    </w:rPr>
  </w:style>
  <w:style w:type="table" w:customStyle="1" w:styleId="770">
    <w:name w:val="网格型12"/>
    <w:basedOn w:val="4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771">
    <w:name w:val="样式 正文首行缩进 + 首行缩进:  2 字符1"/>
    <w:basedOn w:val="1"/>
    <w:next w:val="31"/>
    <w:autoRedefine/>
    <w:qFormat/>
    <w:uiPriority w:val="99"/>
    <w:pPr>
      <w:spacing w:line="360" w:lineRule="auto"/>
      <w:ind w:firstLine="480" w:firstLineChars="200"/>
    </w:pPr>
    <w:rPr>
      <w:sz w:val="24"/>
    </w:rPr>
  </w:style>
  <w:style w:type="paragraph" w:customStyle="1" w:styleId="772">
    <w:name w:val="Heading 6"/>
    <w:basedOn w:val="1"/>
    <w:autoRedefine/>
    <w:qFormat/>
    <w:uiPriority w:val="0"/>
    <w:pPr>
      <w:keepNext w:val="0"/>
      <w:keepLines w:val="0"/>
      <w:widowControl w:val="0"/>
      <w:suppressLineNumbers w:val="0"/>
      <w:autoSpaceDE w:val="0"/>
      <w:autoSpaceDN w:val="0"/>
      <w:spacing w:before="0" w:beforeAutospacing="0" w:after="0" w:afterAutospacing="0"/>
      <w:ind w:left="0" w:right="0"/>
      <w:jc w:val="left"/>
      <w:outlineLvl w:val="6"/>
    </w:pPr>
    <w:rPr>
      <w:rFonts w:hint="eastAsia" w:ascii="宋体" w:hAnsi="宋体" w:eastAsia="宋体" w:cs="宋体"/>
      <w:b/>
      <w:bCs/>
      <w:kern w:val="0"/>
      <w:sz w:val="24"/>
      <w:szCs w:val="24"/>
      <w:lang w:val="en-US" w:eastAsia="zh-CN" w:bidi="ar"/>
    </w:rPr>
  </w:style>
  <w:style w:type="character" w:customStyle="1" w:styleId="773">
    <w:name w:val="font21"/>
    <w:basedOn w:val="49"/>
    <w:autoRedefine/>
    <w:qFormat/>
    <w:uiPriority w:val="0"/>
    <w:rPr>
      <w:rFonts w:hint="default" w:ascii="Times New Roman" w:hAnsi="Times New Roman" w:cs="Times New Roman"/>
      <w:color w:val="000000"/>
      <w:sz w:val="21"/>
      <w:szCs w:val="21"/>
      <w:u w:val="none"/>
    </w:rPr>
  </w:style>
  <w:style w:type="paragraph" w:customStyle="1" w:styleId="774">
    <w:name w:val="图表内容"/>
    <w:next w:val="19"/>
    <w:qFormat/>
    <w:uiPriority w:val="0"/>
    <w:pPr>
      <w:jc w:val="center"/>
    </w:pPr>
    <w:rPr>
      <w:rFonts w:ascii="Calibri" w:hAnsi="Calibri" w:eastAsia="宋体" w:cs="Times New Roman"/>
      <w:kern w:val="2"/>
      <w:sz w:val="21"/>
      <w:szCs w:val="21"/>
      <w:lang w:val="en-US" w:eastAsia="zh-CN" w:bidi="ar-SA"/>
    </w:rPr>
  </w:style>
  <w:style w:type="paragraph" w:customStyle="1" w:styleId="775">
    <w:name w:val="Table Text"/>
    <w:basedOn w:val="1"/>
    <w:semiHidden/>
    <w:qFormat/>
    <w:uiPriority w:val="0"/>
    <w:rPr>
      <w:rFonts w:ascii="宋体" w:hAnsi="宋体" w:eastAsia="宋体" w:cs="宋体"/>
      <w:sz w:val="24"/>
      <w:szCs w:val="24"/>
      <w:lang w:val="en-US" w:eastAsia="en-US" w:bidi="ar-SA"/>
    </w:rPr>
  </w:style>
  <w:style w:type="paragraph" w:customStyle="1" w:styleId="776">
    <w:name w:val="表格标题"/>
    <w:basedOn w:val="1"/>
    <w:next w:val="1"/>
    <w:qFormat/>
    <w:uiPriority w:val="99"/>
    <w:pPr>
      <w:widowControl/>
      <w:adjustRightInd w:val="0"/>
      <w:snapToGrid w:val="0"/>
      <w:ind w:firstLine="200" w:firstLineChars="200"/>
      <w:jc w:val="center"/>
    </w:pPr>
    <w:rPr>
      <w:rFonts w:ascii="Times New Roman" w:hAnsi="Times New Roman" w:eastAsia="黑体" w:cs="黑体"/>
      <w:b/>
      <w:kern w:val="0"/>
      <w:szCs w:val="22"/>
    </w:rPr>
  </w:style>
  <w:style w:type="paragraph" w:customStyle="1" w:styleId="777">
    <w:name w:val="正文_2"/>
    <w:qFormat/>
    <w:uiPriority w:val="0"/>
    <w:pPr>
      <w:widowControl w:val="0"/>
      <w:jc w:val="both"/>
    </w:pPr>
    <w:rPr>
      <w:rFonts w:ascii="Calibri" w:hAnsi="Calibri" w:eastAsia="宋体" w:cs="Times New Roman"/>
      <w:kern w:val="2"/>
      <w:sz w:val="21"/>
      <w:lang w:val="en-US" w:eastAsia="zh-CN" w:bidi="ar-SA"/>
    </w:rPr>
  </w:style>
  <w:style w:type="character" w:customStyle="1" w:styleId="778">
    <w:name w:val="font31"/>
    <w:basedOn w:val="49"/>
    <w:qFormat/>
    <w:uiPriority w:val="0"/>
    <w:rPr>
      <w:rFonts w:hint="eastAsia" w:ascii="宋体" w:hAnsi="宋体" w:eastAsia="宋体" w:cs="宋体"/>
      <w:b/>
      <w:bCs/>
      <w:color w:val="000000"/>
      <w:sz w:val="21"/>
      <w:szCs w:val="21"/>
      <w:u w:val="none"/>
    </w:rPr>
  </w:style>
  <w:style w:type="character" w:customStyle="1" w:styleId="779">
    <w:name w:val="font41"/>
    <w:basedOn w:val="49"/>
    <w:qFormat/>
    <w:uiPriority w:val="0"/>
    <w:rPr>
      <w:rFonts w:hint="default" w:ascii="Times New Roman" w:hAnsi="Times New Roman" w:cs="Times New Roman"/>
      <w:b/>
      <w:bCs/>
      <w:color w:val="000000"/>
      <w:sz w:val="21"/>
      <w:szCs w:val="21"/>
      <w:u w:val="none"/>
    </w:rPr>
  </w:style>
  <w:style w:type="character" w:customStyle="1" w:styleId="780">
    <w:name w:val="font51"/>
    <w:basedOn w:val="49"/>
    <w:qFormat/>
    <w:uiPriority w:val="0"/>
    <w:rPr>
      <w:rFonts w:hint="default" w:ascii="Times New Roman" w:hAnsi="Times New Roman" w:cs="Times New Roman"/>
      <w:b/>
      <w:bCs/>
      <w:color w:val="000000"/>
      <w:sz w:val="21"/>
      <w:szCs w:val="21"/>
      <w:u w:val="none"/>
      <w:vertAlign w:val="subscript"/>
    </w:rPr>
  </w:style>
  <w:style w:type="character" w:customStyle="1" w:styleId="781">
    <w:name w:val="Font Style13"/>
    <w:qFormat/>
    <w:uiPriority w:val="0"/>
    <w:rPr>
      <w:rFonts w:ascii="黑体" w:eastAsia="黑体"/>
      <w:sz w:val="26"/>
    </w:rPr>
  </w:style>
  <w:style w:type="paragraph" w:customStyle="1" w:styleId="782">
    <w:name w:val="表后"/>
    <w:next w:val="747"/>
    <w:qFormat/>
    <w:uiPriority w:val="0"/>
    <w:pPr>
      <w:jc w:val="center"/>
    </w:pPr>
    <w:rPr>
      <w:rFonts w:ascii="黑体" w:hAnsi="黑体" w:eastAsia="黑体" w:cs="Times New Roman"/>
      <w:bCs/>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35.wmf"/><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footer" Target="footer1.xml"/><Relationship Id="rId59" Type="http://schemas.openxmlformats.org/officeDocument/2006/relationships/image" Target="media/image31.png"/><Relationship Id="rId58" Type="http://schemas.openxmlformats.org/officeDocument/2006/relationships/image" Target="media/image30.jpeg"/><Relationship Id="rId57" Type="http://schemas.openxmlformats.org/officeDocument/2006/relationships/image" Target="media/image29.jpeg"/><Relationship Id="rId56" Type="http://schemas.openxmlformats.org/officeDocument/2006/relationships/image" Target="media/image28.jpe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wmf"/><Relationship Id="rId52" Type="http://schemas.openxmlformats.org/officeDocument/2006/relationships/oleObject" Target="embeddings/oleObject7.bin"/><Relationship Id="rId51" Type="http://schemas.openxmlformats.org/officeDocument/2006/relationships/image" Target="media/image24.wmf"/><Relationship Id="rId50" Type="http://schemas.openxmlformats.org/officeDocument/2006/relationships/oleObject" Target="embeddings/oleObject6.bin"/><Relationship Id="rId5" Type="http://schemas.openxmlformats.org/officeDocument/2006/relationships/header" Target="head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wmf"/><Relationship Id="rId46" Type="http://schemas.openxmlformats.org/officeDocument/2006/relationships/oleObject" Target="embeddings/oleObject5.bin"/><Relationship Id="rId45" Type="http://schemas.openxmlformats.org/officeDocument/2006/relationships/image" Target="media/image20.wmf"/><Relationship Id="rId44" Type="http://schemas.openxmlformats.org/officeDocument/2006/relationships/oleObject" Target="embeddings/oleObject4.bin"/><Relationship Id="rId43" Type="http://schemas.openxmlformats.org/officeDocument/2006/relationships/image" Target="media/image19.wmf"/><Relationship Id="rId42" Type="http://schemas.openxmlformats.org/officeDocument/2006/relationships/oleObject" Target="embeddings/oleObject3.bin"/><Relationship Id="rId41" Type="http://schemas.openxmlformats.org/officeDocument/2006/relationships/image" Target="media/image18.wmf"/><Relationship Id="rId40" Type="http://schemas.openxmlformats.org/officeDocument/2006/relationships/oleObject" Target="embeddings/oleObject2.bin"/><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oleObject" Target="embeddings/oleObject1.bin"/><Relationship Id="rId37" Type="http://schemas.openxmlformats.org/officeDocument/2006/relationships/image" Target="media/image16.wmf"/><Relationship Id="rId36" Type="http://schemas.openxmlformats.org/officeDocument/2006/relationships/image" Target="media/image15.jpe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Building%20Block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9b177390-846d-4540-bb85-35de047dd946</errorID>
      <errorWord>二零二</errorWord>
      <group>L1_Word</group>
      <groupName>字词问题</groupName>
      <ability>L2_Alias</ability>
      <abilityName>也作/曾用词</abilityName>
      <candidateList>
        <item>二○二</item>
      </candidateList>
      <explain>词汇[二零二]为不规范表述或旧称，其规范书面表述为[二○二]。</explain>
      <paraID>7B58A334</paraID>
      <start>5</start>
      <end>8</end>
      <status>unmodified</status>
      <modifiedWord/>
      <trackRevisions>false</trackRevisions>
    </reviewItem>
    <reviewItem>
      <errorID>60720900-f99d-4ca1-a962-c940b7938251</errorID>
      <errorWord>监测报告</errorWord>
      <group>L1_Word</group>
      <groupName>字词问题</groupName>
      <ability>L2_Typo</ability>
      <abilityName>字词错误</abilityName>
      <candidateList>
        <item>检测报告</item>
      </candidateList>
      <explain/>
      <paraID>7115E284</paraID>
      <start>4</start>
      <end>8</end>
      <status>unmodified</status>
      <modifiedWord/>
      <trackRevisions>false</trackRevisions>
    </reviewItem>
    <reviewItem>
      <errorID>b5965a95-6281-4df1-80cb-06ac514e2b15</errorID>
      <errorWord>项目监测</errorWord>
      <group>L1_Word</group>
      <groupName>字词问题</groupName>
      <ability>L2_Typo</ability>
      <abilityName>字词错误</abilityName>
      <candidateList>
        <item>项目检测</item>
      </candidateList>
      <explain/>
      <paraID>21FED759</paraID>
      <start>7</start>
      <end>11</end>
      <status>unmodified</status>
      <modifiedWord/>
      <trackRevisions>false</trackRevisions>
    </reviewItem>
    <reviewItem>
      <errorID>e3ab553c-6a1d-4b55-802d-41eb56fb7a37</errorID>
      <errorWord>产</errorWord>
      <group>L1_Word</group>
      <groupName>字词问题</groupName>
      <ability>L2_Typo</ability>
      <abilityName>字词错误</abilityName>
      <candidateList>
        <item>产线</item>
      </candidateList>
      <explain/>
      <paraID>42730B01</paraID>
      <start>34</start>
      <end>36</end>
      <status>modified</status>
      <modifiedWord>产线</modifiedWord>
      <trackRevisions>false</trackRevisions>
    </reviewItem>
    <reviewItem>
      <errorID>6e9ae58d-fb46-454d-884f-3baee82db88b</errorID>
      <errorWord>程</errorWord>
      <group>L1_Word</group>
      <groupName>字词问题</groupName>
      <ability>L2_Typo</ability>
      <abilityName>字词错误</abilityName>
      <candidateList>
        <item>程中</item>
      </candidateList>
      <explain/>
      <paraID>7118F5F4</paraID>
      <start>59</start>
      <end>61</end>
      <status>modified</status>
      <modifiedWord>程中</modifiedWord>
      <trackRevisions>false</trackRevisions>
    </reviewItem>
    <reviewItem>
      <errorID>4fe9165b-4706-43e8-93dc-543aff6d48ba</errorID>
      <errorWord>~</errorWord>
      <group>L1_Format</group>
      <groupName>格式问题</groupName>
      <ability>L2_HalfPunc</ability>
      <abilityName>全半角检查</abilityName>
      <candidateList>
        <item>～</item>
      </candidateList>
      <explain>文本全半角错误。</explain>
      <paraID>17418A19</paraID>
      <start>219</start>
      <end>220</end>
      <status>unmodified</status>
      <modifiedWord/>
      <trackRevisions>false</trackRevisions>
    </reviewItem>
    <reviewItem>
      <errorID>4730cfc5-fa77-472b-bb54-8f80948e2d88</errorID>
      <errorWord>（</errorWord>
      <group>L1_Punc</group>
      <groupName>标点问题</groupName>
      <ability>L2_Punc</ability>
      <abilityName>标点符号检查</abilityName>
      <candidateList/>
      <explain>同一形式括号套用。</explain>
      <paraID>794B20EB</paraID>
      <start>66</start>
      <end>67</end>
      <status>unmodified</status>
      <modifiedWord/>
      <trackRevisions>false</trackRevisions>
    </reviewItem>
    <reviewItem>
      <errorID>05776c32-cdf9-453c-bc61-7156cd525c17</errorID>
      <errorWord>）</errorWord>
      <group>L1_Punc</group>
      <groupName>标点问题</groupName>
      <ability>L2_Punc</ability>
      <abilityName>标点符号检查</abilityName>
      <candidateList/>
      <explain>同一形式括号套用。</explain>
      <paraID>794B20EB</paraID>
      <start>74</start>
      <end>75</end>
      <status>unmodified</status>
      <modifiedWord/>
      <trackRevisions>false</trackRevisions>
    </reviewItem>
    <reviewItem>
      <errorID>85bd6899-53a5-486b-ae6b-486194ca03ab</errorID>
      <errorWord>（</errorWord>
      <group>L1_Punc</group>
      <groupName>标点问题</groupName>
      <ability>L2_Punc</ability>
      <abilityName>标点符号检查</abilityName>
      <candidateList/>
      <explain>同一形式括号套用。</explain>
      <paraID>794B20EB</paraID>
      <start>102</start>
      <end>103</end>
      <status>unmodified</status>
      <modifiedWord/>
      <trackRevisions>false</trackRevisions>
    </reviewItem>
    <reviewItem>
      <errorID>07a0e00f-f61c-492e-91bb-a7c83577bfac</errorID>
      <errorWord>）</errorWord>
      <group>L1_Punc</group>
      <groupName>标点问题</groupName>
      <ability>L2_Punc</ability>
      <abilityName>标点符号检查</abilityName>
      <candidateList/>
      <explain>同一形式括号套用。</explain>
      <paraID>794B20EB</paraID>
      <start>110</start>
      <end>111</end>
      <status>unmodified</status>
      <modifiedWord/>
      <trackRevisions>false</trackRevisions>
    </reviewItem>
    <reviewItem>
      <errorID>24ce82de-f445-43ec-8a0e-41255d852a2f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68931BE2</paraID>
      <start>15</start>
      <end>18</end>
      <status>unmodified</status>
      <modifiedWord/>
      <trackRevisions>false</trackRevisions>
    </reviewItem>
    <reviewItem>
      <errorID>3a8f9355-af98-45e6-acaa-1df0d65daef1</errorID>
      <errorWord>行</errorWord>
      <group>L1_Word</group>
      <groupName>字词问题</groupName>
      <ability>L2_Typo</ability>
      <abilityName>字词错误</abilityName>
      <candidateList>
        <item>行了</item>
      </candidateList>
      <explain/>
      <paraID>68931BE2</paraID>
      <start>167</start>
      <end>168</end>
      <status>unmodified</status>
      <modifiedWord/>
      <trackRevisions>false</trackRevisions>
    </reviewItem>
    <reviewItem>
      <errorID>27f4820a-7962-433d-99c9-2c203df3efe4</errorID>
      <errorWord>定</errorWord>
      <group>L1_Word</group>
      <groupName>字词问题</groupName>
      <ability>L2_Typo</ability>
      <abilityName>字词错误</abilityName>
      <candidateList>
        <item>定了</item>
      </candidateList>
      <explain/>
      <paraID>68931BE2</paraID>
      <start>246</start>
      <end>247</end>
      <status>unmodified</status>
      <modifiedWord/>
      <trackRevisions>false</trackRevisions>
    </reviewItem>
    <reviewItem>
      <errorID>2a60f23c-dc3b-48a2-acbd-152cdd456cf3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B9197AE</paraID>
      <start>26</start>
      <end>27</end>
      <status>unmodified</status>
      <modifiedWord/>
      <trackRevisions>false</trackRevisions>
    </reviewItem>
    <reviewItem>
      <errorID>ba40c2ef-2716-464f-8347-165c33e7f63b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B9197AE</paraID>
      <start>33</start>
      <end>36</end>
      <status>unmodified</status>
      <modifiedWord/>
      <trackRevisions>false</trackRevisions>
    </reviewItem>
    <reviewItem>
      <errorID>84262208-5bf8-4bd8-b1fa-1a59e192a15f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B9197AE</paraID>
      <start>55</start>
      <end>56</end>
      <status>unmodified</status>
      <modifiedWord/>
      <trackRevisions>false</trackRevisions>
    </reviewItem>
    <reviewItem>
      <errorID>8717bf1a-909c-439a-a3f4-0b8262c95825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B9197AE</paraID>
      <start>69</start>
      <end>72</end>
      <status>unmodified</status>
      <modifiedWord/>
      <trackRevisions>false</trackRevisions>
    </reviewItem>
    <reviewItem>
      <errorID>90d88888-4af4-4f4b-b75c-033000ff6f7e</errorID>
      <errorWord>&lt;</errorWord>
      <group>L1_Format</group>
      <groupName>格式问题</groupName>
      <ability>L2_HalfPunc</ability>
      <abilityName>全半角检查</abilityName>
      <candidateList>
        <item>〈</item>
      </candidateList>
      <explain>文本全半角错误。</explain>
      <paraID> B9197AE</paraID>
      <start>83</start>
      <end>84</end>
      <status>unmodified</status>
      <modifiedWord/>
      <trackRevisions>false</trackRevisions>
    </reviewItem>
    <reviewItem>
      <errorID>2146074e-9451-4c0c-9722-896c7243209c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B9197AE</paraID>
      <start>103</start>
      <end>104</end>
      <status>unmodified</status>
      <modifiedWord/>
      <trackRevisions>false</trackRevisions>
    </reviewItem>
    <reviewItem>
      <errorID>e5f4fa7e-ef4a-4d8f-aff0-b4498473f48f</errorID>
      <errorWord>&gt;</errorWord>
      <group>L1_Format</group>
      <groupName>格式问题</groupName>
      <ability>L2_HalfPunc</ability>
      <abilityName>全半角检查</abilityName>
      <candidateList>
        <item>〉</item>
      </candidateList>
      <explain>文本全半角错误。</explain>
      <paraID> B9197AE</paraID>
      <start>117</start>
      <end>118</end>
      <status>unmodified</status>
      <modifiedWord/>
      <trackRevisions>false</trackRevisions>
    </reviewItem>
    <reviewItem>
      <errorID>25691af3-85eb-4d04-84d7-97270000243e</errorID>
      <errorWord>[2024]195号</errorWord>
      <group>L1_Knowledge</group>
      <groupName>知识性问题</groupName>
      <ability>L2_Knowledge</ability>
      <abilityName>其他知识</abilityName>
      <candidateList>
        <item>〔2024〕195号</item>
      </candidateList>
      <explain>发文字号格式错误</explain>
      <paraID> B9197AE</paraID>
      <start>128</start>
      <end>138</end>
      <status>unmodified</status>
      <modifiedWord/>
      <trackRevisions>false</trackRevisions>
    </reviewItem>
    <reviewItem>
      <errorID>2d36fabb-a2ee-4e3b-8503-625a1c7413b9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718A289B</paraID>
      <start>22</start>
      <end>23</end>
      <status>unmodified</status>
      <modifiedWord/>
      <trackRevisions>false</trackRevisions>
    </reviewItem>
    <reviewItem>
      <errorID>74e1be3c-9293-45b6-b26e-257283dac397</errorID>
      <errorWord>南端</errorWord>
      <group>L1_Word</group>
      <groupName>字词问题</groupName>
      <ability>L2_Typo</ability>
      <abilityName>字词错误</abilityName>
      <candidateList>
        <item>南段</item>
      </candidateList>
      <explain/>
      <paraID>1D1C908B</paraID>
      <start>42</start>
      <end>44</end>
      <status>unmodified</status>
      <modifiedWord/>
      <trackRevisions>false</trackRevisions>
    </reviewItem>
    <reviewItem>
      <errorID>8ef662bc-f011-4584-b759-6250925646f9</errorID>
      <errorWord>先进制造产业集群</errorWord>
      <group>L1_Political</group>
      <groupName>政治性问题</groupName>
      <ability>L2_Keyword</ability>
      <abilityName>固定表述</abilityName>
      <candidateList>
        <item>先进制造业集群</item>
      </candidateList>
      <explain>词汇“先进制造业集群”在特定场景下为固定表述形式，请确认此处的“先进制造产业集群”是否存在不当。</explain>
      <paraID>679DA73A</paraID>
      <start>5</start>
      <end>13</end>
      <status>unmodified</status>
      <modifiedWord/>
      <trackRevisions>false</trackRevisions>
    </reviewItem>
    <reviewItem>
      <errorID>64536fdb-81b4-4516-ae4e-ba2ac9d2f5a3</errorID>
      <errorWord>产业结群</errorWord>
      <group>L1_Knowledge</group>
      <groupName>知识性问题</groupName>
      <ability>L2_Term</ability>
      <abilityName>专业术语</abilityName>
      <candidateList>
        <item>产业集群</item>
      </candidateList>
      <explain/>
      <paraID>1753BD68</paraID>
      <start>19</start>
      <end>23</end>
      <status>unmodified</status>
      <modifiedWord/>
      <trackRevisions>false</trackRevisions>
    </reviewItem>
    <reviewItem>
      <errorID>552d80a5-40a1-4d2c-9324-58de56df7625</errorID>
      <errorWord>先进制造产业集群</errorWord>
      <group>L1_Political</group>
      <groupName>政治性问题</groupName>
      <ability>L2_Keyword</ability>
      <abilityName>固定表述</abilityName>
      <candidateList>
        <item>先进制造业集群</item>
      </candidateList>
      <explain>词汇“先进制造业集群”在特定场景下为固定表述形式，请确认此处的“先进制造产业集群”是否存在不当。</explain>
      <paraID>60D584B6</paraID>
      <start>5</start>
      <end>13</end>
      <status>unmodified</status>
      <modifiedWord/>
      <trackRevisions>false</trackRevisions>
    </reviewItem>
    <reviewItem>
      <errorID>daaa1c85-6369-4c26-8c17-9bdec02ea182</errorID>
      <errorWord>先进制造产业集群</errorWord>
      <group>L1_Political</group>
      <groupName>政治性问题</groupName>
      <ability>L2_Keyword</ability>
      <abilityName>固定表述</abilityName>
      <candidateList>
        <item>先进制造业集群</item>
      </candidateList>
      <explain>词汇“先进制造业集群”在特定场景下为固定表述形式，请确认此处的“先进制造产业集群”是否存在不当。</explain>
      <paraID>72B15817</paraID>
      <start>108</start>
      <end>116</end>
      <status>unmodified</status>
      <modifiedWord/>
      <trackRevisions>false</trackRevisions>
    </reviewItem>
    <reviewItem>
      <errorID>97169969-cad9-42a2-b03b-7927178c0869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4F020A8C</paraID>
      <start>62</start>
      <end>63</end>
      <status>unmodified</status>
      <modifiedWord/>
      <trackRevisions>false</trackRevisions>
    </reviewItem>
    <reviewItem>
      <errorID>0347836c-914b-4017-b3e3-dfd592b239bd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4F020A8C</paraID>
      <start>171</start>
      <end>172</end>
      <status>unmodified</status>
      <modifiedWord/>
      <trackRevisions>false</trackRevisions>
    </reviewItem>
    <reviewItem>
      <errorID>ff323dbf-a389-4839-ac50-3fcc428c4bc3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40DD4BD7</paraID>
      <start>22</start>
      <end>23</end>
      <status>unmodified</status>
      <modifiedWord/>
      <trackRevisions>false</trackRevisions>
    </reviewItem>
    <reviewItem>
      <errorID>742eb49c-d565-4350-9993-85180c7a2621</errorID>
      <errorWord>&lt;</errorWord>
      <group>L1_Format</group>
      <groupName>格式问题</groupName>
      <ability>L2_HalfPunc</ability>
      <abilityName>全半角检查</abilityName>
      <candidateList>
        <item>〈</item>
      </candidateList>
      <explain>文本全半角错误。</explain>
      <paraID>40DD4BD7</paraID>
      <start>50</start>
      <end>51</end>
      <status>unmodified</status>
      <modifiedWord/>
      <trackRevisions>false</trackRevisions>
    </reviewItem>
    <reviewItem>
      <errorID>3a501707-85ff-44fb-a35a-a4678e7bf34a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40DD4BD7</paraID>
      <start>70</start>
      <end>71</end>
      <status>unmodified</status>
      <modifiedWord/>
      <trackRevisions>false</trackRevisions>
    </reviewItem>
    <reviewItem>
      <errorID>ef10a256-8b78-4df5-b03d-82cbd20a06d8</errorID>
      <errorWord>&gt;</errorWord>
      <group>L1_Format</group>
      <groupName>格式问题</groupName>
      <ability>L2_HalfPunc</ability>
      <abilityName>全半角检查</abilityName>
      <candidateList>
        <item>〉</item>
      </candidateList>
      <explain>文本全半角错误。</explain>
      <paraID>40DD4BD7</paraID>
      <start>84</start>
      <end>85</end>
      <status>unmodified</status>
      <modifiedWord/>
      <trackRevisions>false</trackRevisions>
    </reviewItem>
    <reviewItem>
      <errorID>a3c78191-0868-4783-8836-ab7932fa86ac</errorID>
      <errorWord>[2024]195号</errorWord>
      <group>L1_Knowledge</group>
      <groupName>知识性问题</groupName>
      <ability>L2_Knowledge</ability>
      <abilityName>其他知识</abilityName>
      <candidateList>
        <item>〔2024〕195号</item>
      </candidateList>
      <explain>发文字号格式错误</explain>
      <paraID>40DD4BD7</paraID>
      <start>95</start>
      <end>105</end>
      <status>unmodified</status>
      <modifiedWord/>
      <trackRevisions>false</trackRevisions>
    </reviewItem>
    <reviewItem>
      <errorID>51758fde-513e-45b3-8840-1e3d8a45a4df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36C5C482</paraID>
      <start>26</start>
      <end>27</end>
      <status>unmodified</status>
      <modifiedWord/>
      <trackRevisions>false</trackRevisions>
    </reviewItem>
    <reviewItem>
      <errorID>c18519a3-67f7-4ab0-9e49-9eef21dd1ebc</errorID>
      <errorWord>,</errorWord>
      <group>L1_Format</group>
      <groupName>格式问题</groupName>
      <ability>L2_HalfPunc</ability>
      <abilityName>全半角检查</abilityName>
      <candidateList>
        <item>，</item>
      </candidateList>
      <explain>文本全半角错误。</explain>
      <paraID>2E0C4EB9</paraID>
      <start>7</start>
      <end>8</end>
      <status>unmodified</status>
      <modifiedWord/>
      <trackRevisions>false</trackRevisions>
    </reviewItem>
    <reviewItem>
      <errorID>f5dedbb4-2eac-4eb4-b72b-64571a7580e4</errorID>
      <errorWord>区</errorWord>
      <group>L1_Word</group>
      <groupName>字词问题</groupName>
      <ability>L2_Typo</ability>
      <abilityName>字词错误</abilityName>
      <candidateList>
        <item>区域</item>
      </candidateList>
      <explain/>
      <paraID>6C6CEAF5</paraID>
      <start>34</start>
      <end>35</end>
      <status>unmodified</status>
      <modifiedWord/>
      <trackRevisions>false</trackRevisions>
    </reviewItem>
    <reviewItem>
      <errorID>437e2c78-33ca-44d3-a4bc-fbbf1cc2d58d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4EC9DC44</paraID>
      <start>27</start>
      <end>28</end>
      <status>unmodified</status>
      <modifiedWord/>
      <trackRevisions>false</trackRevisions>
    </reviewItem>
    <reviewItem>
      <errorID>4f1ce62d-55e9-4c04-bd1c-d4283dd05ba5</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345CD36D</paraID>
      <start>23</start>
      <end>25</end>
      <status>unmodified</status>
      <modifiedWord/>
      <trackRevisions>false</trackRevisions>
    </reviewItem>
    <reviewItem>
      <errorID>6d3beb1d-25e1-4044-88fd-59a09d9b2010</errorID>
      <errorWord>其它有害</errorWord>
      <group>L1_Word</group>
      <groupName>字词问题</groupName>
      <ability>L2_Alias</ability>
      <abilityName>也作/曾用词</abilityName>
      <candidateList>
        <item>其他有害</item>
      </candidateList>
      <explain>词汇[其它有害]为不规范表述或旧称，其规范书面表述为[其他有害]。</explain>
      <paraID>788D3168</paraID>
      <start>18</start>
      <end>22</end>
      <status>unmodified</status>
      <modifiedWord/>
      <trackRevisions>false</trackRevisions>
    </reviewItem>
    <reviewItem>
      <errorID>cebda3ed-6e6d-4e46-a7b0-956599eff73b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2148466C</paraID>
      <start>27</start>
      <end>28</end>
      <status>unmodified</status>
      <modifiedWord/>
      <trackRevisions>false</trackRevisions>
    </reviewItem>
    <reviewItem>
      <errorID>ca0b76f1-63dd-4942-9884-65a11ee92db2</errorID>
      <errorWord>能</errorWord>
      <group>L1_Word</group>
      <groupName>字词问题</groupName>
      <ability>L2_Typo</ability>
      <abilityName>字词错误</abilityName>
      <candidateList>
        <item>能在</item>
      </candidateList>
      <explain/>
      <paraID>2D02C6D8</paraID>
      <start>21</start>
      <end>22</end>
      <status>unmodified</status>
      <modifiedWord/>
      <trackRevisions>false</trackRevisions>
    </reviewItem>
    <reviewItem>
      <errorID>53310191-8e6f-405f-bf0d-3e5c74ecadcc</errorID>
      <errorWord>废水管道</errorWord>
      <group>L1_Knowledge</group>
      <groupName>知识性问题</groupName>
      <ability>L2_Term</ability>
      <abilityName>专业术语</abilityName>
      <candidateList>
        <item>雨水管道</item>
      </candidateList>
      <explain/>
      <paraID>2D02C6D8</paraID>
      <start>76</start>
      <end>80</end>
      <status>unmodified</status>
      <modifiedWord/>
      <trackRevisions>false</trackRevisions>
    </reviewItem>
    <reviewItem>
      <errorID>b55c5df5-1ca0-431d-99c2-2c5f4c1dd854</errorID>
      <errorWord>)</errorWord>
      <group>L1_Format</group>
      <groupName>格式问题</groupName>
      <ability>L2_HalfPunc</ability>
      <abilityName>全半角检查</abilityName>
      <candidateList>
        <item>）</item>
      </candidateList>
      <explain>文本全半角错误。</explain>
      <paraID>62A2FB30</paraID>
      <start>67</start>
      <end>68</end>
      <status>unmodified</status>
      <modifiedWord/>
      <trackRevisions>false</trackRevisions>
    </reviewItem>
    <reviewItem>
      <errorID>5c9b8447-ab2a-4855-96a5-e5c984409726</errorID>
      <errorWord>循环渐进</errorWord>
      <group>L1_Knowledge</group>
      <groupName>知识性问题</groupName>
      <ability>L2_Idiom</ability>
      <abilityName>成语和诗歌</abilityName>
      <candidateList>
        <item>循序渐进</item>
      </candidateList>
      <explain>按照一定的步骤逐渐深入或提高（指学习或工作）。宋朱熹《四书集注·论语·宪问》：“此但自言其反己自修，循序渐进耳。”</explain>
      <paraID>637D5EB8</paraID>
      <start>18</start>
      <end>22</end>
      <status>unmodified</status>
      <modifiedWord/>
      <trackRevisions>false</trackRevisions>
    </reviewItem>
    <reviewItem>
      <errorID>c1370328-2ed3-4c2b-9360-f31be7fb5578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12574AC7</paraID>
      <start>27</start>
      <end>28</end>
      <status>unmodified</status>
      <modifiedWord/>
      <trackRevisions>false</trackRevisions>
    </reviewItem>
    <reviewItem>
      <errorID>74af1011-cc95-4f64-8772-61ca7a5b256d</errorID>
      <errorWord>&lt;</errorWord>
      <group>L1_Format</group>
      <groupName>格式问题</groupName>
      <ability>L2_HalfPunc</ability>
      <abilityName>全半角检查</abilityName>
      <candidateList>
        <item>〈</item>
      </candidateList>
      <explain>文本全半角错误。</explain>
      <paraID>3A0CEACF</paraID>
      <start>18</start>
      <end>19</end>
      <status>unmodified</status>
      <modifiedWord/>
      <trackRevisions>false</trackRevisions>
    </reviewItem>
    <reviewItem>
      <errorID>68362430-46df-4701-9681-cd050a21e1f5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3A0CEACF</paraID>
      <start>38</start>
      <end>39</end>
      <status>unmodified</status>
      <modifiedWord/>
      <trackRevisions>false</trackRevisions>
    </reviewItem>
    <reviewItem>
      <errorID>ad010cf5-5a87-47d3-b4e4-f5e7690aeed7</errorID>
      <errorWord>&gt;</errorWord>
      <group>L1_Format</group>
      <groupName>格式问题</groupName>
      <ability>L2_HalfPunc</ability>
      <abilityName>全半角检查</abilityName>
      <candidateList>
        <item>〉</item>
      </candidateList>
      <explain>文本全半角错误。</explain>
      <paraID>3A0CEACF</paraID>
      <start>52</start>
      <end>53</end>
      <status>unmodified</status>
      <modifiedWord/>
      <trackRevisions>false</trackRevisions>
    </reviewItem>
    <reviewItem>
      <errorID>208de429-9520-4a4e-a706-fca749f298a4</errorID>
      <errorWord>[2024]195号</errorWord>
      <group>L1_Knowledge</group>
      <groupName>知识性问题</groupName>
      <ability>L2_Knowledge</ability>
      <abilityName>其他知识</abilityName>
      <candidateList>
        <item>〔2024〕195号</item>
      </candidateList>
      <explain>发文字号格式错误</explain>
      <paraID>3A0CEACF</paraID>
      <start>63</start>
      <end>73</end>
      <status>unmodified</status>
      <modifiedWord/>
      <trackRevisions>false</trackRevisions>
    </reviewItem>
    <reviewItem>
      <errorID>cb947aaa-3d29-4c3e-8fcb-94346aff6bb0</errorID>
      <errorWord>&lt;</errorWord>
      <group>L1_Format</group>
      <groupName>格式问题</groupName>
      <ability>L2_HalfPunc</ability>
      <abilityName>全半角检查</abilityName>
      <candidateList>
        <item>〈</item>
      </candidateList>
      <explain>文本全半角错误。</explain>
      <paraID>4A838D15</paraID>
      <start>19</start>
      <end>20</end>
      <status>unmodified</status>
      <modifiedWord/>
      <trackRevisions>false</trackRevisions>
    </reviewItem>
    <reviewItem>
      <errorID>e3e7a046-9b44-437f-833a-a324583bd7e2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4A838D15</paraID>
      <start>39</start>
      <end>40</end>
      <status>unmodified</status>
      <modifiedWord/>
      <trackRevisions>false</trackRevisions>
    </reviewItem>
    <reviewItem>
      <errorID>28f502c6-ee4a-4d19-b9a2-f0d70f7bdf7e</errorID>
      <errorWord>&gt;</errorWord>
      <group>L1_Format</group>
      <groupName>格式问题</groupName>
      <ability>L2_HalfPunc</ability>
      <abilityName>全半角检查</abilityName>
      <candidateList>
        <item>〉</item>
      </candidateList>
      <explain>文本全半角错误。</explain>
      <paraID>4A838D15</paraID>
      <start>53</start>
      <end>54</end>
      <status>unmodified</status>
      <modifiedWord/>
      <trackRevisions>false</trackRevisions>
    </reviewItem>
    <reviewItem>
      <errorID>d30202f3-14db-44ca-8a02-15ccd9481ab2</errorID>
      <errorWord>[2024]195号</errorWord>
      <group>L1_Knowledge</group>
      <groupName>知识性问题</groupName>
      <ability>L2_Knowledge</ability>
      <abilityName>其他知识</abilityName>
      <candidateList>
        <item>〔2024〕195号</item>
      </candidateList>
      <explain>发文字号格式错误</explain>
      <paraID>4A838D15</paraID>
      <start>64</start>
      <end>74</end>
      <status>unmodified</status>
      <modifiedWord/>
      <trackRevisions>false</trackRevisions>
    </reviewItem>
    <reviewItem>
      <errorID>7e6b620e-8314-4b1c-8a39-8b44e961a7b4</errorID>
      <errorWord>[2001]199号</errorWord>
      <group>L1_Knowledge</group>
      <groupName>知识性问题</groupName>
      <ability>L2_Knowledge</ability>
      <abilityName>其他知识</abilityName>
      <candidateList>
        <item>〔2001〕199号</item>
      </candidateList>
      <explain>发文字号格式错误</explain>
      <paraID>29BC958C</paraID>
      <start>23</start>
      <end>33</end>
      <status>unmodified</status>
      <modifiedWord/>
      <trackRevisions>false</trackRevisions>
    </reviewItem>
    <reviewItem>
      <errorID>8fae9a08-6387-4bb4-9ef1-1da4339dfed5</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3A5AE218</paraID>
      <start>63</start>
      <end>68</end>
      <status>unmodified</status>
      <modifiedWord/>
      <trackRevisions>false</trackRevisions>
    </reviewItem>
    <reviewItem>
      <errorID>1f5b2653-093c-4225-9942-74c1d5dfa8e7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74976DF8</paraID>
      <start>34</start>
      <end>35</end>
      <status>unmodified</status>
      <modifiedWord/>
      <trackRevisions>false</trackRevisions>
    </reviewItem>
    <reviewItem>
      <errorID>5c4e0af0-d4d9-48f9-8aa7-0477c46c61d5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74976DF8</paraID>
      <start>89</start>
      <end>90</end>
      <status>unmodified</status>
      <modifiedWord/>
      <trackRevisions>false</trackRevisions>
    </reviewItem>
    <reviewItem>
      <errorID>d23666c0-2610-4bc6-ba61-8809f83c4fd9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437FFDE2</paraID>
      <start>55</start>
      <end>56</end>
      <status>unmodified</status>
      <modifiedWord/>
      <trackRevisions>false</trackRevisions>
    </reviewItem>
    <reviewItem>
      <errorID>ece22232-b869-4323-bd98-49d4261e3b63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6DB06304</paraID>
      <start>124</start>
      <end>125</end>
      <status>unmodified</status>
      <modifiedWord/>
      <trackRevisions>false</trackRevisions>
    </reviewItem>
    <reviewItem>
      <errorID>3f9c483d-0464-43f5-84ad-98eb5f744b99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6DB06304</paraID>
      <start>163</start>
      <end>164</end>
      <status>unmodified</status>
      <modifiedWord/>
      <trackRevisions>false</trackRevisions>
    </reviewItem>
    <reviewItem>
      <errorID>71cd0cbf-f325-4464-8f5d-f12c765987e6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427BC1</paraID>
      <start>56</start>
      <end>57</end>
      <status>unmodified</status>
      <modifiedWord/>
      <trackRevisions>false</trackRevisions>
    </reviewItem>
    <reviewItem>
      <errorID>928bfa85-4ea8-4592-bd12-94eab61975e9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427BC1</paraID>
      <start>122</start>
      <end>123</end>
      <status>unmodified</status>
      <modifiedWord/>
      <trackRevisions>false</trackRevisions>
    </reviewItem>
    <reviewItem>
      <errorID>294f2aad-14b5-4b06-89b5-cdc6a4dd688f</errorID>
      <errorWord>土壤监测</errorWord>
      <group>L1_Word</group>
      <groupName>字词问题</groupName>
      <ability>L2_Typo</ability>
      <abilityName>字词错误</abilityName>
      <candidateList>
        <item>土壤检测</item>
      </candidateList>
      <explain/>
      <paraID>3F89E514</paraID>
      <start>10</start>
      <end>14</end>
      <status>unmodified</status>
      <modifiedWord/>
      <trackRevisions>false</trackRevisions>
    </reviewItem>
    <reviewItem>
      <errorID>e7b08476-787c-4f9a-9fa0-7826ab48c75e</errorID>
      <errorWord>大气污染防治法</errorWord>
      <group>L1_Knowledge</group>
      <groupName>知识性问题</groupName>
      <ability>L2_Knowledge</ability>
      <abilityName>其他知识</abilityName>
      <candidateList>
        <item>中华人民共和国大气污染防治法</item>
      </candidateList>
      <explain>当前法律法规名称使用简称，请注意是否应当使用全称。</explain>
      <paraID> 8897E33</paraID>
      <start>15</start>
      <end>22</end>
      <status>unmodified</status>
      <modifiedWord/>
      <trackRevisions>false</trackRevisions>
    </reviewItem>
    <reviewItem>
      <errorID>46424666-ace4-45b6-956e-16ab5a0d0603</errorID>
      <errorWord>水污染防治法</errorWord>
      <group>L1_Knowledge</group>
      <groupName>知识性问题</groupName>
      <ability>L2_Knowledge</ability>
      <abilityName>其他知识</abilityName>
      <candidateList>
        <item>中华人民共和国水污染防治法</item>
      </candidateList>
      <explain>当前法律法规名称使用简称，请注意是否应当使用全称。</explain>
      <paraID> 8897E33</paraID>
      <start>24</start>
      <end>30</end>
      <status>unmodified</status>
      <modifiedWord/>
      <trackRevisions>false</trackRevisions>
    </reviewItem>
    <reviewItem>
      <errorID>157e5c77-4732-4214-94b9-ab39238ca4f2</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 8897E33</paraID>
      <start>32</start>
      <end>39</end>
      <status>unmodified</status>
      <modifiedWord/>
      <trackRevisions>false</trackRevisions>
    </reviewItem>
    <reviewItem>
      <errorID>8fa23ded-28ce-4b80-8642-6472b6284bef</errorID>
      <errorWord>监测方法</errorWord>
      <group>L1_Word</group>
      <groupName>字词问题</groupName>
      <ability>L2_Typo</ability>
      <abilityName>字词错误</abilityName>
      <candidateList>
        <item>检测方法</item>
      </candidateList>
      <explain/>
      <paraID>2F1E675C</paraID>
      <start>55</start>
      <end>59</end>
      <status>unmodified</status>
      <modifiedWord/>
      <trackRevisions>false</trackRevisions>
    </reviewItem>
    <reviewItem>
      <errorID>7a4b987b-13c8-41b4-a873-16bbd19adc95</errorID>
      <errorWord>区域</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767EAF26</paraID>
      <start>10</start>
      <end>12</end>
      <status>unmodified</status>
      <modifiedWord/>
      <trackRevisions>false</trackRevisions>
    </reviewItem>
    <reviewItem>
      <errorID>64e752cd-8f76-4a32-b6e6-9d56b44c94e5</errorID>
      <errorWord>复杂量</errorWord>
      <group>L1_Word</group>
      <groupName>字词问题</groupName>
      <ability>L2_Typo</ability>
      <abilityName>字词错误</abilityName>
      <candidateList>
        <item>复杂</item>
      </candidateList>
      <explain/>
      <paraID>47D07F0B</paraID>
      <start>69</start>
      <end>72</end>
      <status>unmodified</status>
      <modifiedWord/>
      <trackRevisions>false</trackRevisions>
    </reviewItem>
    <reviewItem>
      <errorID>b74b0a49-253e-4ec9-a8fd-bcfbbe86fb8c</errorID>
      <errorWord>防治中</errorWord>
      <group>L1_Word</group>
      <groupName>字词问题</groupName>
      <ability>L2_Typo</ability>
      <abilityName>字词错误</abilityName>
      <candidateList>
        <item>防治</item>
      </candidateList>
      <explain>〈动〉预防和治疗、治理（疾病、灾害等）：～结核病｜～病虫害｜～风沙。</explain>
      <paraID>4F3BABF3</paraID>
      <start>6</start>
      <end>9</end>
      <status>unmodified</status>
      <modifiedWord/>
      <trackRevisions>false</trackRevisions>
    </reviewItem>
    <reviewItem>
      <errorID>fc0e4554-1ff8-4417-bc68-c7109e15f50c</errorID>
      <errorWord>程</errorWord>
      <group>L1_Word</group>
      <groupName>字词问题</groupName>
      <ability>L2_Typo</ability>
      <abilityName>字词错误</abilityName>
      <candidateList>
        <item>程中</item>
      </candidateList>
      <explain/>
      <paraID>3B54EA21</paraID>
      <start>27</start>
      <end>29</end>
      <status>modified</status>
      <modifiedWord>程中</modifiedWord>
      <trackRevisions>false</trackRevisions>
    </reviewItem>
    <reviewItem>
      <errorID>4a63ca06-bc40-449c-aa9f-2a102f643639</errorID>
      <errorWord>本项目位于本项目位于</errorWord>
      <group>L1_Word</group>
      <groupName>字词问题</groupName>
      <ability>L2_Typo</ability>
      <abilityName>字词错误</abilityName>
      <candidateList>
        <item>本项目位于</item>
      </candidateList>
      <explain/>
      <paraID>5CF3C7A4</paraID>
      <start>0</start>
      <end>5</end>
      <status>modified</status>
      <modifiedWord>本项目位于</modifiedWord>
      <trackRevisions>false</trackRevisions>
    </reviewItem>
    <reviewItem>
      <errorID>42f961eb-565a-466d-8cc4-c51cf6f544b2</errorID>
      <errorWord>染</errorWord>
      <group>L1_Word</group>
      <groupName>字词问题</groupName>
      <ability>L2_Typo</ability>
      <abilityName>字词错误</abilityName>
      <candidateList>
        <item>染物</item>
      </candidateList>
      <explain/>
      <paraID>1B3DBB3E</paraID>
      <start>45</start>
      <end>47</end>
      <status>modified</status>
      <modifiedWord>染物</modifiedWord>
      <trackRevisions>false</trackRevisions>
    </reviewItem>
    <reviewItem>
      <errorID>7f5c7285-ace8-436a-a085-fc4e44eb8ea2</errorID>
      <errorWord>程</errorWord>
      <group>L1_Word</group>
      <groupName>字词问题</groupName>
      <ability>L2_Typo</ability>
      <abilityName>字词错误</abilityName>
      <candidateList>
        <item>程中</item>
      </candidateList>
      <explain/>
      <paraID>4736692F</paraID>
      <start>3</start>
      <end>4</end>
      <status>unmodified</status>
      <modifiedWord/>
      <trackRevisions>false</trackRevisions>
    </reviewItem>
    <reviewItem>
      <errorID>16542c22-f7b5-4fa7-8277-dd7497111eaa</errorID>
      <errorWord>【2019】53号</errorWord>
      <group>L1_Knowledge</group>
      <groupName>知识性问题</groupName>
      <ability>L2_Knowledge</ability>
      <abilityName>其他知识</abilityName>
      <candidateList>
        <item>〔2019〕53号</item>
      </candidateList>
      <explain>发文字号格式错误</explain>
      <paraID>43D4E974</paraID>
      <start>29</start>
      <end>38</end>
      <status>modified</status>
      <modifiedWord>〔2019〕53号</modifiedWord>
      <trackRevisions>false</trackRevisions>
    </reviewItem>
    <reviewItem>
      <errorID>e51fc443-9a83-4d6f-974e-a54c43136b39</errorID>
      <errorWord>【2019】53号</errorWord>
      <group>L1_Knowledge</group>
      <groupName>知识性问题</groupName>
      <ability>L2_Knowledge</ability>
      <abilityName>其他知识</abilityName>
      <candidateList>
        <item>〔2019〕53号</item>
      </candidateList>
      <explain>发文字号格式错误</explain>
      <paraID>6823A582</paraID>
      <start>29</start>
      <end>38</end>
      <status>modified</status>
      <modifiedWord>〔2019〕53号</modifiedWord>
      <trackRevisions>false</trackRevisions>
    </reviewItem>
    <reviewItem>
      <errorID>deb74ce6-36b4-4fc8-b5e6-854b94807d15</errorID>
      <errorWord>蒸汽</errorWord>
      <group>L1_Word</group>
      <groupName>字词问题</groupName>
      <ability>L2_Typo</ability>
      <abilityName>字词错误</abilityName>
      <candidateList>
        <item>蒸气</item>
      </candidateList>
      <explain/>
      <paraID>4C12A1FD</paraID>
      <start>60</start>
      <end>62</end>
      <status>unmodified</status>
      <modifiedWord/>
      <trackRevisions>false</trackRevisions>
    </reviewItem>
    <reviewItem>
      <errorID>d6af71de-c463-4feb-abb8-1c68432bcf96</errorID>
      <errorWord>乙级</errorWord>
      <group>L1_Word</group>
      <groupName>字词问题</groupName>
      <ability>L2_Typo</ability>
      <abilityName>字词错误</abilityName>
      <candidateList>
        <item>乙基</item>
      </candidateList>
      <explain>存在发音相同字词的误用。</explain>
      <paraID>4C12A1FD</paraID>
      <start>76</start>
      <end>78</end>
      <status>unmodified</status>
      <modifiedWord/>
      <trackRevisions>false</trackRevisions>
    </reviewItem>
    <reviewItem>
      <errorID>89914aa6-e4a6-46cc-bbbd-872eace9aae2</errorID>
      <errorWord>乙级</errorWord>
      <group>L1_Word</group>
      <groupName>字词问题</groupName>
      <ability>L2_Typo</ability>
      <abilityName>字词错误</abilityName>
      <candidateList>
        <item>乙基</item>
      </candidateList>
      <explain>存在发音相同字词的误用。</explain>
      <paraID>4C12A1FD</paraID>
      <start>161</start>
      <end>163</end>
      <status>unmodified</status>
      <modifiedWord/>
      <trackRevisions>false</trackRevisions>
    </reviewItem>
    <reviewItem>
      <errorID>9dc855f1-1dff-4fa0-b46e-204deb7f5a2d</errorID>
      <errorWord>说明说中</errorWord>
      <group>L1_Word</group>
      <groupName>字词问题</groupName>
      <ability>L2_Typo</ability>
      <abilityName>字词错误</abilityName>
      <candidateList>
        <item>说明书中</item>
      </candidateList>
      <explain/>
      <paraID>2B978C11</paraID>
      <start>33</start>
      <end>37</end>
      <status>modified</status>
      <modifiedWord>说明书中</modifiedWord>
      <trackRevisions>false</trackRevisions>
    </reviewItem>
    <reviewItem>
      <errorID>fa35cbd6-ce8d-43d8-8c56-e4a552c64ce3</errorID>
      <errorWord>挥发性含量</errorWord>
      <group>L1_Knowledge</group>
      <groupName>知识性问题</groupName>
      <ability>L2_Term</ability>
      <abilityName>专业术语</abilityName>
      <candidateList>
        <item>挥发分含量</item>
      </candidateList>
      <explain/>
      <paraID>2B978C11</paraID>
      <start>48</start>
      <end>53</end>
      <status>unmodified</status>
      <modifiedWord/>
      <trackRevisions>false</trackRevisions>
    </reviewItem>
    <reviewItem>
      <errorID>ecf31da8-0776-4839-afda-3ee4b9da3499</errorID>
      <errorWord>【2019】53号</errorWord>
      <group>L1_Knowledge</group>
      <groupName>知识性问题</groupName>
      <ability>L2_Knowledge</ability>
      <abilityName>其他知识</abilityName>
      <candidateList>
        <item>〔2019〕53号</item>
      </candidateList>
      <explain>发文字号格式错误</explain>
      <paraID>544AC967</paraID>
      <start>36</start>
      <end>45</end>
      <status>unmodified</status>
      <modifiedWord/>
      <trackRevisions>false</trackRevisions>
    </reviewItem>
    <reviewItem>
      <errorID>74bccbc8-9203-4d91-b0c4-46f6246ca7db</errorID>
      <errorWord>[2021]47号</errorWord>
      <group>L1_Knowledge</group>
      <groupName>知识性问题</groupName>
      <ability>L2_Knowledge</ability>
      <abilityName>其他知识</abilityName>
      <candidateList>
        <item>〔2021〕47号</item>
      </candidateList>
      <explain>发文字号格式错误</explain>
      <paraID>37E9360C</paraID>
      <start>34</start>
      <end>43</end>
      <status>unmodified</status>
      <modifiedWord/>
      <trackRevisions>false</trackRevisions>
    </reviewItem>
    <reviewItem>
      <errorID>84078d9c-e9f0-4c93-8d73-170988098c59</errorID>
      <errorWord>[2021]47号</errorWord>
      <group>L1_Knowledge</group>
      <groupName>知识性问题</groupName>
      <ability>L2_Knowledge</ability>
      <abilityName>其他知识</abilityName>
      <candidateList>
        <item>〔2021〕47号</item>
      </candidateList>
      <explain>发文字号格式错误</explain>
      <paraID>713769D5</paraID>
      <start>34</start>
      <end>43</end>
      <status>unmodified</status>
      <modifiedWord/>
      <trackRevisions>false</trackRevisions>
    </reviewItem>
    <reviewItem>
      <errorID>2bee4860-f1b1-472a-a881-3bdc911a7762</errorID>
      <errorWord>[2021]47号</errorWord>
      <group>L1_Knowledge</group>
      <groupName>知识性问题</groupName>
      <ability>L2_Knowledge</ability>
      <abilityName>其他知识</abilityName>
      <candidateList>
        <item>〔2021〕47号</item>
      </candidateList>
      <explain>发文字号格式错误</explain>
      <paraID>2913F1F3</paraID>
      <start>27</start>
      <end>36</end>
      <status>unmodified</status>
      <modifiedWord/>
      <trackRevisions>false</trackRevisions>
    </reviewItem>
    <reviewItem>
      <errorID>81d633f3-acd7-408f-b5a2-6243b7399aae</errorID>
      <errorWord>，</errorWord>
      <group>L1_Word</group>
      <groupName>字词问题</groupName>
      <ability>L2_Typo</ability>
      <abilityName>字词错误</abilityName>
      <candidateList>
        <item>，并</item>
      </candidateList>
      <explain/>
      <paraID>28BAE497</paraID>
      <start>46</start>
      <end>47</end>
      <status>unmodified</status>
      <modifiedWord/>
      <trackRevisions>false</trackRevisions>
    </reviewItem>
    <reviewItem>
      <errorID>0cccc8dd-8896-442c-baab-cf2f6832d6e0</errorID>
      <errorWord>为为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729C4E6C</paraID>
      <start>70</start>
      <end>71</end>
      <status>modified</status>
      <modifiedWord>为</modifiedWord>
      <trackRevisions>false</trackRevisions>
    </reviewItem>
    <reviewItem>
      <errorID>bc59b587-4f31-45f2-a223-d1f559614978</errorID>
      <errorWord>不使用</errorWord>
      <group>L1_Word</group>
      <groupName>字词问题</groupName>
      <ability>L2_Typo</ability>
      <abilityName>字词错误</abilityName>
      <candidateList>
        <item>不适用</item>
      </candidateList>
      <explain/>
      <paraID>729C4E6C</paraID>
      <start>103</start>
      <end>106</end>
      <status>unmodified</status>
      <modifiedWord/>
      <trackRevisions>false</trackRevisions>
    </reviewItem>
    <reviewItem>
      <errorID>d322cb99-150f-4ba0-8664-64616da4f4fb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22DBE9B3</paraID>
      <start>31</start>
      <end>32</end>
      <status>unmodified</status>
      <modifiedWord/>
      <trackRevisions>false</trackRevisions>
    </reviewItem>
    <reviewItem>
      <errorID>bc2cf144-f5ce-4b7b-9fc8-b88b53567272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7007DEC4</paraID>
      <start>24</start>
      <end>25</end>
      <status>unmodified</status>
      <modifiedWord/>
      <trackRevisions>false</trackRevisions>
    </reviewItem>
    <reviewItem>
      <errorID>b4d9d52d-e01f-4c03-b682-e8f6c0eae658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7007DEC4</paraID>
      <start>100</start>
      <end>101</end>
      <status>unmodified</status>
      <modifiedWord/>
      <trackRevisions>false</trackRevisions>
    </reviewItem>
    <reviewItem>
      <errorID>2dda0413-4274-4452-a104-4e5b18afa5ce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7007DEC4</paraID>
      <start>120</start>
      <end>121</end>
      <status>unmodified</status>
      <modifiedWord/>
      <trackRevisions>false</trackRevisions>
    </reviewItem>
    <reviewItem>
      <errorID>7a5c465e-38c8-4b62-9fca-198225b346e2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7007DEC4</paraID>
      <start>136</start>
      <end>137</end>
      <status>unmodified</status>
      <modifiedWord/>
      <trackRevisions>false</trackRevisions>
    </reviewItem>
    <reviewItem>
      <errorID>d629dda1-7a53-4406-801e-34f35588d571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7007DEC4</paraID>
      <start>152</start>
      <end>153</end>
      <status>unmodified</status>
      <modifiedWord/>
      <trackRevisions>false</trackRevisions>
    </reviewItem>
    <reviewItem>
      <errorID>0fcdb18e-ae04-4962-aed3-f1d487281a69</errorID>
      <errorWord>&lt;</errorWord>
      <group>L1_Format</group>
      <groupName>格式问题</groupName>
      <ability>L2_HalfPunc</ability>
      <abilityName>全半角检查</abilityName>
      <candidateList>
        <item>〈</item>
      </candidateList>
      <explain>文本全半角错误。</explain>
      <paraID>416C2BD2</paraID>
      <start>60</start>
      <end>61</end>
      <status>unmodified</status>
      <modifiedWord/>
      <trackRevisions>false</trackRevisions>
    </reviewItem>
    <reviewItem>
      <errorID>d7e7b1a3-4c98-4815-9c3d-5fb73ea09c47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416C2BD2</paraID>
      <start>82</start>
      <end>83</end>
      <status>unmodified</status>
      <modifiedWord/>
      <trackRevisions>false</trackRevisions>
    </reviewItem>
    <reviewItem>
      <errorID>cf833f28-5925-4494-98cd-603392d83c1a</errorID>
      <errorWord>&gt;</errorWord>
      <group>L1_Format</group>
      <groupName>格式问题</groupName>
      <ability>L2_HalfPunc</ability>
      <abilityName>全半角检查</abilityName>
      <candidateList>
        <item>〉</item>
      </candidateList>
      <explain>文本全半角错误。</explain>
      <paraID>416C2BD2</paraID>
      <start>89</start>
      <end>90</end>
      <status>unmodified</status>
      <modifiedWord/>
      <trackRevisions>false</trackRevisions>
    </reviewItem>
    <reviewItem>
      <errorID>b5d90bf5-7320-4823-9369-8289e7c5e2ea</errorID>
      <errorWord>[2020]11号</errorWord>
      <group>L1_Knowledge</group>
      <groupName>知识性问题</groupName>
      <ability>L2_Knowledge</ability>
      <abilityName>其他知识</abilityName>
      <candidateList>
        <item>〔2020〕11号</item>
      </candidateList>
      <explain>发文字号格式错误</explain>
      <paraID>416C2BD2</paraID>
      <start>98</start>
      <end>107</end>
      <status>unmodified</status>
      <modifiedWord/>
      <trackRevisions>false</trackRevisions>
    </reviewItem>
    <reviewItem>
      <errorID>8e734bb7-8009-4775-a5e8-ea2ab829525b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416C2BD2</paraID>
      <start>140</start>
      <end>141</end>
      <status>unmodified</status>
      <modifiedWord/>
      <trackRevisions>false</trackRevisions>
    </reviewItem>
    <reviewItem>
      <errorID>db1b5e0d-267f-41c1-8d28-a4ce0d4706a1</errorID>
      <errorWord>&lt;</errorWord>
      <group>L1_Format</group>
      <groupName>格式问题</groupName>
      <ability>L2_HalfPunc</ability>
      <abilityName>全半角检查</abilityName>
      <candidateList>
        <item>〈</item>
      </candidateList>
      <explain>文本全半角错误。</explain>
      <paraID>2CF30D77</paraID>
      <start>16</start>
      <end>17</end>
      <status>unmodified</status>
      <modifiedWord/>
      <trackRevisions>false</trackRevisions>
    </reviewItem>
    <reviewItem>
      <errorID>b2f046da-7d97-4dcc-ae33-53ef047132a0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2CF30D77</paraID>
      <start>38</start>
      <end>39</end>
      <status>unmodified</status>
      <modifiedWord/>
      <trackRevisions>false</trackRevisions>
    </reviewItem>
    <reviewItem>
      <errorID>5c9c6dc9-c895-4976-a182-5f6bbf9ed8da</errorID>
      <errorWord>&gt;</errorWord>
      <group>L1_Format</group>
      <groupName>格式问题</groupName>
      <ability>L2_HalfPunc</ability>
      <abilityName>全半角检查</abilityName>
      <candidateList>
        <item>〉</item>
      </candidateList>
      <explain>文本全半角错误。</explain>
      <paraID>2CF30D77</paraID>
      <start>45</start>
      <end>46</end>
      <status>unmodified</status>
      <modifiedWord/>
      <trackRevisions>false</trackRevisions>
    </reviewItem>
    <reviewItem>
      <errorID>5010a4a2-fc32-4dce-8d71-96c8b2f08301</errorID>
      <errorWord>[2020]319号</errorWord>
      <group>L1_Knowledge</group>
      <groupName>知识性问题</groupName>
      <ability>L2_Knowledge</ability>
      <abilityName>其他知识</abilityName>
      <candidateList>
        <item>〔2020〕319号</item>
      </candidateList>
      <explain>发文字号格式错误</explain>
      <paraID>2CF30D77</paraID>
      <start>55</start>
      <end>65</end>
      <status>unmodified</status>
      <modifiedWord/>
      <trackRevisions>false</trackRevisions>
    </reviewItem>
    <reviewItem>
      <errorID>199128bb-e719-4d79-bf68-81203f3d894d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36A1924D</paraID>
      <start>74</start>
      <end>75</end>
      <status>unmodified</status>
      <modifiedWord/>
      <trackRevisions>false</trackRevisions>
    </reviewItem>
    <reviewItem>
      <errorID>a073d1b9-06a1-47ab-8806-bafa54e353c6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36A1924D</paraID>
      <start>106</start>
      <end>107</end>
      <status>unmodified</status>
      <modifiedWord/>
      <trackRevisions>false</trackRevisions>
    </reviewItem>
    <reviewItem>
      <errorID>d8a63dd9-3ddb-4432-bc34-d91c73e933ef</errorID>
      <errorWord>的的</errorWord>
      <group>L1_Word</group>
      <groupName>字词问题</groupName>
      <ability>L2_Typo</ability>
      <abilityName>字词错误</abilityName>
      <candidateList>
        <item>的</item>
      </candidateList>
      <explain>置于形容词、名词后，用于修饰事物的形态。</explain>
      <paraID>36A1924D</paraID>
      <start>173</start>
      <end>175</end>
      <status>unmodified</status>
      <modifiedWord/>
      <trackRevisions>false</trackRevisions>
    </reviewItem>
    <reviewItem>
      <errorID>811b4a9e-4633-490b-b2bf-d4132509558e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4D337E0</paraID>
      <start>138</start>
      <end>139</end>
      <status>unmodified</status>
      <modifiedWord/>
      <trackRevisions>false</trackRevisions>
    </reviewItem>
    <reviewItem>
      <errorID>666a08f5-5851-4f1e-944e-b6344b7091ae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4D337E0</paraID>
      <start>187</start>
      <end>188</end>
      <status>unmodified</status>
      <modifiedWord/>
      <trackRevisions>false</trackRevisions>
    </reviewItem>
    <reviewItem>
      <errorID>6a6e5a7a-c734-44c0-91d2-7264995808b6</errorID>
      <errorWord>活性碳</errorWord>
      <group>L1_Word</group>
      <groupName>字词问题</groupName>
      <ability>L2_Typo</ability>
      <abilityName>字词错误</abilityName>
      <candidateList>
        <item>活性炭</item>
      </candidateList>
      <explain>〈名〉吸附能力很强的炭，把硬木、果壳、骨头等放在密闭容器中烧成炭再增加其孔隙后制成。防毒面具中用来过滤气体，工业上用来脱色、使溶液纯净，也可用于医药方面。</explain>
      <paraID>4466AEA4</paraID>
      <start>190</start>
      <end>193</end>
      <status>unmodified</status>
      <modifiedWord/>
      <trackRevisions>false</trackRevisions>
    </reviewItem>
    <reviewItem>
      <errorID>f672ef0f-e802-45c8-8067-077817e01e42</errorID>
      <errorWord>或者其</errorWord>
      <group>L1_Word</group>
      <groupName>字词问题</groupName>
      <ability>L2_Typo</ability>
      <abilityName>字词错误</abilityName>
      <candidateList>
        <item>或者</item>
      </candidateList>
      <explain>❶〈副〉或许：你快走，～还赶得上车。❷〈连〉用在叙述句里，表示选择关系：这本书～你先看，～我先看。❸〈连〉表示等同关系：世界观～宇宙观是人们对整个世界的总的看法。</explain>
      <paraID>2A25356D</paraID>
      <start>115</start>
      <end>118</end>
      <status>unmodified</status>
      <modifiedWord/>
      <trackRevisions>false</trackRevisions>
    </reviewItem>
    <reviewItem>
      <errorID>f9b28afe-2f94-4ac5-b25a-c39063634c93</errorID>
      <errorWord>。。</errorWord>
      <group>L1_Punc</group>
      <groupName>标点问题</groupName>
      <ability>L2_Punc</ability>
      <abilityName>标点符号检查</abilityName>
      <candidateList>
        <item>。</item>
      </candidateList>
      <explain/>
      <paraID>2A25356D</paraID>
      <start>269</start>
      <end>270</end>
      <status>modified</status>
      <modifiedWord>。</modifiedWord>
      <trackRevisions>false</trackRevisions>
    </reviewItem>
    <reviewItem>
      <errorID>39e945f4-cc41-4875-8d65-9e0eaec056fa</errorID>
      <errorWord>规划定</errorWord>
      <group>L1_Word</group>
      <groupName>字词问题</groupName>
      <ability>L2_Typo</ability>
      <abilityName>字词错误</abilityName>
      <candidateList>
        <item>规划</item>
      </candidateList>
      <explain>❶〈名〉比较全面的长远的发展计划：制订～｜十年～。❷〈动〉做规划：兴修水利问题，应当全面～。</explain>
      <paraID>6BC7C223</paraID>
      <start>114</start>
      <end>117</end>
      <status>unmodified</status>
      <modifiedWord/>
      <trackRevisions>false</trackRevisions>
    </reviewItem>
    <reviewItem>
      <errorID>3744dfaa-2c86-4a6a-8c87-a5e8dbb5674d</errorID>
      <errorWord>。。</errorWord>
      <group>L1_Punc</group>
      <groupName>标点问题</groupName>
      <ability>L2_Punc</ability>
      <abilityName>标点符号检查</abilityName>
      <candidateList>
        <item>。</item>
      </candidateList>
      <explain/>
      <paraID>65672BEA</paraID>
      <start>167</start>
      <end>168</end>
      <status>modified</status>
      <modifiedWord>。</modifiedWord>
      <trackRevisions>false</trackRevisions>
    </reviewItem>
    <reviewItem>
      <errorID>ca6c6eb5-e451-43b3-a374-55423d2a1163</errorID>
      <errorWord>[2019]153号</errorWord>
      <group>L1_Knowledge</group>
      <groupName>知识性问题</groupName>
      <ability>L2_Knowledge</ability>
      <abilityName>其他知识</abilityName>
      <candidateList>
        <item>〔2019〕153号</item>
      </candidateList>
      <explain>发文字号格式错误</explain>
      <paraID>1CC647FB</paraID>
      <start>35</start>
      <end>45</end>
      <status>unmodified</status>
      <modifiedWord/>
      <trackRevisions>false</trackRevisions>
    </reviewItem>
    <reviewItem>
      <errorID>f964445b-3531-4203-9625-bac196427016</errorID>
      <errorWord>[2019]153号</errorWord>
      <group>L1_Knowledge</group>
      <groupName>知识性问题</groupName>
      <ability>L2_Knowledge</ability>
      <abilityName>其他知识</abilityName>
      <candidateList>
        <item>〔2019〕153号</item>
      </candidateList>
      <explain>发文字号格式错误</explain>
      <paraID>79292DBC</paraID>
      <start>32</start>
      <end>42</end>
      <status>unmodified</status>
      <modifiedWord/>
      <trackRevisions>false</trackRevisions>
    </reviewItem>
    <reviewItem>
      <errorID>4d75d8a1-9db9-412c-8d38-ad816495cd92</errorID>
      <errorWord>[2019]153号</errorWord>
      <group>L1_Knowledge</group>
      <groupName>知识性问题</groupName>
      <ability>L2_Knowledge</ability>
      <abilityName>其他知识</abilityName>
      <candidateList>
        <item>〔2019〕153号</item>
      </candidateList>
      <explain>发文字号格式错误</explain>
      <paraID>530AEC37</paraID>
      <start>35</start>
      <end>45</end>
      <status>unmodified</status>
      <modifiedWord/>
      <trackRevisions>false</trackRevisions>
    </reviewItem>
    <reviewItem>
      <errorID>fe614ebd-adea-49c6-bd93-5f4cb00a6929</errorID>
      <errorWord>[2019]153号</errorWord>
      <group>L1_Knowledge</group>
      <groupName>知识性问题</groupName>
      <ability>L2_Knowledge</ability>
      <abilityName>其他知识</abilityName>
      <candidateList>
        <item>〔2019〕153号</item>
      </candidateList>
      <explain>发文字号格式错误</explain>
      <paraID> 2BE41BF</paraID>
      <start>36</start>
      <end>46</end>
      <status>unmodified</status>
      <modifiedWord/>
      <trackRevisions>false</trackRevisions>
    </reviewItem>
    <reviewItem>
      <errorID>4db3fccf-18cb-4e26-8707-8c1318644735</errorID>
      <errorWord>说明说</errorWord>
      <group>L1_Word</group>
      <groupName>字词问题</groupName>
      <ability>L2_Typo</ability>
      <abilityName>字词错误</abilityName>
      <candidateList>
        <item>说明书</item>
      </candidateList>
      <explain/>
      <paraID>68DF4DA7</paraID>
      <start>27</start>
      <end>30</end>
      <status>unmodified</status>
      <modifiedWord/>
      <trackRevisions>false</trackRevisions>
    </reviewItem>
    <reviewItem>
      <errorID>2d6e171a-b741-4633-bff4-6623fdc3c802</errorID>
      <errorWord>蒸汽</errorWord>
      <group>L1_Word</group>
      <groupName>字词问题</groupName>
      <ability>L2_Typo</ability>
      <abilityName>字词错误</abilityName>
      <candidateList>
        <item>蒸气</item>
      </candidateList>
      <explain/>
      <paraID>68DF4DA7</paraID>
      <start>60</start>
      <end>62</end>
      <status>unmodified</status>
      <modifiedWord/>
      <trackRevisions>false</trackRevisions>
    </reviewItem>
    <reviewItem>
      <errorID>c8d5c282-ccb3-4ce8-ad37-007de0172600</errorID>
      <errorWord>乙级</errorWord>
      <group>L1_Word</group>
      <groupName>字词问题</groupName>
      <ability>L2_Typo</ability>
      <abilityName>字词错误</abilityName>
      <candidateList>
        <item>乙基</item>
      </candidateList>
      <explain>存在发音相同字词的误用。</explain>
      <paraID>68DF4DA7</paraID>
      <start>76</start>
      <end>78</end>
      <status>unmodified</status>
      <modifiedWord/>
      <trackRevisions>false</trackRevisions>
    </reviewItem>
    <reviewItem>
      <errorID>4ec93a71-f78a-4822-8642-3666d721e2b5</errorID>
      <errorWord>乙级</errorWord>
      <group>L1_Word</group>
      <groupName>字词问题</groupName>
      <ability>L2_Typo</ability>
      <abilityName>字词错误</abilityName>
      <candidateList>
        <item>乙基</item>
      </candidateList>
      <explain>存在发音相同字词的误用。</explain>
      <paraID>68DF4DA7</paraID>
      <start>161</start>
      <end>163</end>
      <status>unmodified</status>
      <modifiedWord/>
      <trackRevisions>false</trackRevisions>
    </reviewItem>
    <reviewItem>
      <errorID>85a374be-9cdb-404c-9cbb-210b1dc9d638</errorID>
      <errorWord>(</errorWord>
      <group>L1_Format</group>
      <groupName>格式问题</groupName>
      <ability>L2_HalfPunc</ability>
      <abilityName>全半角检查</abilityName>
      <candidateList>
        <item>（</item>
      </candidateList>
      <explain>文本全半角错误。</explain>
      <paraID>68DF4DA7</paraID>
      <start>200</start>
      <end>201</end>
      <status>unmodified</status>
      <modifiedWord/>
      <trackRevisions>false</trackRevisions>
    </reviewItem>
    <reviewItem>
      <errorID>1d7ad10c-239e-4641-a2fa-217a849929be</errorID>
      <errorWord>)</errorWord>
      <group>L1_Format</group>
      <groupName>格式问题</groupName>
      <ability>L2_HalfPunc</ability>
      <abilityName>全半角检查</abilityName>
      <candidateList>
        <item>）</item>
      </candidateList>
      <explain>文本全半角错误。</explain>
      <paraID>68DF4DA7</paraID>
      <start>214</start>
      <end>215</end>
      <status>unmodified</status>
      <modifiedWord/>
      <trackRevisions>false</trackRevisions>
    </reviewItem>
    <reviewItem>
      <errorID>a85677cf-3475-4e16-bb61-0bb251b22aae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484A6D2A</paraID>
      <start>35</start>
      <end>36</end>
      <status>unmodified</status>
      <modifiedWord/>
      <trackRevisions>false</trackRevisions>
    </reviewItem>
    <reviewItem>
      <errorID>1064344e-8eba-4df1-a18b-5d09c64716c0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484A6D2A</paraID>
      <start>74</start>
      <end>75</end>
      <status>unmodified</status>
      <modifiedWord/>
      <trackRevisions>false</trackRevisions>
    </reviewItem>
    <reviewItem>
      <errorID>edab9129-b61e-42cd-98f8-4c32eff1d925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412C2E43</paraID>
      <start>28</start>
      <end>29</end>
      <status>unmodified</status>
      <modifiedWord/>
      <trackRevisions>false</trackRevisions>
    </reviewItem>
    <reviewItem>
      <errorID>88b5d188-b799-4bbe-b819-29ccfc79ce9f</errorID>
      <errorWord>&lt;</errorWord>
      <group>L1_Format</group>
      <groupName>格式问题</groupName>
      <ability>L2_HalfPunc</ability>
      <abilityName>全半角检查</abilityName>
      <candidateList>
        <item>〈</item>
      </candidateList>
      <explain>文本全半角错误。</explain>
      <paraID>412C2E43</paraID>
      <start>64</start>
      <end>65</end>
      <status>unmodified</status>
      <modifiedWord/>
      <trackRevisions>false</trackRevisions>
    </reviewItem>
    <reviewItem>
      <errorID>f52f6933-6171-48cc-af53-2efa7e8942cd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412C2E43</paraID>
      <start>88</start>
      <end>89</end>
      <status>unmodified</status>
      <modifiedWord/>
      <trackRevisions>false</trackRevisions>
    </reviewItem>
    <reviewItem>
      <errorID>d180f99f-538e-456b-8ccd-451204f626fa</errorID>
      <errorWord>&gt;</errorWord>
      <group>L1_Format</group>
      <groupName>格式问题</groupName>
      <ability>L2_HalfPunc</ability>
      <abilityName>全半角检查</abilityName>
      <candidateList>
        <item>〉</item>
      </candidateList>
      <explain>文本全半角错误。</explain>
      <paraID>412C2E43</paraID>
      <start>95</start>
      <end>96</end>
      <status>unmodified</status>
      <modifiedWord/>
      <trackRevisions>false</trackRevisions>
    </reviewItem>
    <reviewItem>
      <errorID>6b23247f-7c28-4b79-a469-225b1a9934a9</errorID>
      <errorWord>&lt;</errorWord>
      <group>L1_Format</group>
      <groupName>格式问题</groupName>
      <ability>L2_HalfPunc</ability>
      <abilityName>全半角检查</abilityName>
      <candidateList>
        <item>〈</item>
      </candidateList>
      <explain>文本全半角错误。</explain>
      <paraID>412C2E43</paraID>
      <start>96</start>
      <end>97</end>
      <status>unmodified</status>
      <modifiedWord/>
      <trackRevisions>false</trackRevisions>
    </reviewItem>
    <reviewItem>
      <errorID>94d6f8b6-d325-473d-9367-befde3892570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412C2E43</paraID>
      <start>120</start>
      <end>121</end>
      <status>unmodified</status>
      <modifiedWord/>
      <trackRevisions>false</trackRevisions>
    </reviewItem>
    <reviewItem>
      <errorID>8dcb7389-de0c-4b6d-a1b8-a1d31a3653b9</errorID>
      <errorWord>&gt;</errorWord>
      <group>L1_Format</group>
      <groupName>格式问题</groupName>
      <ability>L2_HalfPunc</ability>
      <abilityName>全半角检查</abilityName>
      <candidateList>
        <item>〉</item>
      </candidateList>
      <explain>文本全半角错误。</explain>
      <paraID>412C2E43</paraID>
      <start>127</start>
      <end>128</end>
      <status>unmodified</status>
      <modifiedWord/>
      <trackRevisions>false</trackRevisions>
    </reviewItem>
    <reviewItem>
      <errorID>1ecb6d2e-2383-46a1-94e2-3997a73a6c72</errorID>
      <errorWord>[2019]46号</errorWord>
      <group>L1_Knowledge</group>
      <groupName>知识性问题</groupName>
      <ability>L2_Knowledge</ability>
      <abilityName>其他知识</abilityName>
      <candidateList>
        <item>〔2019〕46号</item>
      </candidateList>
      <explain>发文字号格式错误</explain>
      <paraID>412C2E43</paraID>
      <start>153</start>
      <end>162</end>
      <status>unmodified</status>
      <modifiedWord/>
      <trackRevisions>false</trackRevisions>
    </reviewItem>
    <reviewItem>
      <errorID>cfde87fc-2eaa-4acf-b3d5-9e128db01927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240776E4</paraID>
      <start>57</start>
      <end>58</end>
      <status>unmodified</status>
      <modifiedWord/>
      <trackRevisions>false</trackRevisions>
    </reviewItem>
    <reviewItem>
      <errorID>5e2d0774-4ea8-4739-a01c-4ef8936294fb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6F07B450</paraID>
      <start>57</start>
      <end>58</end>
      <status>unmodified</status>
      <modifiedWord/>
      <trackRevisions>false</trackRevisions>
    </reviewItem>
    <reviewItem>
      <errorID>55377d58-b025-43e2-a450-c4732f649706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4505F3BC</paraID>
      <start>26</start>
      <end>27</end>
      <status>unmodified</status>
      <modifiedWord/>
      <trackRevisions>false</trackRevisions>
    </reviewItem>
    <reviewItem>
      <errorID>6c625c14-ea24-4557-b398-6ddc690c6a38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4505F3BC</paraID>
      <start>41</start>
      <end>42</end>
      <status>unmodified</status>
      <modifiedWord/>
      <trackRevisions>false</trackRevisions>
    </reviewItem>
    <reviewItem>
      <errorID>7652ec67-f6a0-4bc3-a2de-a5811cb62689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191A463C</paraID>
      <start>9</start>
      <end>10</end>
      <status>unmodified</status>
      <modifiedWord/>
      <trackRevisions>false</trackRevisions>
    </reviewItem>
    <reviewItem>
      <errorID>00e5bd7d-f1e0-48cd-80f5-8645e8627868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18B0491B</paraID>
      <start>9</start>
      <end>10</end>
      <status>unmodified</status>
      <modifiedWord/>
      <trackRevisions>false</trackRevisions>
    </reviewItem>
    <reviewItem>
      <errorID>bc6e90d1-7f7c-447c-a164-e0aac17da1f9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490DB1FE</paraID>
      <start>21</start>
      <end>22</end>
      <status>unmodified</status>
      <modifiedWord/>
      <trackRevisions>false</trackRevisions>
    </reviewItem>
    <reviewItem>
      <errorID>6a90bdb7-8c6e-46a9-ab87-d48212fe6d85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490DB1FE</paraID>
      <start>37</start>
      <end>38</end>
      <status>unmodified</status>
      <modifiedWord/>
      <trackRevisions>false</trackRevisions>
    </reviewItem>
    <reviewItem>
      <errorID>1f984535-36bd-4fd9-8be4-b10a2523cf95</errorID>
      <errorWord>一次变</errorWord>
      <group>L1_Word</group>
      <groupName>字词问题</groupName>
      <ability>L2_Typo</ability>
      <abilityName>字词错误</abilityName>
      <candidateList>
        <item>一次</item>
      </candidateList>
      <explain/>
      <paraID>155F9F42</paraID>
      <start>24</start>
      <end>27</end>
      <status>unmodified</status>
      <modifiedWord/>
      <trackRevisions>false</trackRevisions>
    </reviewItem>
    <reviewItem>
      <errorID>00d3a47d-d8ec-41d5-abdb-602d69fdfbdf</errorID>
      <errorWord>详实</errorWord>
      <group>L1_Word</group>
      <groupName>字词问题</groupName>
      <ability>L2_Typo</ability>
      <abilityName>字词错误</abilityName>
      <candidateList>
        <item>翔实</item>
      </candidateList>
      <explain/>
      <paraID>420726D1</paraID>
      <start>172</start>
      <end>174</end>
      <status>unmodified</status>
      <modifiedWord/>
      <trackRevisions>false</trackRevisions>
    </reviewItem>
    <reviewItem>
      <errorID>992b366e-4b4a-4352-9622-1acde5f2af60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3F6A16D</paraID>
      <start>202</start>
      <end>203</end>
      <status>unmodified</status>
      <modifiedWord/>
      <trackRevisions>false</trackRevisions>
    </reviewItem>
    <reviewItem>
      <errorID>9845af27-f68f-48bb-afc6-791911daadf9</errorID>
      <errorWord>严历打击</errorWord>
      <group>L1_Word</group>
      <groupName>字词问题</groupName>
      <ability>L2_Typo</ability>
      <abilityName>字词错误</abilityName>
      <candidateList>
        <item>严厉打击</item>
      </candidateList>
      <explain/>
      <paraID>247A091F</paraID>
      <start>87</start>
      <end>91</end>
      <status>unmodified</status>
      <modifiedWord/>
      <trackRevisions>false</trackRevisions>
    </reviewItem>
    <reviewItem>
      <errorID>e4d311a0-42fc-48ea-974c-780ffc437a12</errorID>
      <errorWord>级</errorWord>
      <group>L1_Word</group>
      <groupName>字词问题</groupName>
      <ability>L2_Typo</ability>
      <abilityName>字词错误</abilityName>
      <candidateList>
        <item>级和</item>
      </candidateList>
      <explain/>
      <paraID>56BBE942</paraID>
      <start>164</start>
      <end>165</end>
      <status>unmodified</status>
      <modifiedWord/>
      <trackRevisions>false</trackRevisions>
    </reviewItem>
    <reviewItem>
      <errorID>a81531dd-27b1-47b1-825f-fb7e20a7461f</errorID>
      <errorWord>:</errorWord>
      <group>L1_Format</group>
      <groupName>格式问题</groupName>
      <ability>L2_HalfPunc</ability>
      <abilityName>全半角检查</abilityName>
      <candidateList>
        <item>：</item>
      </candidateList>
      <explain>文本全半角错误。</explain>
      <paraID>56BBE942</paraID>
      <start>192</start>
      <end>193</end>
      <status>unmodified</status>
      <modifiedWord/>
      <trackRevisions>false</trackRevisions>
    </reviewItem>
    <reviewItem>
      <errorID>8a8fe58d-5d37-48e1-84c0-5263503efc02</errorID>
      <errorWord>的雾</errorWord>
      <group>L1_Word</group>
      <groupName>字词问题</groupName>
      <ability>L2_Typo</ability>
      <abilityName>字词错误</abilityName>
      <candidateList>
        <item>的</item>
      </candidateList>
      <explain>置于形容词、名词后，用于修饰事物的形态。</explain>
      <paraID>38736416</paraID>
      <start>172</start>
      <end>174</end>
      <status>unmodified</status>
      <modifiedWord/>
      <trackRevisions>false</trackRevisions>
    </reviewItem>
    <reviewItem>
      <errorID>6905444b-7e8c-4ec8-97de-5587aefe6cf4</errorID>
      <errorWord>生产</errorWord>
      <group>L1_Word</group>
      <groupName>字词问题</groupName>
      <ability>L2_Typo</ability>
      <abilityName>字词错误</abilityName>
      <candidateList>
        <item>产</item>
      </candidateList>
      <explain/>
      <paraID>38736416</paraID>
      <start>272</start>
      <end>274</end>
      <status>unmodified</status>
      <modifiedWord/>
      <trackRevisions>false</trackRevisions>
    </reviewItem>
    <reviewItem>
      <errorID>99cbfd13-a351-4bbc-b368-d27c7e7e0afd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38736416</paraID>
      <start>440</start>
      <end>443</end>
      <status>unmodified</status>
      <modifiedWord/>
      <trackRevisions>false</trackRevisions>
    </reviewItem>
    <reviewItem>
      <errorID>0ac0e055-78a4-4481-a9ab-b280a08b3703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38736416</paraID>
      <start>446</start>
      <end>449</end>
      <status>unmodified</status>
      <modifiedWord/>
      <trackRevisions>false</trackRevisions>
    </reviewItem>
    <reviewItem>
      <errorID>78c0a656-5dcd-4958-8173-4e12fa7ef415</errorID>
      <errorWord>[2021]23号</errorWord>
      <group>L1_Knowledge</group>
      <groupName>知识性问题</groupName>
      <ability>L2_Knowledge</ability>
      <abilityName>其他知识</abilityName>
      <candidateList>
        <item>〔2021〕23号</item>
      </candidateList>
      <explain>发文字号格式错误</explain>
      <paraID>207E0A96</paraID>
      <start>40</start>
      <end>49</end>
      <status>unmodified</status>
      <modifiedWord/>
      <trackRevisions>false</trackRevisions>
    </reviewItem>
    <reviewItem>
      <errorID>4f0b1a54-8e20-4ab5-afb4-2ba4a35c9377</errorID>
      <errorWord>》</errorWord>
      <group>L1_Punc</group>
      <groupName>标点问题</groupName>
      <ability>L2_Punc</ability>
      <abilityName>标点符号检查</abilityName>
      <candidateList/>
      <explain/>
      <paraID>6F69EC8D</paraID>
      <start>27</start>
      <end>28</end>
      <status>unmodified</status>
      <modifiedWord/>
      <trackRevisions>false</trackRevisions>
    </reviewItem>
    <reviewItem>
      <errorID>b39fb382-6ec2-43c4-98c0-609580af9ee7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68B988CC</paraID>
      <start>41</start>
      <end>42</end>
      <status>unmodified</status>
      <modifiedWord/>
      <trackRevisions>false</trackRevisions>
    </reviewItem>
    <reviewItem>
      <errorID>128214d8-c5bb-4e50-a401-5c3bac140de8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7A8F8C43</paraID>
      <start>36</start>
      <end>37</end>
      <status>unmodified</status>
      <modifiedWord/>
      <trackRevisions>false</trackRevisions>
    </reviewItem>
    <reviewItem>
      <errorID>754ca9f6-5bd8-4833-8bd8-32b102fd16e9</errorID>
      <errorWord>生产生</errorWord>
      <group>L1_Word</group>
      <groupName>字词问题</groupName>
      <ability>L2_Typo</ability>
      <abilityName>字词错误</abilityName>
      <candidateList>
        <item>生产</item>
      </candidateList>
      <explain>〈动〉❶人们使用工具来创造各种生产资料和生活资料：工业～｜发展～｜～出更好的产品。❷生孩子。</explain>
      <paraID>29BA5817</paraID>
      <start>203</start>
      <end>206</end>
      <status>unmodified</status>
      <modifiedWord/>
      <trackRevisions>false</trackRevisions>
    </reviewItem>
    <reviewItem>
      <errorID>eee318dd-1bd5-40b4-b82d-e3e6bd078c41</errorID>
      <errorWord>程</errorWord>
      <group>L1_Word</group>
      <groupName>字词问题</groupName>
      <ability>L2_Typo</ability>
      <abilityName>字词错误</abilityName>
      <candidateList>
        <item>程中</item>
      </candidateList>
      <explain/>
      <paraID>5C2F3EB8</paraID>
      <start>111</start>
      <end>112</end>
      <status>unmodified</status>
      <modifiedWord/>
      <trackRevisions>false</trackRevisions>
    </reviewItem>
    <reviewItem>
      <errorID>30a1d922-3249-4139-8d9b-3509d3d39921</errorID>
      <errorWord>上线</errorWord>
      <group>L1_Word</group>
      <groupName>字词问题</groupName>
      <ability>L2_Typo</ability>
      <abilityName>字词错误</abilityName>
      <candidateList>
        <item>上限</item>
      </candidateList>
      <explain/>
      <paraID>2BCEECCE</paraID>
      <start>125</start>
      <end>127</end>
      <status>unmodified</status>
      <modifiedWord/>
      <trackRevisions>false</trackRevisions>
    </reviewItem>
    <reviewItem>
      <errorID>bf15ebcc-07dc-4e5c-ba2b-0c18d6114638</errorID>
      <errorWord>属</errorWord>
      <group>L1_Word</group>
      <groupName>字词问题</groupName>
      <ability>L2_Typo</ability>
      <abilityName>字词错误</abilityName>
      <candidateList>
        <item>属于</item>
      </candidateList>
      <explain/>
      <paraID>513B6D88</paraID>
      <start>4</start>
      <end>6</end>
      <status>modified</status>
      <modifiedWord>属于</modifiedWord>
      <trackRevisions>false</trackRevisions>
    </reviewItem>
    <reviewItem>
      <errorID>45e8c9a5-d423-4833-8062-ad5beeaf7103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3F5705EC</paraID>
      <start>0</start>
      <end>2</end>
      <status>unmodified</status>
      <modifiedWord/>
      <trackRevisions>false</trackRevisions>
    </reviewItem>
    <reviewItem>
      <errorID>f6cd5587-608a-49c4-af8f-1de3c70778b9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4463D9B</paraID>
      <start>0</start>
      <end>2</end>
      <status>unmodified</status>
      <modifiedWord/>
      <trackRevisions>false</trackRevisions>
    </reviewItem>
    <reviewItem>
      <errorID>1a254971-05bd-4c83-9588-e0c71807f9c8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61235D53</paraID>
      <start>0</start>
      <end>2</end>
      <status>unmodified</status>
      <modifiedWord/>
      <trackRevisions>false</trackRevisions>
    </reviewItem>
    <reviewItem>
      <errorID>6901cd5f-344e-467c-871e-177a0fedf1db</errorID>
      <errorWord>生活废水</errorWord>
      <group>L1_Knowledge</group>
      <groupName>知识性问题</groupName>
      <ability>L2_Term</ability>
      <abilityName>专业术语</abilityName>
      <candidateList>
        <item>生活污水</item>
      </candidateList>
      <explain/>
      <paraID>67C426E5</paraID>
      <start>6</start>
      <end>10</end>
      <status>unmodified</status>
      <modifiedWord/>
      <trackRevisions>false</trackRevisions>
    </reviewItem>
    <reviewItem>
      <errorID>b424d07e-2f04-4ee8-a9b6-2345918a0ec0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2EFAB0A4</paraID>
      <start>0</start>
      <end>2</end>
      <status>unmodified</status>
      <modifiedWord/>
      <trackRevisions>false</trackRevisions>
    </reviewItem>
    <reviewItem>
      <errorID>7f1dcca5-06b2-4bb1-9d63-915abb4eb5cd</errorID>
      <errorWord>..</errorWord>
      <group>L1_Punc</group>
      <groupName>标点问题</groupName>
      <ability>L2_Punc</ability>
      <abilityName>标点符号检查</abilityName>
      <candidateList>
        <item>.</item>
      </candidateList>
      <explain/>
      <paraID>5275E7AF</paraID>
      <start>1</start>
      <end>3</end>
      <status>unmodified</status>
      <modifiedWord/>
      <trackRevisions>false</trackRevisions>
    </reviewItem>
    <reviewItem>
      <errorID>816e8a7d-c09e-4980-bab0-c4ee467c88d5</errorID>
      <errorWord>..</errorWord>
      <group>L1_Punc</group>
      <groupName>标点问题</groupName>
      <ability>L2_Punc</ability>
      <abilityName>标点符号检查</abilityName>
      <candidateList>
        <item>.</item>
      </candidateList>
      <explain/>
      <paraID>60FC2B5D</paraID>
      <start>1</start>
      <end>3</end>
      <status>unmodified</status>
      <modifiedWord/>
      <trackRevisions>false</trackRevisions>
    </reviewItem>
    <reviewItem>
      <errorID>03388706-21dc-493c-b2e7-8e7c07ce4dcf</errorID>
      <errorWord>废气污染物</errorWord>
      <group>L1_Knowledge</group>
      <groupName>知识性问题</groupName>
      <ability>L2_Term</ability>
      <abilityName>专业术语</abilityName>
      <candidateList>
        <item>空气污染物</item>
      </candidateList>
      <explain/>
      <paraID> 5407732</paraID>
      <start>13</start>
      <end>18</end>
      <status>unmodified</status>
      <modifiedWord/>
      <trackRevisions>false</trackRevisions>
    </reviewItem>
    <reviewItem>
      <errorID>fbbbb512-5f9f-46a6-ac14-62800b34aa46</errorID>
      <errorWord>本项目本项目</errorWord>
      <group>L1_Word</group>
      <groupName>字词问题</groupName>
      <ability>L2_Typo</ability>
      <abilityName>字词错误</abilityName>
      <candidateList>
        <item>本项目</item>
      </candidateList>
      <explain/>
      <paraID>4FF80829</paraID>
      <start>0</start>
      <end>6</end>
      <status>unmodified</status>
      <modifiedWord/>
      <trackRevisions>false</trackRevisions>
    </reviewItem>
    <reviewItem>
      <errorID>ea1323d5-bd77-46d7-a25d-b63694e0db31</errorID>
      <errorWord>三氟乙烷</errorWord>
      <group>L1_Knowledge</group>
      <groupName>知识性问题</groupName>
      <ability>L2_Term</ability>
      <abilityName>专业术语</abilityName>
      <candidateList>
        <item>氟烷</item>
      </candidateList>
      <explain>医学名词[三氟乙烷]为不规范表述或旧称，其规范书面表述为[氟烷]。</explain>
      <paraID> 34D8741</paraID>
      <start>40</start>
      <end>44</end>
      <status>unmodified</status>
      <modifiedWord/>
      <trackRevisions>false</trackRevisions>
    </reviewItem>
    <reviewItem>
      <errorID>1e6602e3-f4ca-48e8-beb3-2770832f1c76</errorID>
      <errorWord>副立</errorWord>
      <group>L1_Word</group>
      <groupName>字词问题</groupName>
      <ability>L2_Typo</ability>
      <abilityName>字词错误</abilityName>
      <candidateList>
        <item>独立</item>
      </candidateList>
      <explain>存在发音相近字词的误用。</explain>
      <paraID> 34D8741</paraID>
      <start>87</start>
      <end>89</end>
      <status>unmodified</status>
      <modifiedWord/>
      <trackRevisions>false</trackRevisions>
    </reviewItem>
    <reviewItem>
      <errorID>6baa7388-a84d-4f96-a055-0495469fa437</errorID>
      <errorWord>（</errorWord>
      <group>L1_Punc</group>
      <groupName>标点问题</groupName>
      <ability>L2_Punc</ability>
      <abilityName>标点符号检查</abilityName>
      <candidateList/>
      <explain>同一形式括号套用。</explain>
      <paraID>2D085037</paraID>
      <start>11</start>
      <end>12</end>
      <status>unmodified</status>
      <modifiedWord/>
      <trackRevisions>false</trackRevisions>
    </reviewItem>
    <reviewItem>
      <errorID>0c0d5b01-b97f-4af0-9611-db7fb28b8720</errorID>
      <errorWord>）</errorWord>
      <group>L1_Punc</group>
      <groupName>标点问题</groupName>
      <ability>L2_Punc</ability>
      <abilityName>标点符号检查</abilityName>
      <candidateList/>
      <explain>同一形式括号套用。</explain>
      <paraID>2D085037</paraID>
      <start>19</start>
      <end>20</end>
      <status>unmodified</status>
      <modifiedWord/>
      <trackRevisions>false</trackRevisions>
    </reviewItem>
    <reviewItem>
      <errorID>7ee40081-f302-4241-8a31-a082fd6dec19</errorID>
      <errorWord>（</errorWord>
      <group>L1_Punc</group>
      <groupName>标点问题</groupName>
      <ability>L2_Punc</ability>
      <abilityName>标点符号检查</abilityName>
      <candidateList/>
      <explain>同一形式括号套用。</explain>
      <paraID>2D085037</paraID>
      <start>27</start>
      <end>28</end>
      <status>unmodified</status>
      <modifiedWord/>
      <trackRevisions>false</trackRevisions>
    </reviewItem>
    <reviewItem>
      <errorID>2bf38341-7ac9-4dce-83e0-19ad39a7f159</errorID>
      <errorWord>）</errorWord>
      <group>L1_Punc</group>
      <groupName>标点问题</groupName>
      <ability>L2_Punc</ability>
      <abilityName>标点符号检查</abilityName>
      <candidateList/>
      <explain>同一形式括号套用。</explain>
      <paraID>2D085037</paraID>
      <start>35</start>
      <end>36</end>
      <status>unmodified</status>
      <modifiedWord/>
      <trackRevisions>false</trackRevisions>
    </reviewItem>
    <reviewItem>
      <errorID>207cb29a-4f92-44c2-9bbd-1016702b7347</errorID>
      <errorWord>；</errorWord>
      <group>L1_Word</group>
      <groupName>字词问题</groupName>
      <ability>L2_Typo</ability>
      <abilityName>字词错误</abilityName>
      <candidateList>
        <item>；在</item>
      </candidateList>
      <explain/>
      <paraID> 2421968</paraID>
      <start>56</start>
      <end>57</end>
      <status>unmodified</status>
      <modifiedWord/>
      <trackRevisions>false</trackRevisions>
    </reviewItem>
    <reviewItem>
      <errorID>604a1f0c-783f-4cb3-a76a-d969b6aa6cd5</errorID>
      <errorWord>法律、法规</errorWord>
      <group>L1_Word</group>
      <groupName>字词问题</groupName>
      <ability>L2_Typo</ability>
      <abilityName>字词错误</abilityName>
      <candidateList>
        <item>法律法规</item>
      </candidateList>
      <explain/>
      <paraID>14C6D424</paraID>
      <start>7</start>
      <end>12</end>
      <status>unmodified</status>
      <modifiedWord/>
      <trackRevisions>false</trackRevisions>
    </reviewItem>
    <reviewItem>
      <errorID>dab98f4e-ab03-4e9a-84e9-a7be32b99fc5</errorID>
      <errorWord>（</errorWord>
      <group>L1_Word</group>
      <groupName>字词问题</groupName>
      <ability>L2_Typo</ability>
      <abilityName>字词错误</abilityName>
      <candidateList>
        <item>（新</item>
      </candidateList>
      <explain/>
      <paraID>12E4D5DF</paraID>
      <start>19</start>
      <end>20</end>
      <status>unmodified</status>
      <modifiedWord/>
      <trackRevisions>false</trackRevisions>
    </reviewItem>
    <reviewItem>
      <errorID>baf7ae79-fb4c-4bce-8905-8fdb3c89eae5</errorID>
      <errorWord>[2012]98号</errorWord>
      <group>L1_Knowledge</group>
      <groupName>知识性问题</groupName>
      <ability>L2_Knowledge</ability>
      <abilityName>其他知识</abilityName>
      <candidateList>
        <item>〔2012〕98号</item>
      </candidateList>
      <explain>发文字号格式错误</explain>
      <paraID>21F36646</paraID>
      <start>32</start>
      <end>41</end>
      <status>unmodified</status>
      <modifiedWord/>
      <trackRevisions>false</trackRevisions>
    </reviewItem>
    <reviewItem>
      <errorID>d69ba1e1-7477-44fc-99b2-88abf64821c5</errorID>
      <errorWord>[2001]199号</errorWord>
      <group>L1_Knowledge</group>
      <groupName>知识性问题</groupName>
      <ability>L2_Knowledge</ability>
      <abilityName>其他知识</abilityName>
      <candidateList>
        <item>〔2001〕199号</item>
      </candidateList>
      <explain>发文字号格式错误</explain>
      <paraID>7CE9CCFA</paraID>
      <start>21</start>
      <end>31</end>
      <status>unmodified</status>
      <modifiedWord/>
      <trackRevisions>false</trackRevisions>
    </reviewItem>
    <reviewItem>
      <errorID>b454dcd9-a749-449f-8875-cf9bc36d30a1</errorID>
      <errorWord>[2016]3号</errorWord>
      <group>L1_Knowledge</group>
      <groupName>知识性问题</groupName>
      <ability>L2_Knowledge</ability>
      <abilityName>其他知识</abilityName>
      <candidateList>
        <item>〔2016〕3号</item>
      </candidateList>
      <explain>发文字号格式错误</explain>
      <paraID>411959A9</paraID>
      <start>23</start>
      <end>31</end>
      <status>unmodified</status>
      <modifiedWord/>
      <trackRevisions>false</trackRevisions>
    </reviewItem>
    <reviewItem>
      <errorID>28735491-f128-4dc5-9338-a6c0af9f2719</errorID>
      <errorWord>[2016]46号</errorWord>
      <group>L1_Knowledge</group>
      <groupName>知识性问题</groupName>
      <ability>L2_Knowledge</ability>
      <abilityName>其他知识</abilityName>
      <candidateList>
        <item>〔2016〕46号</item>
      </candidateList>
      <explain>发文字号格式错误</explain>
      <paraID>1AC982F5</paraID>
      <start>24</start>
      <end>33</end>
      <status>unmodified</status>
      <modifiedWord/>
      <trackRevisions>false</trackRevisions>
    </reviewItem>
    <reviewItem>
      <errorID>cc6a41e7-fa9c-40d7-a09e-96ea9c4eee3f</errorID>
      <errorWord>[2012]29号</errorWord>
      <group>L1_Knowledge</group>
      <groupName>知识性问题</groupName>
      <ability>L2_Knowledge</ability>
      <abilityName>其他知识</abilityName>
      <candidateList>
        <item>〔2012〕29号</item>
      </candidateList>
      <explain>发文字号格式错误</explain>
      <paraID>286C409D</paraID>
      <start>21</start>
      <end>30</end>
      <status>unmodified</status>
      <modifiedWord/>
      <trackRevisions>false</trackRevisions>
    </reviewItem>
    <reviewItem>
      <errorID>fbd160d0-f282-4475-871e-de03d526f942</errorID>
      <errorWord>[2016]46号</errorWord>
      <group>L1_Knowledge</group>
      <groupName>知识性问题</groupName>
      <ability>L2_Knowledge</ability>
      <abilityName>其他知识</abilityName>
      <candidateList>
        <item>〔2016〕46号</item>
      </candidateList>
      <explain>发文字号格式错误</explain>
      <paraID>1EF7D801</paraID>
      <start>24</start>
      <end>33</end>
      <status>unmodified</status>
      <modifiedWord/>
      <trackRevisions>false</trackRevisions>
    </reviewItem>
    <reviewItem>
      <errorID>af60bfdc-4063-4566-bd76-3566576fb0cb</errorID>
      <errorWord>黑龙江省环境保护条例</errorWord>
      <group>L1_Knowledge</group>
      <groupName>知识性问题</groupName>
      <ability>L2_Knowledge</ability>
      <abilityName>其他知识</abilityName>
      <candidateList/>
      <explain>该法规已废止，请注意检查引用是否正确。</explain>
      <paraID>2138B82D</paraID>
      <start>5</start>
      <end>15</end>
      <status>unmodified</status>
      <modifiedWord/>
      <trackRevisions>false</trackRevisions>
    </reviewItem>
    <reviewItem>
      <errorID>2b468a5f-7796-475e-b5a8-31d4397f4064</errorID>
      <errorWord>[2017]84号</errorWord>
      <group>L1_Knowledge</group>
      <groupName>知识性问题</groupName>
      <ability>L2_Knowledge</ability>
      <abilityName>其他知识</abilityName>
      <candidateList>
        <item>〔2017〕84号</item>
      </candidateList>
      <explain>发文字号格式错误</explain>
      <paraID>6C2F4CBC</paraID>
      <start>38</start>
      <end>47</end>
      <status>unmodified</status>
      <modifiedWord/>
      <trackRevisions>false</trackRevisions>
    </reviewItem>
    <reviewItem>
      <errorID>5c1dd6e7-f3b6-4f82-8f12-3f7ef97e85be</errorID>
      <errorWord>2017年10月01日</errorWord>
      <group>L1_Knowledge</group>
      <groupName>知识性问题</groupName>
      <ability>L2_Time</ability>
      <abilityName>日期时间</abilityName>
      <candidateList>
        <item>2017年10月1日</item>
      </candidateList>
      <explain>根据日常书写习惯，日期一般会省略前导零。</explain>
      <paraID>6FB2A364</paraID>
      <start>40</start>
      <end>51</end>
      <status>unmodified</status>
      <modifiedWord/>
      <trackRevisions>false</trackRevisions>
    </reviewItem>
    <reviewItem>
      <errorID>6919f89c-7407-44e8-a1f5-2b7302ae8cd7</errorID>
      <errorWord>[2001]199号</errorWord>
      <group>L1_Knowledge</group>
      <groupName>知识性问题</groupName>
      <ability>L2_Knowledge</ability>
      <abilityName>其他知识</abilityName>
      <candidateList>
        <item>〔2001〕199号</item>
      </candidateList>
      <explain>发文字号格式错误</explain>
      <paraID>78228938</paraID>
      <start>21</start>
      <end>31</end>
      <status>unmodified</status>
      <modifiedWord/>
      <trackRevisions>false</trackRevisions>
    </reviewItem>
    <reviewItem>
      <errorID>7e4e3d7b-3914-41e3-8d2e-e55fcc837983</errorID>
      <errorWord>【2019】53号</errorWord>
      <group>L1_Knowledge</group>
      <groupName>知识性问题</groupName>
      <ability>L2_Knowledge</ability>
      <abilityName>其他知识</abilityName>
      <candidateList>
        <item>〔2019〕53号</item>
      </candidateList>
      <explain>发文字号格式错误</explain>
      <paraID>47592787</paraID>
      <start>26</start>
      <end>35</end>
      <status>unmodified</status>
      <modifiedWord/>
      <trackRevisions>false</trackRevisions>
    </reviewItem>
    <reviewItem>
      <errorID>219842a4-b7a5-42b0-9b73-7d61752cfa4b</errorID>
      <errorWord>[2021]47号</errorWord>
      <group>L1_Knowledge</group>
      <groupName>知识性问题</groupName>
      <ability>L2_Knowledge</ability>
      <abilityName>其他知识</abilityName>
      <candidateList>
        <item>〔2021〕47号</item>
      </candidateList>
      <explain>发文字号格式错误</explain>
      <paraID>7A110509</paraID>
      <start>31</start>
      <end>40</end>
      <status>unmodified</status>
      <modifiedWord/>
      <trackRevisions>false</trackRevisions>
    </reviewItem>
    <reviewItem>
      <errorID>79cd2bed-b93f-4769-9baa-4dfd316d845c</errorID>
      <errorWord>[2019]153号</errorWord>
      <group>L1_Knowledge</group>
      <groupName>知识性问题</groupName>
      <ability>L2_Knowledge</ability>
      <abilityName>其他知识</abilityName>
      <candidateList>
        <item>〔2019〕153号</item>
      </candidateList>
      <explain>发文字号格式错误</explain>
      <paraID>726CAAEB</paraID>
      <start>32</start>
      <end>42</end>
      <status>unmodified</status>
      <modifiedWord/>
      <trackRevisions>false</trackRevisions>
    </reviewItem>
    <reviewItem>
      <errorID>9d1a2281-3ef0-49cb-b847-dd162836be75</errorID>
      <errorWord>[2021]23号</errorWord>
      <group>L1_Knowledge</group>
      <groupName>知识性问题</groupName>
      <ability>L2_Knowledge</ability>
      <abilityName>其他知识</abilityName>
      <candidateList>
        <item>〔2021〕23号</item>
      </candidateList>
      <explain>发文字号格式错误</explain>
      <paraID>4AAF60F7</paraID>
      <start>37</start>
      <end>46</end>
      <status>unmodified</status>
      <modifiedWord/>
      <trackRevisions>false</trackRevisions>
    </reviewItem>
    <reviewItem>
      <errorID>29768986-47b9-4cad-bc0f-9380286a3157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2BC8F142</paraID>
      <start>37</start>
      <end>38</end>
      <status>unmodified</status>
      <modifiedWord/>
      <trackRevisions>false</trackRevisions>
    </reviewItem>
    <reviewItem>
      <errorID>64615bb4-10b1-46e9-8282-88faf46adf1d</errorID>
      <errorWord>》</errorWord>
      <group>L1_Punc</group>
      <groupName>标点问题</groupName>
      <ability>L2_Punc</ability>
      <abilityName>标点符号检查</abilityName>
      <candidateList/>
      <explain/>
      <paraID>2BC8F142</paraID>
      <start>47</start>
      <end>48</end>
      <status>unmodified</status>
      <modifiedWord/>
      <trackRevisions>false</trackRevisions>
    </reviewItem>
    <reviewItem>
      <errorID>98981873-06b2-4009-9a49-48ec75409bd2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1A3D6F7B</paraID>
      <start>27</start>
      <end>28</end>
      <status>unmodified</status>
      <modifiedWord/>
      <trackRevisions>false</trackRevisions>
    </reviewItem>
    <reviewItem>
      <errorID>cbb3996f-814d-49f8-962a-e42df4da0dc0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829B9E8</paraID>
      <start>25</start>
      <end>26</end>
      <status>unmodified</status>
      <modifiedWord/>
      <trackRevisions>false</trackRevisions>
    </reviewItem>
    <reviewItem>
      <errorID>aa79eed6-6820-4e20-8146-38fc1d3e18f1</errorID>
      <errorWord>[2021]23号</errorWord>
      <group>L1_Knowledge</group>
      <groupName>知识性问题</groupName>
      <ability>L2_Knowledge</ability>
      <abilityName>其他知识</abilityName>
      <candidateList>
        <item>〔2021〕23号</item>
      </candidateList>
      <explain>发文字号格式错误</explain>
      <paraID> 829B9E8</paraID>
      <start>37</start>
      <end>46</end>
      <status>unmodified</status>
      <modifiedWord/>
      <trackRevisions>false</trackRevisions>
    </reviewItem>
    <reviewItem>
      <errorID>119fb35e-ff93-43f3-addc-a5fbd838b51d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1880EBD1</paraID>
      <start>31</start>
      <end>32</end>
      <status>unmodified</status>
      <modifiedWord/>
      <trackRevisions>false</trackRevisions>
    </reviewItem>
    <reviewItem>
      <errorID>2442eed9-cba3-4b26-b0e0-733a91acd33d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3BB04C88</paraID>
      <start>31</start>
      <end>32</end>
      <status>unmodified</status>
      <modifiedWord/>
      <trackRevisions>false</trackRevisions>
    </reviewItem>
    <reviewItem>
      <errorID>4419ff10-bf2c-4b4f-9198-f2838e272ba4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57D782CC</paraID>
      <start>43</start>
      <end>44</end>
      <status>unmodified</status>
      <modifiedWord/>
      <trackRevisions>false</trackRevisions>
    </reviewItem>
    <reviewItem>
      <errorID>9dc804c3-8a22-4e3c-b661-e557b1da0acf</errorID>
      <errorWord>（</errorWord>
      <group>L1_Punc</group>
      <groupName>标点问题</groupName>
      <ability>L2_Punc</ability>
      <abilityName>标点符号检查</abilityName>
      <candidateList/>
      <explain>同一形式括号套用。</explain>
      <paraID>57D782CC</paraID>
      <start>72</start>
      <end>73</end>
      <status>unmodified</status>
      <modifiedWord/>
      <trackRevisions>false</trackRevisions>
    </reviewItem>
    <reviewItem>
      <errorID>2cbff30d-b805-4ff7-9734-503e8cfcfc13</errorID>
      <errorWord>）</errorWord>
      <group>L1_Punc</group>
      <groupName>标点问题</groupName>
      <ability>L2_Punc</ability>
      <abilityName>标点符号检查</abilityName>
      <candidateList/>
      <explain>同一形式括号套用。</explain>
      <paraID>57D782CC</paraID>
      <start>74</start>
      <end>75</end>
      <status>unmodified</status>
      <modifiedWord/>
      <trackRevisions>false</trackRevisions>
    </reviewItem>
    <reviewItem>
      <errorID>28607234-463e-43ee-9610-4ffde190d749</errorID>
      <errorWord>[2021]1号</errorWord>
      <group>L1_Knowledge</group>
      <groupName>知识性问题</groupName>
      <ability>L2_Knowledge</ability>
      <abilityName>其他知识</abilityName>
      <candidateList>
        <item>〔2021〕1号</item>
      </candidateList>
      <explain>发文字号格式错误</explain>
      <paraID>57D782CC</paraID>
      <start>75</start>
      <end>83</end>
      <status>unmodified</status>
      <modifiedWord/>
      <trackRevisions>false</trackRevisions>
    </reviewItem>
    <reviewItem>
      <errorID>efee089d-f495-4408-bfc8-c95079247aa7</errorID>
      <errorWord>[2023]104号</errorWord>
      <group>L1_Knowledge</group>
      <groupName>知识性问题</groupName>
      <ability>L2_Knowledge</ability>
      <abilityName>其他知识</abilityName>
      <candidateList>
        <item>〔2023〕104号</item>
      </candidateList>
      <explain>发文字号格式错误</explain>
      <paraID>672C73EF</paraID>
      <start>27</start>
      <end>37</end>
      <status>unmodified</status>
      <modifiedWord/>
      <trackRevisions>false</trackRevisions>
    </reviewItem>
    <reviewItem>
      <errorID>7b264214-bf9a-4440-a110-3f8b47dd8871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6B040377</paraID>
      <start>23</start>
      <end>24</end>
      <status>unmodified</status>
      <modifiedWord/>
      <trackRevisions>false</trackRevisions>
    </reviewItem>
    <reviewItem>
      <errorID>bb3ac3d1-c44b-4e99-adbf-291808da8666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16D8B3B5</paraID>
      <start>23</start>
      <end>24</end>
      <status>unmodified</status>
      <modifiedWord/>
      <trackRevisions>false</trackRevisions>
    </reviewItem>
    <reviewItem>
      <errorID>a332d1e0-748a-451e-b972-3e789fe2dbc4</errorID>
      <errorWord>&lt;</errorWord>
      <group>L1_Format</group>
      <groupName>格式问题</groupName>
      <ability>L2_HalfPunc</ability>
      <abilityName>全半角检查</abilityName>
      <candidateList>
        <item>〈</item>
      </candidateList>
      <explain>文本全半角错误。</explain>
      <paraID>1C22437A</paraID>
      <start>15</start>
      <end>16</end>
      <status>unmodified</status>
      <modifiedWord/>
      <trackRevisions>false</trackRevisions>
    </reviewItem>
    <reviewItem>
      <errorID>9b1997f5-87df-42ec-8728-574f585b128e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1C22437A</paraID>
      <start>35</start>
      <end>36</end>
      <status>unmodified</status>
      <modifiedWord/>
      <trackRevisions>false</trackRevisions>
    </reviewItem>
    <reviewItem>
      <errorID>fe669018-1b1f-442b-907b-20b8bd23c3e0</errorID>
      <errorWord>&gt;</errorWord>
      <group>L1_Format</group>
      <groupName>格式问题</groupName>
      <ability>L2_HalfPunc</ability>
      <abilityName>全半角检查</abilityName>
      <candidateList>
        <item>〉</item>
      </candidateList>
      <explain>文本全半角错误。</explain>
      <paraID>1C22437A</paraID>
      <start>49</start>
      <end>50</end>
      <status>unmodified</status>
      <modifiedWord/>
      <trackRevisions>false</trackRevisions>
    </reviewItem>
    <reviewItem>
      <errorID>211db4a3-3923-4cf5-a797-2770364c79e9</errorID>
      <errorWord>[2024]195号</errorWord>
      <group>L1_Knowledge</group>
      <groupName>知识性问题</groupName>
      <ability>L2_Knowledge</ability>
      <abilityName>其他知识</abilityName>
      <candidateList>
        <item>〔2024〕195号</item>
      </candidateList>
      <explain>发文字号格式错误</explain>
      <paraID>1C22437A</paraID>
      <start>59</start>
      <end>69</end>
      <status>unmodified</status>
      <modifiedWord/>
      <trackRevisions>false</trackRevisions>
    </reviewItem>
    <reviewItem>
      <errorID>2e18eeda-aa03-4aab-8040-de7bb6145916</errorID>
      <errorWord>《</errorWord>
      <group>L1_Punc</group>
      <groupName>标点问题</groupName>
      <ability>L2_Punc</ability>
      <abilityName>标点符号检查</abilityName>
      <candidateList/>
      <explain/>
      <paraID>473D1673</paraID>
      <start>0</start>
      <end>1</end>
      <status>unmodified</status>
      <modifiedWord/>
      <trackRevisions>false</trackRevisions>
    </reviewItem>
    <reviewItem>
      <errorID>6e968939-630b-413d-97b6-79d6d546dd96</errorID>
      <errorWord>》</errorWord>
      <group>L1_Punc</group>
      <groupName>标点问题</groupName>
      <ability>L2_Punc</ability>
      <abilityName>标点符号检查</abilityName>
      <candidateList/>
      <explain/>
      <paraID>5A640647</paraID>
      <start>4</start>
      <end>5</end>
      <status>unmodified</status>
      <modifiedWord/>
      <trackRevisions>false</trackRevisions>
    </reviewItem>
    <reviewItem>
      <errorID>7872ef03-8a2c-47b7-9648-570f5cd0a7c8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2275A49D</paraID>
      <start>0</start>
      <end>2</end>
      <status>unmodified</status>
      <modifiedWord/>
      <trackRevisions>false</trackRevisions>
    </reviewItem>
    <reviewItem>
      <errorID>03fd3ea1-f9d3-46fd-b46f-55e2ba164b77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4FF72EA2</paraID>
      <start>0</start>
      <end>2</end>
      <status>unmodified</status>
      <modifiedWord/>
      <trackRevisions>false</trackRevisions>
    </reviewItem>
    <reviewItem>
      <errorID>6be5560b-1382-4f14-b4c7-325ed8562e89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2538E0C2</paraID>
      <start>0</start>
      <end>2</end>
      <status>unmodified</status>
      <modifiedWord/>
      <trackRevisions>false</trackRevisions>
    </reviewItem>
    <reviewItem>
      <errorID>44df823c-fd01-45d5-af89-895fcce36e2d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1E4F2753</paraID>
      <start>0</start>
      <end>2</end>
      <status>unmodified</status>
      <modifiedWord/>
      <trackRevisions>false</trackRevisions>
    </reviewItem>
    <reviewItem>
      <errorID>30edb7d1-5226-4d7c-86cb-af366df5ae0b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618D772</paraID>
      <start>0</start>
      <end>2</end>
      <status>unmodified</status>
      <modifiedWord/>
      <trackRevisions>false</trackRevisions>
    </reviewItem>
    <reviewItem>
      <errorID>246f0db1-a579-402f-8d19-4df090b2372c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5CF8791A</paraID>
      <start>0</start>
      <end>2</end>
      <status>unmodified</status>
      <modifiedWord/>
      <trackRevisions>false</trackRevisions>
    </reviewItem>
    <reviewItem>
      <errorID>eeba4a7c-380e-4bf9-b827-8e8d9ce127ff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48151F87</paraID>
      <start>0</start>
      <end>2</end>
      <status>unmodified</status>
      <modifiedWord/>
      <trackRevisions>false</trackRevisions>
    </reviewItem>
    <reviewItem>
      <errorID>2c176f08-e688-4817-a2aa-327b5eed8670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1CA58736</paraID>
      <start>0</start>
      <end>2</end>
      <status>unmodified</status>
      <modifiedWord/>
      <trackRevisions>false</trackRevisions>
    </reviewItem>
    <reviewItem>
      <errorID>8cfc8e72-5b71-45ad-bfb9-9042f2e48278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14EEE591</paraID>
      <start>0</start>
      <end>2</end>
      <status>unmodified</status>
      <modifiedWord/>
      <trackRevisions>false</trackRevisions>
    </reviewItem>
    <reviewItem>
      <errorID>d54f15da-b97a-4536-8dc2-2fcdcd6fa2cc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1C3AB593</paraID>
      <start>0</start>
      <end>2</end>
      <status>unmodified</status>
      <modifiedWord/>
      <trackRevisions>false</trackRevisions>
    </reviewItem>
    <reviewItem>
      <errorID>682fa4a1-d6ac-4b15-9d0c-471998dcf8c9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B8FDC74</paraID>
      <start>0</start>
      <end>2</end>
      <status>unmodified</status>
      <modifiedWord/>
      <trackRevisions>false</trackRevisions>
    </reviewItem>
    <reviewItem>
      <errorID>078ba744-cf70-4a34-814c-13d5e9f5e9fb</errorID>
      <errorWord>～</errorWord>
      <group>L1_Format</group>
      <groupName>格式问题</groupName>
      <ability>L2_HalfPunc</ability>
      <abilityName>全半角检查</abilityName>
      <candidateList>
        <item>~</item>
      </candidateList>
      <explain>文本全半角错误。</explain>
      <paraID>52D99C91</paraID>
      <start>3</start>
      <end>4</end>
      <status>unmodified</status>
      <modifiedWord/>
      <trackRevisions>false</trackRevisions>
    </reviewItem>
    <reviewItem>
      <errorID>402317b3-8fed-4320-8ad8-99d55d318737</errorID>
      <errorWord>（</errorWord>
      <group>L1_Format</group>
      <groupName>格式问题</groupName>
      <ability>L2_HalfPunc</ability>
      <abilityName>全半角检查</abilityName>
      <candidateList>
        <item>(</item>
      </candidateList>
      <explain>文本全半角错误。</explain>
      <paraID>5F447EEC</paraID>
      <start>2</start>
      <end>3</end>
      <status>unmodified</status>
      <modifiedWord/>
      <trackRevisions>false</trackRevisions>
    </reviewItem>
    <reviewItem>
      <errorID>5ed8e043-73ba-4578-b84c-2ed0b81b0a6a</errorID>
      <errorWord>）</errorWord>
      <group>L1_Format</group>
      <groupName>格式问题</groupName>
      <ability>L2_HalfPunc</ability>
      <abilityName>全半角检查</abilityName>
      <candidateList>
        <item>)</item>
      </candidateList>
      <explain>文本全半角错误。</explain>
      <paraID>5F447EEC</paraID>
      <start>7</start>
      <end>8</end>
      <status>unmodified</status>
      <modifiedWord/>
      <trackRevisions>false</trackRevisions>
    </reviewItem>
    <reviewItem>
      <errorID>1843100a-a0e5-4979-9f77-436661adeba7</errorID>
      <errorWord>（</errorWord>
      <group>L1_Format</group>
      <groupName>格式问题</groupName>
      <ability>L2_HalfPunc</ability>
      <abilityName>全半角检查</abilityName>
      <candidateList>
        <item>(</item>
      </candidateList>
      <explain>文本全半角错误。</explain>
      <paraID> 76D4CBE</paraID>
      <start>3</start>
      <end>4</end>
      <status>unmodified</status>
      <modifiedWord/>
      <trackRevisions>false</trackRevisions>
    </reviewItem>
    <reviewItem>
      <errorID>55b4d8e8-ca84-4396-86a7-6d66742010ca</errorID>
      <errorWord>）</errorWord>
      <group>L1_Format</group>
      <groupName>格式问题</groupName>
      <ability>L2_HalfPunc</ability>
      <abilityName>全半角检查</abilityName>
      <candidateList>
        <item>)</item>
      </candidateList>
      <explain>文本全半角错误。</explain>
      <paraID> 76D4CBE</paraID>
      <start>8</start>
      <end>9</end>
      <status>unmodified</status>
      <modifiedWord/>
      <trackRevisions>false</trackRevisions>
    </reviewItem>
    <reviewItem>
      <errorID>6edbba76-4eb4-4410-924a-71c1213face3</errorID>
      <errorWord>（</errorWord>
      <group>L1_Format</group>
      <groupName>格式问题</groupName>
      <ability>L2_HalfPunc</ability>
      <abilityName>全半角检查</abilityName>
      <candidateList>
        <item>(</item>
      </candidateList>
      <explain>文本全半角错误。</explain>
      <paraID>66770027</paraID>
      <start>4</start>
      <end>5</end>
      <status>unmodified</status>
      <modifiedWord/>
      <trackRevisions>false</trackRevisions>
    </reviewItem>
    <reviewItem>
      <errorID>81e85136-a762-43e4-abc6-7adeee4da366</errorID>
      <errorWord>）</errorWord>
      <group>L1_Format</group>
      <groupName>格式问题</groupName>
      <ability>L2_HalfPunc</ability>
      <abilityName>全半角检查</abilityName>
      <candidateList>
        <item>)</item>
      </candidateList>
      <explain>文本全半角错误。</explain>
      <paraID>66770027</paraID>
      <start>9</start>
      <end>10</end>
      <status>unmodified</status>
      <modifiedWord/>
      <trackRevisions>false</trackRevisions>
    </reviewItem>
    <reviewItem>
      <errorID>36675539-ef54-42bd-9060-c56b235331ca</errorID>
      <errorWord>[2021]3号</errorWord>
      <group>L1_Knowledge</group>
      <groupName>知识性问题</groupName>
      <ability>L2_Knowledge</ability>
      <abilityName>其他知识</abilityName>
      <candidateList>
        <item>〔2021〕3号</item>
      </candidateList>
      <explain>发文字号格式错误</explain>
      <paraID>149AD5B3</paraID>
      <start>63</start>
      <end>71</end>
      <status>unmodified</status>
      <modifiedWord/>
      <trackRevisions>false</trackRevisions>
    </reviewItem>
    <reviewItem>
      <errorID>f93c0be1-17f4-4f86-b0f0-1e492dae7b2a</errorID>
      <errorWord>＜</errorWord>
      <group>L1_Format</group>
      <groupName>格式问题</groupName>
      <ability>L2_HalfPunc</ability>
      <abilityName>全半角检查</abilityName>
      <candidateList>
        <item>&lt;</item>
      </candidateList>
      <explain>文本全半角错误。</explain>
      <paraID>58A4EEAF</paraID>
      <start>7</start>
      <end>8</end>
      <status>unmodified</status>
      <modifiedWord/>
      <trackRevisions>false</trackRevisions>
    </reviewItem>
    <reviewItem>
      <errorID>19d05e21-5bba-4452-b3b6-92a39d84ad21</errorID>
      <errorWord>＜</errorWord>
      <group>L1_Format</group>
      <groupName>格式问题</groupName>
      <ability>L2_HalfPunc</ability>
      <abilityName>全半角检查</abilityName>
      <candidateList>
        <item>&lt;</item>
      </candidateList>
      <explain>文本全半角错误。</explain>
      <paraID>1F048106</paraID>
      <start>4</start>
      <end>5</end>
      <status>unmodified</status>
      <modifiedWord/>
      <trackRevisions>false</trackRevisions>
    </reviewItem>
    <reviewItem>
      <errorID>4ed14ee1-435a-4341-9df4-0517156e8942</errorID>
      <errorWord>海拔高度</errorWord>
      <group>L1_Word</group>
      <groupName>字词问题</groupName>
      <ability>L2_Typo</ability>
      <abilityName>字词错误</abilityName>
      <candidateList>
        <item>海拔</item>
      </candidateList>
      <explain>〈名〉从平均海平面起算的高度。</explain>
      <paraID>48F0AF28</paraID>
      <start>5</start>
      <end>9</end>
      <status>unmodified</status>
      <modifiedWord/>
      <trackRevisions>false</trackRevisions>
    </reviewItem>
    <reviewItem>
      <errorID>f2e38527-0819-4fd3-8084-d04a627aac0a</errorID>
      <errorWord>海拔高度</errorWord>
      <group>L1_Word</group>
      <groupName>字词问题</groupName>
      <ability>L2_Typo</ability>
      <abilityName>字词错误</abilityName>
      <candidateList>
        <item>海拔</item>
      </candidateList>
      <explain>〈名〉从平均海平面起算的高度。</explain>
      <paraID>35125A37</paraID>
      <start>2</start>
      <end>6</end>
      <status>unmodified</status>
      <modifiedWord/>
      <trackRevisions>false</trackRevisions>
    </reviewItem>
    <reviewItem>
      <errorID>7806b888-3c76-4d22-a9e0-3ab4d878ee52</errorID>
      <errorWord>(</errorWord>
      <group>L1_Format</group>
      <groupName>格式问题</groupName>
      <ability>L2_HalfPunc</ability>
      <abilityName>全半角检查</abilityName>
      <candidateList>
        <item>（</item>
      </candidateList>
      <explain>文本全半角错误。</explain>
      <paraID>46EEA484</paraID>
      <start>4</start>
      <end>5</end>
      <status>unmodified</status>
      <modifiedWord/>
      <trackRevisions>false</trackRevisions>
    </reviewItem>
    <reviewItem>
      <errorID>de671249-ea3b-4f30-9d85-4655109483f9</errorID>
      <errorWord>)</errorWord>
      <group>L1_Format</group>
      <groupName>格式问题</groupName>
      <ability>L2_HalfPunc</ability>
      <abilityName>全半角检查</abilityName>
      <candidateList>
        <item>）</item>
      </candidateList>
      <explain>文本全半角错误。</explain>
      <paraID>46EEA484</paraID>
      <start>10</start>
      <end>11</end>
      <status>unmodified</status>
      <modifiedWord/>
      <trackRevisions>false</trackRevisions>
    </reviewItem>
    <reviewItem>
      <errorID>d346f18a-837a-4cca-91b0-5e61084bc795</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790FB9AE</paraID>
      <start>71</start>
      <end>76</end>
      <status>unmodified</status>
      <modifiedWord/>
      <trackRevisions>false</trackRevisions>
    </reviewItem>
    <reviewItem>
      <errorID>e0a0815c-8318-46f8-a132-c1d66c8da118</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6C540515</paraID>
      <start>86</start>
      <end>91</end>
      <status>unmodified</status>
      <modifiedWord/>
      <trackRevisions>false</trackRevisions>
    </reviewItem>
    <reviewItem>
      <errorID>a58699c8-8f6b-4b41-96c9-5cf3b7daaa89</errorID>
      <errorWord>：</errorWord>
      <group>L1_Format</group>
      <groupName>格式问题</groupName>
      <ability>L2_HalfPunc</ability>
      <abilityName>全半角检查</abilityName>
      <candidateList>
        <item>:</item>
      </candidateList>
      <explain>文本全半角错误。</explain>
      <paraID>7D55B2E0</paraID>
      <start>22</start>
      <end>23</end>
      <status>unmodified</status>
      <modifiedWord/>
      <trackRevisions>false</trackRevisions>
    </reviewItem>
    <reviewItem>
      <errorID>27ef1c7a-b8f9-4d58-84ec-5bc8dc774dfa</errorID>
      <errorWord>引用水</errorWord>
      <group>L1_Word</group>
      <groupName>字词问题</groupName>
      <ability>L2_Typo</ability>
      <abilityName>字词错误</abilityName>
      <candidateList>
        <item>饮用水</item>
      </candidateList>
      <explain>〈名〉喝的和做饭用的水。</explain>
      <paraID>2C6A57A9</paraID>
      <start>20</start>
      <end>23</end>
      <status>modified</status>
      <modifiedWord>饮用水</modifiedWord>
      <trackRevisions>false</trackRevisions>
    </reviewItem>
    <reviewItem>
      <errorID>51bb3c70-c725-4ec3-aa6c-c9125d5e9079</errorID>
      <errorWord>[2021]3号</errorWord>
      <group>L1_Knowledge</group>
      <groupName>知识性问题</groupName>
      <ability>L2_Knowledge</ability>
      <abilityName>其他知识</abilityName>
      <candidateList>
        <item>〔2021〕3号</item>
      </candidateList>
      <explain>发文字号格式错误</explain>
      <paraID>3FAD58F0</paraID>
      <start>27</start>
      <end>35</end>
      <status>unmodified</status>
      <modifiedWord/>
      <trackRevisions>false</trackRevisions>
    </reviewItem>
    <reviewItem>
      <errorID>f6a4cf9d-a077-4257-ba63-2e23c7cf4ca8</errorID>
      <errorWord>)</errorWord>
      <group>L1_Format</group>
      <groupName>格式问题</groupName>
      <ability>L2_HalfPunc</ability>
      <abilityName>全半角检查</abilityName>
      <candidateList>
        <item>）</item>
      </candidateList>
      <explain>文本全半角错误。</explain>
      <paraID>3FAD58F0</paraID>
      <start>181</start>
      <end>182</end>
      <status>unmodified</status>
      <modifiedWord/>
      <trackRevisions>false</trackRevisions>
    </reviewItem>
    <reviewItem>
      <errorID>5c9dc7cc-0f95-4de2-87bf-5a69ad4694e7</errorID>
      <errorWord>（</errorWord>
      <group>L1_Punc</group>
      <groupName>标点问题</groupName>
      <ability>L2_Punc</ability>
      <abilityName>标点符号检查</abilityName>
      <candidateList>
        <item/>
      </candidateList>
      <explain>同一形式括号套用。</explain>
      <paraID>3FAD58F0</paraID>
      <start>184</start>
      <end>185</end>
      <status>unmodified</status>
      <modifiedWord/>
      <trackRevisions>false</trackRevisions>
    </reviewItem>
    <reviewItem>
      <errorID>afc8cca5-e0d8-4c51-ac90-b3c81f0d4573</errorID>
      <errorWord>(</errorWord>
      <group>L1_Punc</group>
      <groupName>标点问题</groupName>
      <ability>L2_Punc</ability>
      <abilityName>标点符号检查</abilityName>
      <candidateList/>
      <explain>同一形式括号套用。</explain>
      <paraID>3FAD58F0</paraID>
      <start>190</start>
      <end>191</end>
      <status>unmodified</status>
      <modifiedWord/>
      <trackRevisions>false</trackRevisions>
    </reviewItem>
    <reviewItem>
      <errorID>9b9f3c11-9b9b-4041-9f24-fdb599b4c2eb</errorID>
      <errorWord>)</errorWord>
      <group>L1_Punc</group>
      <groupName>标点问题</groupName>
      <ability>L2_Punc</ability>
      <abilityName>标点符号检查</abilityName>
      <candidateList/>
      <explain>同一形式括号套用。</explain>
      <paraID>3FAD58F0</paraID>
      <start>192</start>
      <end>193</end>
      <status>unmodified</status>
      <modifiedWord/>
      <trackRevisions>false</trackRevisions>
    </reviewItem>
    <reviewItem>
      <errorID>09f34c7f-2e87-4f47-8129-2b3dcd9fe74b</errorID>
      <errorWord>）</errorWord>
      <group>L1_Punc</group>
      <groupName>标点问题</groupName>
      <ability>L2_Punc</ability>
      <abilityName>标点符号检查</abilityName>
      <candidateList/>
      <explain>同一形式括号套用。</explain>
      <paraID>3FAD58F0</paraID>
      <start>193</start>
      <end>194</end>
      <status>unmodified</status>
      <modifiedWord/>
      <trackRevisions>false</trackRevisions>
    </reviewItem>
    <reviewItem>
      <errorID>d3149baf-2afa-4e33-bf32-88b50c334720</errorID>
      <errorWord>)</errorWord>
      <group>L1_Format</group>
      <groupName>格式问题</groupName>
      <ability>L2_HalfPunc</ability>
      <abilityName>全半角检查</abilityName>
      <candidateList>
        <item>）</item>
      </candidateList>
      <explain>文本全半角错误。</explain>
      <paraID>3FAD58F0</paraID>
      <start>249</start>
      <end>250</end>
      <status>unmodified</status>
      <modifiedWord/>
      <trackRevisions>false</trackRevisions>
    </reviewItem>
    <reviewItem>
      <errorID>bb9d0fa4-9ed9-4c99-9b9e-a711b7ed16ac</errorID>
      <errorWord>护</errorWord>
      <group>L1_Word</group>
      <groupName>字词问题</groupName>
      <ability>L2_Typo</ability>
      <abilityName>字词错误</abilityName>
      <candidateList>
        <item>护区</item>
      </candidateList>
      <explain/>
      <paraID>3222AED1</paraID>
      <start>118</start>
      <end>120</end>
      <status>modified</status>
      <modifiedWord>护区</modifiedWord>
      <trackRevisions>false</trackRevisions>
    </reviewItem>
    <reviewItem>
      <errorID>fcb0eb7b-0245-487a-850f-0f708d9167e2</errorID>
      <errorWord>-</errorWord>
      <group>L1_Format</group>
      <groupName>格式问题</groupName>
      <ability>L2_HalfPunc</ability>
      <abilityName>全半角检查</abilityName>
      <candidateList>
        <item>－</item>
      </candidateList>
      <explain>文本全半角错误。</explain>
      <paraID>3222AED1</paraID>
      <start>194</start>
      <end>195</end>
      <status>unmodified</status>
      <modifiedWord/>
      <trackRevisions>false</trackRevisions>
    </reviewItem>
    <reviewItem>
      <errorID>6dd2b31c-acb3-451b-85e3-d1129f7b83da</errorID>
      <errorWord>，…，</errorWord>
      <group>L1_Punc</group>
      <groupName>标点问题</groupName>
      <ability>L2_Punc</ability>
      <abilityName>标点符号检查</abilityName>
      <candidateList>
        <item>，</item>
      </candidateList>
      <explain/>
      <paraID>323AEB07</paraID>
      <start>8</start>
      <end>11</end>
      <status>unmodified</status>
      <modifiedWord/>
      <trackRevisions>false</trackRevisions>
    </reviewItem>
    <reviewItem>
      <errorID>2a251389-669d-4fef-87fb-f446710354c2</errorID>
      <errorWord>，…，</errorWord>
      <group>L1_Punc</group>
      <groupName>标点问题</groupName>
      <ability>L2_Punc</ability>
      <abilityName>标点符号检查</abilityName>
      <candidateList>
        <item>，</item>
      </candidateList>
      <explain/>
      <paraID>29B69D7F</paraID>
      <start>5</start>
      <end>8</end>
      <status>unmodified</status>
      <modifiedWord/>
      <trackRevisions>false</trackRevisions>
    </reviewItem>
    <reviewItem>
      <errorID>a202f9e1-1d44-42ac-8d5e-701c936406a0</errorID>
      <errorWord>（</errorWord>
      <group>L1_Punc</group>
      <groupName>标点问题</groupName>
      <ability>L2_Punc</ability>
      <abilityName>标点符号检查</abilityName>
      <candidateList/>
      <explain>同一形式括号套用。</explain>
      <paraID>1CC5746A</paraID>
      <start>142</start>
      <end>143</end>
      <status>unmodified</status>
      <modifiedWord/>
      <trackRevisions>false</trackRevisions>
    </reviewItem>
    <reviewItem>
      <errorID>ab661618-545a-4d4e-9a1e-bfaebccde4c8</errorID>
      <errorWord>）</errorWord>
      <group>L1_Punc</group>
      <groupName>标点问题</groupName>
      <ability>L2_Punc</ability>
      <abilityName>标点符号检查</abilityName>
      <candidateList/>
      <explain>同一形式括号套用。</explain>
      <paraID>1CC5746A</paraID>
      <start>158</start>
      <end>159</end>
      <status>unmodified</status>
      <modifiedWord/>
      <trackRevisions>false</trackRevisions>
    </reviewItem>
    <reviewItem>
      <errorID>c92440c4-e933-445f-8e18-7e8c1aef6a90</errorID>
      <errorWord>&lt;</errorWord>
      <group>L1_Format</group>
      <groupName>格式问题</groupName>
      <ability>L2_HalfPunc</ability>
      <abilityName>全半角检查</abilityName>
      <candidateList>
        <item>〈</item>
      </candidateList>
      <explain>文本全半角错误。</explain>
      <paraID>30D92730</paraID>
      <start>17</start>
      <end>18</end>
      <status>unmodified</status>
      <modifiedWord/>
      <trackRevisions>false</trackRevisions>
    </reviewItem>
    <reviewItem>
      <errorID>5ed641ea-0bd1-40ed-9fee-9dece68c804f</errorID>
      <errorWord>?&gt;</errorWord>
      <group>L1_Punc</group>
      <groupName>标点问题</groupName>
      <ability>L2_Punc</ability>
      <abilityName>标点符号检查</abilityName>
      <candidateList>
        <item>?</item>
      </candidateList>
      <explain/>
      <paraID>30D92730</paraID>
      <start>53</start>
      <end>55</end>
      <status>unmodified</status>
      <modifiedWord/>
      <trackRevisions>false</trackRevisions>
    </reviewItem>
    <reviewItem>
      <errorID>d1182a9d-5720-4e4f-a366-db6d52da1df8</errorID>
      <errorWord>“。</errorWord>
      <group>L1_Punc</group>
      <groupName>标点问题</groupName>
      <ability>L2_Punc</ability>
      <abilityName>标点符号检查</abilityName>
      <candidateList>
        <item>“</item>
      </candidateList>
      <explain/>
      <paraID>30D92730</paraID>
      <start>60</start>
      <end>62</end>
      <status>unmodified</status>
      <modifiedWord/>
      <trackRevisions>false</trackRevisions>
    </reviewItem>
    <reviewItem>
      <errorID>c8eb7bbb-d532-4990-a0a9-1d234e49e2c2</errorID>
      <errorWord>,</errorWord>
      <group>L1_Format</group>
      <groupName>格式问题</groupName>
      <ability>L2_HalfPunc</ability>
      <abilityName>全半角检查</abilityName>
      <candidateList>
        <item>，</item>
      </candidateList>
      <explain>文本全半角错误。</explain>
      <paraID>30D92730</paraID>
      <start>100</start>
      <end>101</end>
      <status>unmodified</status>
      <modifiedWord/>
      <trackRevisions>false</trackRevisions>
    </reviewItem>
    <reviewItem>
      <errorID>fd2351e3-442a-4942-95b5-be37c00dcd8a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65B07713</paraID>
      <start>0</start>
      <end>2</end>
      <status>unmodified</status>
      <modifiedWord/>
      <trackRevisions>false</trackRevisions>
    </reviewItem>
    <reviewItem>
      <errorID>e4697cb2-8757-4638-bffc-0d26d9c323de</errorID>
      <errorWord>-</errorWord>
      <group>L1_Format</group>
      <groupName>格式问题</groupName>
      <ability>L2_HalfPunc</ability>
      <abilityName>全半角检查</abilityName>
      <candidateList>
        <item>－</item>
      </candidateList>
      <explain>文本全半角错误。</explain>
      <paraID>4B71C3AB</paraID>
      <start>3</start>
      <end>4</end>
      <status>unmodified</status>
      <modifiedWord/>
      <trackRevisions>false</trackRevisions>
    </reviewItem>
    <reviewItem>
      <errorID>25a5bded-ac09-40d1-86a7-a2d76b2ef2dc</errorID>
      <errorWord>作</errorWord>
      <group>L1_Word</group>
      <groupName>字词问题</groupName>
      <ability>L2_Typo</ability>
      <abilityName>字词错误</abilityName>
      <candidateList>
        <item>做</item>
      </candidateList>
      <explain>存在发音相同字词的误用。</explain>
      <paraID>48D389DD</paraID>
      <start>29</start>
      <end>30</end>
      <status>unmodified</status>
      <modifiedWord/>
      <trackRevisions>false</trackRevisions>
    </reviewItem>
    <reviewItem>
      <errorID>121199ca-cca4-47d0-8110-74d35348faa3</errorID>
      <errorWord>作</errorWord>
      <group>L1_Word</group>
      <groupName>字词问题</groupName>
      <ability>L2_Typo</ability>
      <abilityName>字词错误</abilityName>
      <candidateList>
        <item>做</item>
      </candidateList>
      <explain>存在发音相同字词的误用。</explain>
      <paraID>20956005</paraID>
      <start>42</start>
      <end>43</end>
      <status>unmodified</status>
      <modifiedWord/>
      <trackRevisions>false</trackRevisions>
    </reviewItem>
    <reviewItem>
      <errorID>40c5944f-0742-4ba1-ab13-06c3554bc762</errorID>
      <errorWord>《</errorWord>
      <group>L1_Punc</group>
      <groupName>标点问题</groupName>
      <ability>L2_Punc</ability>
      <abilityName>标点符号检查</abilityName>
      <candidateList/>
      <explain>同一形式括号套用。</explain>
      <paraID>3EBF823F</paraID>
      <start>38</start>
      <end>39</end>
      <status>unmodified</status>
      <modifiedWord/>
      <trackRevisions>false</trackRevisions>
    </reviewItem>
    <reviewItem>
      <errorID>bcc3195d-c918-4f2c-862b-0080a7b466f3</errorID>
      <errorWord>(</errorWord>
      <group>L1_Format</group>
      <groupName>格式问题</groupName>
      <ability>L2_HalfPunc</ability>
      <abilityName>全半角检查</abilityName>
      <candidateList>
        <item>（</item>
      </candidateList>
      <explain>文本全半角错误。</explain>
      <paraID>3EBF823F</paraID>
      <start>74</start>
      <end>75</end>
      <status>unmodified</status>
      <modifiedWord/>
      <trackRevisions>false</trackRevisions>
    </reviewItem>
    <reviewItem>
      <errorID>4669bd0c-ea96-4c16-b121-ec952d26fccf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3EBF823F</paraID>
      <start>79</start>
      <end>80</end>
      <status>unmodified</status>
      <modifiedWord/>
      <trackRevisions>false</trackRevisions>
    </reviewItem>
    <reviewItem>
      <errorID>d53473ca-3f3c-47fd-ad3e-4e5278695b7b</errorID>
      <errorWord>)</errorWord>
      <group>L1_Format</group>
      <groupName>格式问题</groupName>
      <ability>L2_HalfPunc</ability>
      <abilityName>全半角检查</abilityName>
      <candidateList>
        <item>）</item>
      </candidateList>
      <explain>文本全半角错误。</explain>
      <paraID>3EBF823F</paraID>
      <start>85</start>
      <end>86</end>
      <status>unmodified</status>
      <modifiedWord/>
      <trackRevisions>false</trackRevisions>
    </reviewItem>
    <reviewItem>
      <errorID>c8f08223-ecc8-45fc-8511-abb9388ac8fc</errorID>
      <errorWord>》</errorWord>
      <group>L1_Punc</group>
      <groupName>标点问题</groupName>
      <ability>L2_Punc</ability>
      <abilityName>标点符号检查</abilityName>
      <candidateList/>
      <explain>同一形式括号套用。</explain>
      <paraID>3EBF823F</paraID>
      <start>89</start>
      <end>90</end>
      <status>unmodified</status>
      <modifiedWord/>
      <trackRevisions>false</trackRevisions>
    </reviewItem>
    <reviewItem>
      <errorID>050c1447-9a24-4f6b-82d9-4e5d04c20b66</errorID>
      <errorWord>[2012]359号</errorWord>
      <group>L1_Knowledge</group>
      <groupName>知识性问题</groupName>
      <ability>L2_Knowledge</ability>
      <abilityName>其他知识</abilityName>
      <candidateList>
        <item>〔2012〕359号</item>
      </candidateList>
      <explain>发文字号格式错误</explain>
      <paraID>3EBF823F</paraID>
      <start>98</start>
      <end>108</end>
      <status>unmodified</status>
      <modifiedWord/>
      <trackRevisions>false</trackRevisions>
    </reviewItem>
    <reviewItem>
      <errorID>75816220-cee1-41ea-be02-33c7c0071988</errorID>
      <errorWord>[2021]3号</errorWord>
      <group>L1_Knowledge</group>
      <groupName>知识性问题</groupName>
      <ability>L2_Knowledge</ability>
      <abilityName>其他知识</abilityName>
      <candidateList>
        <item>〔2021〕3号</item>
      </candidateList>
      <explain>发文字号格式错误</explain>
      <paraID>1465A0E8</paraID>
      <start>38</start>
      <end>46</end>
      <status>unmodified</status>
      <modifiedWord/>
      <trackRevisions>false</trackRevisions>
    </reviewItem>
    <reviewItem>
      <errorID>c8972979-eb9e-4e52-95d1-649d0c33464c</errorID>
      <errorWord>民民</errorWord>
      <group>L1_Word</group>
      <groupName>字词问题</groupName>
      <ability>L2_Typo</ability>
      <abilityName>字词错误</abilityName>
      <candidateList>
        <item>民</item>
      </candidateList>
      <explain/>
      <paraID>7D5BAE72</paraID>
      <start>6</start>
      <end>8</end>
      <status>unmodified</status>
      <modifiedWord/>
      <trackRevisions>false</trackRevisions>
    </reviewItem>
    <reviewItem>
      <errorID>e50ca20c-3467-437d-9759-52a439eaa2c7</errorID>
      <errorWord>截止到</errorWord>
      <group>L1_Word</group>
      <groupName>字词问题</groupName>
      <ability>L2_Typo</ability>
      <abilityName>字词错误</abilityName>
      <candidateList>
        <item>截止</item>
      </candidateList>
      <explain>〈动〉（到一定期限）停止：报名在昨天已经～。</explain>
      <paraID>4C45AC24</paraID>
      <start>113</start>
      <end>116</end>
      <status>unmodified</status>
      <modifiedWord/>
      <trackRevisions>false</trackRevisions>
    </reviewItem>
    <reviewItem>
      <errorID>7d3111fe-ad16-4949-b4fd-bacd6a9432e1</errorID>
      <errorWord>[1996]9号</errorWord>
      <group>L1_Knowledge</group>
      <groupName>知识性问题</groupName>
      <ability>L2_Knowledge</ability>
      <abilityName>其他知识</abilityName>
      <candidateList>
        <item>〔1996〕9号</item>
      </candidateList>
      <explain>发文字号格式错误</explain>
      <paraID> 65A260D</paraID>
      <start>4</start>
      <end>12</end>
      <status>unmodified</status>
      <modifiedWord/>
      <trackRevisions>false</trackRevisions>
    </reviewItem>
    <reviewItem>
      <errorID>4d640a68-962a-420f-a674-a3913973c04b</errorID>
      <errorWord>[2004]47号</errorWord>
      <group>L1_Knowledge</group>
      <groupName>知识性问题</groupName>
      <ability>L2_Knowledge</ability>
      <abilityName>其他知识</abilityName>
      <candidateList>
        <item>〔2004〕47号</item>
      </candidateList>
      <explain>发文字号格式错误</explain>
      <paraID>438AB65D</paraID>
      <start>3</start>
      <end>12</end>
      <status>unmodified</status>
      <modifiedWord/>
      <trackRevisions>false</trackRevisions>
    </reviewItem>
    <reviewItem>
      <errorID>e16c0555-7989-469f-98f8-ee30b6613003</errorID>
      <errorWord>[1996]266号</errorWord>
      <group>L1_Knowledge</group>
      <groupName>知识性问题</groupName>
      <ability>L2_Knowledge</ability>
      <abilityName>其他知识</abilityName>
      <candidateList>
        <item>〔1996〕266号</item>
      </candidateList>
      <explain>发文字号格式错误</explain>
      <paraID> 54D217A</paraID>
      <start>2</start>
      <end>12</end>
      <status>unmodified</status>
      <modifiedWord/>
      <trackRevisions>false</trackRevisions>
    </reviewItem>
    <reviewItem>
      <errorID>46e4a9e9-b9ac-402c-8f98-29ee5c15b7ab</errorID>
      <errorWord>[2003]第063号</errorWord>
      <group>L1_Knowledge</group>
      <groupName>知识性问题</groupName>
      <ability>L2_Knowledge</ability>
      <abilityName>其他知识</abilityName>
      <candidateList>
        <item>〔2003〕63号</item>
      </candidateList>
      <explain>发文字号格式错误</explain>
      <paraID> 1583B9A</paraID>
      <start>5</start>
      <end>16</end>
      <status>unmodified</status>
      <modifiedWord/>
      <trackRevisions>false</trackRevisions>
    </reviewItem>
    <reviewItem>
      <errorID>1963c347-b10b-453a-8047-2fd29f1dfa29</errorID>
      <errorWord>[2004]33号</errorWord>
      <group>L1_Knowledge</group>
      <groupName>知识性问题</groupName>
      <ability>L2_Knowledge</ability>
      <abilityName>其他知识</abilityName>
      <candidateList>
        <item>〔2004〕33号</item>
      </candidateList>
      <explain>发文字号格式错误</explain>
      <paraID>22305FE8</paraID>
      <start>0</start>
      <end>9</end>
      <status>unmodified</status>
      <modifiedWord/>
      <trackRevisions>false</trackRevisions>
    </reviewItem>
    <reviewItem>
      <errorID>86c67496-241b-43de-876c-cf416b599dc8</errorID>
      <errorWord>[2006]第26号</errorWord>
      <group>L1_Knowledge</group>
      <groupName>知识性问题</groupName>
      <ability>L2_Knowledge</ability>
      <abilityName>其他知识</abilityName>
      <candidateList>
        <item>〔2006〕26号</item>
      </candidateList>
      <explain>发文字号格式错误</explain>
      <paraID>57D1C59E</paraID>
      <start>3</start>
      <end>13</end>
      <status>unmodified</status>
      <modifiedWord/>
      <trackRevisions>false</trackRevisions>
    </reviewItem>
    <reviewItem>
      <errorID>82cd35c8-091d-41ba-8907-81c7a1ccaae9</errorID>
      <errorWord>[2004]34号</errorWord>
      <group>L1_Knowledge</group>
      <groupName>知识性问题</groupName>
      <ability>L2_Knowledge</ability>
      <abilityName>其他知识</abilityName>
      <candidateList>
        <item>〔2004〕34号</item>
      </candidateList>
      <explain>发文字号格式错误</explain>
      <paraID>6963B690</paraID>
      <start>0</start>
      <end>9</end>
      <status>unmodified</status>
      <modifiedWord/>
      <trackRevisions>false</trackRevisions>
    </reviewItem>
    <reviewItem>
      <errorID>8f5877a5-af6a-490e-9b4f-0819869ca642</errorID>
      <errorWord>[2006]第30号</errorWord>
      <group>L1_Knowledge</group>
      <groupName>知识性问题</groupName>
      <ability>L2_Knowledge</ability>
      <abilityName>其他知识</abilityName>
      <candidateList>
        <item>〔2006〕30号</item>
      </candidateList>
      <explain>发文字号格式错误</explain>
      <paraID>2843D94C</paraID>
      <start>3</start>
      <end>13</end>
      <status>unmodified</status>
      <modifiedWord/>
      <trackRevisions>false</trackRevisions>
    </reviewItem>
    <reviewItem>
      <errorID>9850a9bf-d9d4-471d-9ecc-f95957b0d64d</errorID>
      <errorWord>[2007]131号</errorWord>
      <group>L1_Knowledge</group>
      <groupName>知识性问题</groupName>
      <ability>L2_Knowledge</ability>
      <abilityName>其他知识</abilityName>
      <candidateList>
        <item>〔2007〕131号</item>
      </candidateList>
      <explain>发文字号格式错误</explain>
      <paraID>3ED55D7F</paraID>
      <start>0</start>
      <end>10</end>
      <status>unmodified</status>
      <modifiedWord/>
      <trackRevisions>false</trackRevisions>
    </reviewItem>
    <reviewItem>
      <errorID>c4f722e6-9fb1-47d5-ac98-eb8cf1a9fc00</errorID>
      <errorWord>[2008]53号</errorWord>
      <group>L1_Knowledge</group>
      <groupName>知识性问题</groupName>
      <ability>L2_Knowledge</ability>
      <abilityName>其他知识</abilityName>
      <candidateList>
        <item>〔2008〕53号</item>
      </candidateList>
      <explain>发文字号格式错误</explain>
      <paraID>7761B2FD</paraID>
      <start>3</start>
      <end>12</end>
      <status>unmodified</status>
      <modifiedWord/>
      <trackRevisions>false</trackRevisions>
    </reviewItem>
    <reviewItem>
      <errorID>23ed4bf2-f03a-4a75-ae1f-9da3f9ffdbb7</errorID>
      <errorWord>[2008]05号</errorWord>
      <group>L1_Knowledge</group>
      <groupName>知识性问题</groupName>
      <ability>L2_Knowledge</ability>
      <abilityName>其他知识</abilityName>
      <candidateList>
        <item>〔2008〕5号</item>
      </candidateList>
      <explain>发文字号格式错误</explain>
      <paraID>712AD270</paraID>
      <start>0</start>
      <end>9</end>
      <status>unmodified</status>
      <modifiedWord/>
      <trackRevisions>false</trackRevisions>
    </reviewItem>
    <reviewItem>
      <errorID>5658c71b-9d09-4ece-8f10-5070171496ac</errorID>
      <errorWord>[2012]134号</errorWord>
      <group>L1_Knowledge</group>
      <groupName>知识性问题</groupName>
      <ability>L2_Knowledge</ability>
      <abilityName>其他知识</abilityName>
      <candidateList>
        <item>〔2012〕134号</item>
      </candidateList>
      <explain>发文字号格式错误</explain>
      <paraID>67899D70</paraID>
      <start>3</start>
      <end>13</end>
      <status>unmodified</status>
      <modifiedWord/>
      <trackRevisions>false</trackRevisions>
    </reviewItem>
    <reviewItem>
      <errorID>dbdc2418-2f18-4b19-b80b-3552ee8ffe0a</errorID>
      <errorWord>[2008]53号</errorWord>
      <group>L1_Knowledge</group>
      <groupName>知识性问题</groupName>
      <ability>L2_Knowledge</ability>
      <abilityName>其他知识</abilityName>
      <candidateList>
        <item>〔2008〕53号</item>
      </candidateList>
      <explain>发文字号格式错误</explain>
      <paraID>30884137</paraID>
      <start>0</start>
      <end>9</end>
      <status>unmodified</status>
      <modifiedWord/>
      <trackRevisions>false</trackRevisions>
    </reviewItem>
    <reviewItem>
      <errorID>02a3f78c-dcf4-49c1-b5d8-8639bbda9ad4</errorID>
      <errorWord>[2012]133号</errorWord>
      <group>L1_Knowledge</group>
      <groupName>知识性问题</groupName>
      <ability>L2_Knowledge</ability>
      <abilityName>其他知识</abilityName>
      <candidateList>
        <item>〔2012〕133号</item>
      </candidateList>
      <explain>发文字号格式错误</explain>
      <paraID>30AAD4DF</paraID>
      <start>3</start>
      <end>13</end>
      <status>unmodified</status>
      <modifiedWord/>
      <trackRevisions>false</trackRevisions>
    </reviewItem>
    <reviewItem>
      <errorID>ed55ce70-302e-4c48-bb5b-81b1cbab203b</errorID>
      <errorWord>[2016]43号</errorWord>
      <group>L1_Knowledge</group>
      <groupName>知识性问题</groupName>
      <ability>L2_Knowledge</ability>
      <abilityName>其他知识</abilityName>
      <candidateList>
        <item>〔2016〕43号</item>
      </candidateList>
      <explain>发文字号格式错误</explain>
      <paraID>48B9264D</paraID>
      <start>5</start>
      <end>14</end>
      <status>unmodified</status>
      <modifiedWord/>
      <trackRevisions>false</trackRevisions>
    </reviewItem>
    <reviewItem>
      <errorID>9115c45f-0ae9-4967-9d46-e43f182cb15c</errorID>
      <errorWord>[2016]48号</errorWord>
      <group>L1_Knowledge</group>
      <groupName>知识性问题</groupName>
      <ability>L2_Knowledge</ability>
      <abilityName>其他知识</abilityName>
      <candidateList>
        <item>〔2016〕48号</item>
      </candidateList>
      <explain>发文字号格式错误</explain>
      <paraID>18260E32</paraID>
      <start>5</start>
      <end>14</end>
      <status>unmodified</status>
      <modifiedWord/>
      <trackRevisions>false</trackRevisions>
    </reviewItem>
    <reviewItem>
      <errorID>d679f6a5-8824-4c81-b51e-085ea8393366</errorID>
      <errorWord>[2016]45号</errorWord>
      <group>L1_Knowledge</group>
      <groupName>知识性问题</groupName>
      <ability>L2_Knowledge</ability>
      <abilityName>其他知识</abilityName>
      <candidateList>
        <item>〔2016〕45号</item>
      </candidateList>
      <explain>发文字号格式错误</explain>
      <paraID>69D63627</paraID>
      <start>5</start>
      <end>14</end>
      <status>unmodified</status>
      <modifiedWord/>
      <trackRevisions>false</trackRevisions>
    </reviewItem>
    <reviewItem>
      <errorID>0f872b15-e2e3-4f2d-8f81-1114259215c5</errorID>
      <errorWord>[2017]14号</errorWord>
      <group>L1_Knowledge</group>
      <groupName>知识性问题</groupName>
      <ability>L2_Knowledge</ability>
      <abilityName>其他知识</abilityName>
      <candidateList>
        <item>〔2017〕14号</item>
      </candidateList>
      <explain>发文字号格式错误</explain>
      <paraID>77C37850</paraID>
      <start>5</start>
      <end>14</end>
      <status>unmodified</status>
      <modifiedWord/>
      <trackRevisions>false</trackRevisions>
    </reviewItem>
    <reviewItem>
      <errorID>a087162f-1e33-4a0b-b5df-86b59e44bd44</errorID>
      <errorWord>[2016]72号</errorWord>
      <group>L1_Knowledge</group>
      <groupName>知识性问题</groupName>
      <ability>L2_Knowledge</ability>
      <abilityName>其他知识</abilityName>
      <candidateList>
        <item>〔2016〕72号</item>
      </candidateList>
      <explain>发文字号格式错误</explain>
      <paraID>41648149</paraID>
      <start>5</start>
      <end>14</end>
      <status>unmodified</status>
      <modifiedWord/>
      <trackRevisions>false</trackRevisions>
    </reviewItem>
    <reviewItem>
      <errorID>07fc08dc-835f-4c2c-a0b7-75a5b4d27fe9</errorID>
      <errorWord>[2017]16号</errorWord>
      <group>L1_Knowledge</group>
      <groupName>知识性问题</groupName>
      <ability>L2_Knowledge</ability>
      <abilityName>其他知识</abilityName>
      <candidateList>
        <item>〔2017〕16号</item>
      </candidateList>
      <explain>发文字号格式错误</explain>
      <paraID> 20DCCD4</paraID>
      <start>5</start>
      <end>14</end>
      <status>unmodified</status>
      <modifiedWord/>
      <trackRevisions>false</trackRevisions>
    </reviewItem>
    <reviewItem>
      <errorID>a2785bd4-578a-4c7e-ac5e-ea785f80d004</errorID>
      <errorWord>[2017]36号</errorWord>
      <group>L1_Knowledge</group>
      <groupName>知识性问题</groupName>
      <ability>L2_Knowledge</ability>
      <abilityName>其他知识</abilityName>
      <candidateList>
        <item>〔2017〕36号</item>
      </candidateList>
      <explain>发文字号格式错误</explain>
      <paraID> 4564165</paraID>
      <start>5</start>
      <end>14</end>
      <status>unmodified</status>
      <modifiedWord/>
      <trackRevisions>false</trackRevisions>
    </reviewItem>
    <reviewItem>
      <errorID>5d51453f-d2cb-4c52-b222-5439f8e4dcad</errorID>
      <errorWord>[2018]14号</errorWord>
      <group>L1_Knowledge</group>
      <groupName>知识性问题</groupName>
      <ability>L2_Knowledge</ability>
      <abilityName>其他知识</abilityName>
      <candidateList>
        <item>〔2018〕14号</item>
      </candidateList>
      <explain>发文字号格式错误</explain>
      <paraID>2CAC89D4</paraID>
      <start>5</start>
      <end>14</end>
      <status>unmodified</status>
      <modifiedWord/>
      <trackRevisions>false</trackRevisions>
    </reviewItem>
    <reviewItem>
      <errorID>48eba1e2-849d-4732-a8f0-a9674ec79c37</errorID>
      <errorWord>[2018]23号</errorWord>
      <group>L1_Knowledge</group>
      <groupName>知识性问题</groupName>
      <ability>L2_Knowledge</ability>
      <abilityName>其他知识</abilityName>
      <candidateList>
        <item>〔2018〕23号</item>
      </candidateList>
      <explain>发文字号格式错误</explain>
      <paraID> C77AECE</paraID>
      <start>5</start>
      <end>14</end>
      <status>unmodified</status>
      <modifiedWord/>
      <trackRevisions>false</trackRevisions>
    </reviewItem>
    <reviewItem>
      <errorID>67e9a59d-2c41-483f-86f6-21147ccd4d57</errorID>
      <errorWord>[2019]20号</errorWord>
      <group>L1_Knowledge</group>
      <groupName>知识性问题</groupName>
      <ability>L2_Knowledge</ability>
      <abilityName>其他知识</abilityName>
      <candidateList>
        <item>〔2019〕20号</item>
      </candidateList>
      <explain>发文字号格式错误</explain>
      <paraID>2202AB09</paraID>
      <start>5</start>
      <end>14</end>
      <status>unmodified</status>
      <modifiedWord/>
      <trackRevisions>false</trackRevisions>
    </reviewItem>
    <reviewItem>
      <errorID>64f02966-fbbb-4c04-94a9-06994e0b30ad</errorID>
      <errorWord>[2018]23号</errorWord>
      <group>L1_Knowledge</group>
      <groupName>知识性问题</groupName>
      <ability>L2_Knowledge</ability>
      <abilityName>其他知识</abilityName>
      <candidateList>
        <item>〔2018〕23号</item>
      </candidateList>
      <explain>发文字号格式错误</explain>
      <paraID>3A47CFD7</paraID>
      <start>0</start>
      <end>9</end>
      <status>unmodified</status>
      <modifiedWord/>
      <trackRevisions>false</trackRevisions>
    </reviewItem>
    <reviewItem>
      <errorID>3ed2dd65-c0b2-46ed-9a01-fb0e97ffca75</errorID>
      <errorWord>[2018]33号</errorWord>
      <group>L1_Knowledge</group>
      <groupName>知识性问题</groupName>
      <ability>L2_Knowledge</ability>
      <abilityName>其他知识</abilityName>
      <candidateList>
        <item>〔2018〕33号</item>
      </candidateList>
      <explain>发文字号格式错误</explain>
      <paraID>6561B714</paraID>
      <start>5</start>
      <end>14</end>
      <status>unmodified</status>
      <modifiedWord/>
      <trackRevisions>false</trackRevisions>
    </reviewItem>
    <reviewItem>
      <errorID>9fc3fa8b-eeec-4f9f-9d9b-023ae672bb94</errorID>
      <errorWord>[2018]38号</errorWord>
      <group>L1_Knowledge</group>
      <groupName>知识性问题</groupName>
      <ability>L2_Knowledge</ability>
      <abilityName>其他知识</abilityName>
      <candidateList>
        <item>〔2018〕38号</item>
      </candidateList>
      <explain>发文字号格式错误</explain>
      <paraID>7B2B6E10</paraID>
      <start>5</start>
      <end>14</end>
      <status>unmodified</status>
      <modifiedWord/>
      <trackRevisions>false</trackRevisions>
    </reviewItem>
    <reviewItem>
      <errorID>c58ca160-72fc-47a0-b511-a6ee6a91714e</errorID>
      <errorWord>[2019]2号</errorWord>
      <group>L1_Knowledge</group>
      <groupName>知识性问题</groupName>
      <ability>L2_Knowledge</ability>
      <abilityName>其他知识</abilityName>
      <candidateList>
        <item>〔2019〕2号</item>
      </candidateList>
      <explain>发文字号格式错误</explain>
      <paraID>44306A22</paraID>
      <start>5</start>
      <end>13</end>
      <status>unmodified</status>
      <modifiedWord/>
      <trackRevisions>false</trackRevisions>
    </reviewItem>
    <reviewItem>
      <errorID>ca9ea56e-c84e-410c-8b95-e12ebf92bee1</errorID>
      <errorWord>[2022]44号</errorWord>
      <group>L1_Knowledge</group>
      <groupName>知识性问题</groupName>
      <ability>L2_Knowledge</ability>
      <abilityName>其他知识</abilityName>
      <candidateList>
        <item>〔2022〕44号</item>
      </candidateList>
      <explain>发文字号格式错误</explain>
      <paraID> AD271E5</paraID>
      <start>5</start>
      <end>14</end>
      <status>unmodified</status>
      <modifiedWord/>
      <trackRevisions>false</trackRevisions>
    </reviewItem>
    <reviewItem>
      <errorID>30ddcbc9-ce04-4d95-b4cc-0d14e950dfff</errorID>
      <errorWord>[2023]1号</errorWord>
      <group>L1_Knowledge</group>
      <groupName>知识性问题</groupName>
      <ability>L2_Knowledge</ability>
      <abilityName>其他知识</abilityName>
      <candidateList>
        <item>〔2023〕1号</item>
      </candidateList>
      <explain>发文字号格式错误</explain>
      <paraID>294D282B</paraID>
      <start>0</start>
      <end>8</end>
      <status>unmodified</status>
      <modifiedWord/>
      <trackRevisions>false</trackRevisions>
    </reviewItem>
    <reviewItem>
      <errorID>35a122a0-0aef-4aec-8a9e-2efca305579d</errorID>
      <errorWord>[2023]35号</errorWord>
      <group>L1_Knowledge</group>
      <groupName>知识性问题</groupName>
      <ability>L2_Knowledge</ability>
      <abilityName>其他知识</abilityName>
      <candidateList>
        <item>〔2023〕35号</item>
      </candidateList>
      <explain>发文字号格式错误</explain>
      <paraID>333AE9C4</paraID>
      <start>5</start>
      <end>14</end>
      <status>unmodified</status>
      <modifiedWord/>
      <trackRevisions>false</trackRevisions>
    </reviewItem>
    <reviewItem>
      <errorID>b3431211-4f91-4101-a743-b8a7174fbd42</errorID>
      <errorWord>-</errorWord>
      <group>L1_Format</group>
      <groupName>格式问题</groupName>
      <ability>L2_HalfPunc</ability>
      <abilityName>全半角检查</abilityName>
      <candidateList>
        <item>－</item>
      </candidateList>
      <explain>文本全半角错误。</explain>
      <paraID>6EA2C55E</paraID>
      <start>7</start>
      <end>8</end>
      <status>unmodified</status>
      <modifiedWord/>
      <trackRevisions>false</trackRevisions>
    </reviewItem>
    <reviewItem>
      <errorID>f725c0c6-ef05-41a0-a594-bc86319805e9</errorID>
      <errorWord>[2025]10号</errorWord>
      <group>L1_Knowledge</group>
      <groupName>知识性问题</groupName>
      <ability>L2_Knowledge</ability>
      <abilityName>其他知识</abilityName>
      <candidateList>
        <item>〔2025〕10号</item>
      </candidateList>
      <explain>发文字号格式错误</explain>
      <paraID> 4E3A156</paraID>
      <start>5</start>
      <end>14</end>
      <status>unmodified</status>
      <modifiedWord/>
      <trackRevisions>false</trackRevisions>
    </reviewItem>
    <reviewItem>
      <errorID>7b316945-2676-443b-a979-1ff3d7af9cf1</errorID>
      <errorWord>排序</errorWord>
      <group>L1_Word</group>
      <groupName>字词问题</groupName>
      <ability>L2_Typo</ability>
      <abilityName>字词错误</abilityName>
      <candidateList>
        <item>排污</item>
      </candidateList>
      <explain/>
      <paraID>49815E16</paraID>
      <start>54</start>
      <end>56</end>
      <status>modified</status>
      <modifiedWord>排污</modifiedWord>
      <trackRevisions>false</trackRevisions>
    </reviewItem>
    <reviewItem>
      <errorID>7cc8a52c-28f7-43d4-8dab-f83bfeeb7c8c</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7E974695</paraID>
      <start>60</start>
      <end>64</end>
      <status>modified</status>
      <modifiedWord>管理台账</modifiedWord>
      <trackRevisions>false</trackRevisions>
    </reviewItem>
    <reviewItem>
      <errorID>f6f88c02-f683-44cf-8105-d0a7a33dec77</errorID>
      <errorWord>（</errorWord>
      <group>L1_Punc</group>
      <groupName>标点问题</groupName>
      <ability>L2_Punc</ability>
      <abilityName>标点符号检查</abilityName>
      <candidateList/>
      <explain>同一形式括号套用。</explain>
      <paraID>26709620</paraID>
      <start>47</start>
      <end>48</end>
      <status>unmodified</status>
      <modifiedWord/>
      <trackRevisions>false</trackRevisions>
    </reviewItem>
    <reviewItem>
      <errorID>a074a6a0-0600-42e3-a674-82fc561b36e9</errorID>
      <errorWord>）</errorWord>
      <group>L1_Punc</group>
      <groupName>标点问题</groupName>
      <ability>L2_Punc</ability>
      <abilityName>标点符号检查</abilityName>
      <candidateList/>
      <explain>同一形式括号套用。</explain>
      <paraID>26709620</paraID>
      <start>52</start>
      <end>53</end>
      <status>unmodified</status>
      <modifiedWord/>
      <trackRevisions>false</trackRevisions>
    </reviewItem>
    <reviewItem>
      <errorID>02ae6cc8-f0ca-47c3-a1bd-265a83ef3535</errorID>
      <errorWord>黏土</errorWord>
      <group>L1_Word</group>
      <groupName>字词问题</groupName>
      <ability>L2_Typo</ability>
      <abilityName>字词错误</abilityName>
      <candidateList>
        <item>粘土</item>
      </candidateList>
      <explain/>
      <paraID>2EE05632</paraID>
      <start>81</start>
      <end>83</end>
      <status>unmodified</status>
      <modifiedWord/>
      <trackRevisions>false</trackRevisions>
    </reviewItem>
    <reviewItem>
      <errorID>92e990cb-52d7-4bc5-a769-81fab1e91d98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2EE05632</paraID>
      <start>108</start>
      <end>109</end>
      <status>unmodified</status>
      <modifiedWord/>
      <trackRevisions>false</trackRevisions>
    </reviewItem>
    <reviewItem>
      <errorID>f9109675-f5d7-4c58-b818-e223b7518d17</errorID>
      <errorWord>黏土</errorWord>
      <group>L1_Word</group>
      <groupName>字词问题</groupName>
      <ability>L2_Typo</ability>
      <abilityName>字词错误</abilityName>
      <candidateList>
        <item>粘土</item>
      </candidateList>
      <explain/>
      <paraID>2EE05632</paraID>
      <start>166</start>
      <end>168</end>
      <status>unmodified</status>
      <modifiedWord/>
      <trackRevisions>false</trackRevisions>
    </reviewItem>
    <reviewItem>
      <errorID>05e2e490-2639-40d8-8a1d-8c4074f56f14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2EE05632</paraID>
      <start>188</start>
      <end>189</end>
      <status>unmodified</status>
      <modifiedWord/>
      <trackRevisions>false</trackRevisions>
    </reviewItem>
    <reviewItem>
      <errorID>9ec55fed-628c-442d-b22f-e613d6c30afd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2EE05632</paraID>
      <start>254</start>
      <end>255</end>
      <status>unmodified</status>
      <modifiedWord/>
      <trackRevisions>false</trackRevisions>
    </reviewItem>
    <reviewItem>
      <errorID>3af01f6d-f4f6-4f96-b2b9-9a8e22eaf9e2</errorID>
      <errorWord>黏土</errorWord>
      <group>L1_Word</group>
      <groupName>字词问题</groupName>
      <ability>L2_Typo</ability>
      <abilityName>字词错误</abilityName>
      <candidateList>
        <item>粘土</item>
      </candidateList>
      <explain>存在发音相同字词的误用。</explain>
      <paraID>2EE05632</paraID>
      <start>305</start>
      <end>307</end>
      <status>unmodified</status>
      <modifiedWord/>
      <trackRevisions>false</trackRevisions>
    </reviewItem>
    <reviewItem>
      <errorID>7a190651-3a61-43b9-b77e-551c80108cbe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2EE05632</paraID>
      <start>332</start>
      <end>333</end>
      <status>unmodified</status>
      <modifiedWord/>
      <trackRevisions>false</trackRevisions>
    </reviewItem>
    <reviewItem>
      <errorID>c1da56c6-73e3-4ef4-be01-39078f5b200c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2EE05632</paraID>
      <start>410</start>
      <end>411</end>
      <status>unmodified</status>
      <modifiedWord/>
      <trackRevisions>false</trackRevisions>
    </reviewItem>
    <reviewItem>
      <errorID>c79ac508-65c7-44e0-80ce-bcea2b931f43</errorID>
      <errorWord>直到</errorWord>
      <group>L1_Word</group>
      <groupName>字词问题</groupName>
      <ability>L2_Typo</ability>
      <abilityName>字词错误</abilityName>
      <candidateList>
        <item>直至</item>
      </candidateList>
      <explain/>
      <paraID>527F67F8</paraID>
      <start>100</start>
      <end>102</end>
      <status>unmodified</status>
      <modifiedWord/>
      <trackRevisions>false</trackRevisions>
    </reviewItem>
    <reviewItem>
      <errorID>e6c8abb1-c4fe-4c21-95f3-41083435d41b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5A0742BE</paraID>
      <start>0</start>
      <end>2</end>
      <status>unmodified</status>
      <modifiedWord/>
      <trackRevisions>false</trackRevisions>
    </reviewItem>
    <reviewItem>
      <errorID>b3ef3286-4f28-42d1-b147-9dab9294c5b4</errorID>
      <errorWord>进</errorWord>
      <group>L1_Word</group>
      <groupName>字词问题</groupName>
      <ability>L2_Typo</ability>
      <abilityName>字词错误</abilityName>
      <candidateList>
        <item>经</item>
      </candidateList>
      <explain>存在发音相近字词的误用。</explain>
      <paraID> DF2DADB</paraID>
      <start>110</start>
      <end>111</end>
      <status>unmodified</status>
      <modifiedWord/>
      <trackRevisions>false</trackRevisions>
    </reviewItem>
    <reviewItem>
      <errorID>37a2f190-1e48-4aed-8d54-fac11eabf27f</errorID>
      <errorWord>呆</errorWord>
      <group>L1_Word</group>
      <groupName>字词问题</groupName>
      <ability>L2_Typo</ability>
      <abilityName>字词错误</abilityName>
      <candidateList>
        <item>带</item>
      </candidateList>
      <explain>存在发音相同字词的误用。</explain>
      <paraID>644DA099</paraID>
      <start>86</start>
      <end>87</end>
      <status>unmodified</status>
      <modifiedWord/>
      <trackRevisions>false</trackRevisions>
    </reviewItem>
    <reviewItem>
      <errorID>a9b5299d-f0ae-4862-9b9e-49c11713461c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73C340E7</paraID>
      <start>0</start>
      <end>2</end>
      <status>unmodified</status>
      <modifiedWord/>
      <trackRevisions>false</trackRevisions>
    </reviewItem>
    <reviewItem>
      <errorID>cb029668-8044-4a46-9da4-b3e3631170a8</errorID>
      <errorWord>实验</errorWord>
      <group>L1_Word</group>
      <groupName>字词问题</groupName>
      <ability>L2_Typo</ability>
      <abilityName>字词错误</abilityName>
      <candidateList>
        <item>试验</item>
      </candidateList>
      <explain/>
      <paraID>694AB546</paraID>
      <start>85</start>
      <end>87</end>
      <status>unmodified</status>
      <modifiedWord/>
      <trackRevisions>false</trackRevisions>
    </reviewItem>
    <reviewItem>
      <errorID>0902d6e5-8269-41c0-8eb5-b4541fc18526</errorID>
      <errorWord>实验</errorWord>
      <group>L1_Word</group>
      <groupName>字词问题</groupName>
      <ability>L2_Typo</ability>
      <abilityName>字词错误</abilityName>
      <candidateList>
        <item>试验</item>
      </candidateList>
      <explain/>
      <paraID>694AB546</paraID>
      <start>180</start>
      <end>182</end>
      <status>unmodified</status>
      <modifiedWord/>
      <trackRevisions>false</trackRevisions>
    </reviewItem>
    <reviewItem>
      <errorID>41331098-0216-41c2-8fcf-5ced7f5afb68</errorID>
      <errorWord>输运</errorWord>
      <group>L1_Word</group>
      <groupName>字词问题</groupName>
      <ability>L2_Typo</ability>
      <abilityName>字词错误</abilityName>
      <candidateList>
        <item>运输</item>
      </candidateList>
      <explain/>
      <paraID>3FA7E88A</paraID>
      <start>254</start>
      <end>256</end>
      <status>unmodified</status>
      <modifiedWord/>
      <trackRevisions>false</trackRevisions>
    </reviewItem>
    <reviewItem>
      <errorID>2934a97d-779f-4c88-9ce3-dea3ed975dea</errorID>
      <errorWord>达</errorWord>
      <group>L1_Word</group>
      <groupName>字词问题</groupName>
      <ability>L2_Typo</ability>
      <abilityName>字词错误</abilityName>
      <candidateList>
        <item>达到</item>
      </candidateList>
      <explain>〈动〉到（多指抽象事物或程度）：达得到｜达不到｜目的没有～｜～国际水平。</explain>
      <paraID> 7994B24</paraID>
      <start>107</start>
      <end>108</end>
      <status>unmodified</status>
      <modifiedWord/>
      <trackRevisions>false</trackRevisions>
    </reviewItem>
    <reviewItem>
      <errorID>f74f213d-dcc4-4c0f-aca8-d48caa8908ee</errorID>
      <errorWord>级级</errorWord>
      <group>L1_Word</group>
      <groupName>字词问题</groupName>
      <ability>L2_Typo</ability>
      <abilityName>字词错误</abilityName>
      <candidateList>
        <item>级</item>
      </candidateList>
      <explain/>
      <paraID> 7994B24</paraID>
      <start>135</start>
      <end>137</end>
      <status>unmodified</status>
      <modifiedWord/>
      <trackRevisions>false</trackRevisions>
    </reviewItem>
    <reviewItem>
      <errorID>dd32667a-cb4e-461c-99d0-f343591584fe</errorID>
      <errorWord>分理处</errorWord>
      <group>L1_Word</group>
      <groupName>字词问题</groupName>
      <ability>L2_Typo</ability>
      <abilityName>字词错误</abilityName>
      <candidateList>
        <item>分理出</item>
      </candidateList>
      <explain/>
      <paraID>2B86FE14</paraID>
      <start>163</start>
      <end>166</end>
      <status>unmodified</status>
      <modifiedWord/>
      <trackRevisions>false</trackRevisions>
    </reviewItem>
    <reviewItem>
      <errorID>855aee21-ceda-42f0-b82c-e443588293dd</errorID>
      <errorWord>-</errorWord>
      <group>L1_Knowledge</group>
      <groupName>知识性问题</groupName>
      <ability>L2_Knowledge</ability>
      <abilityName>其他知识</abilityName>
      <candidateList>
        <item>～</item>
      </candidateList>
      <explain>连接号使用不恰当</explain>
      <paraID>54B864C2</paraID>
      <start>223</start>
      <end>224</end>
      <status>unmodified</status>
      <modifiedWord/>
      <trackRevisions>false</trackRevisions>
    </reviewItem>
    <reviewItem>
      <errorID>9104f496-11bf-4e0d-84e8-c4ab16684580</errorID>
      <errorWord>-</errorWord>
      <group>L1_Format</group>
      <groupName>格式问题</groupName>
      <ability>L2_HalfPunc</ability>
      <abilityName>全半角检查</abilityName>
      <candidateList>
        <item>－</item>
      </candidateList>
      <explain>文本全半角错误。</explain>
      <paraID>54B864C2</paraID>
      <start>238</start>
      <end>239</end>
      <status>unmodified</status>
      <modifiedWord/>
      <trackRevisions>false</trackRevisions>
    </reviewItem>
    <reviewItem>
      <errorID>e82a5d9c-1c3e-4670-a508-8ca21e2d80f2</errorID>
      <errorWord>黏土</errorWord>
      <group>L1_Word</group>
      <groupName>字词问题</groupName>
      <ability>L2_Typo</ability>
      <abilityName>字词错误</abilityName>
      <candidateList>
        <item>粘土</item>
      </candidateList>
      <explain/>
      <paraID>648E1360</paraID>
      <start>81</start>
      <end>83</end>
      <status>unmodified</status>
      <modifiedWord/>
      <trackRevisions>false</trackRevisions>
    </reviewItem>
    <reviewItem>
      <errorID>62d5eab8-87d1-490f-adeb-a512c93d205e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648E1360</paraID>
      <start>108</start>
      <end>109</end>
      <status>unmodified</status>
      <modifiedWord/>
      <trackRevisions>false</trackRevisions>
    </reviewItem>
    <reviewItem>
      <errorID>7bdcef6a-bda4-4fc2-baf3-5bba62b08523</errorID>
      <errorWord>黏土</errorWord>
      <group>L1_Word</group>
      <groupName>字词问题</groupName>
      <ability>L2_Typo</ability>
      <abilityName>字词错误</abilityName>
      <candidateList>
        <item>粘土</item>
      </candidateList>
      <explain/>
      <paraID>648E1360</paraID>
      <start>166</start>
      <end>168</end>
      <status>unmodified</status>
      <modifiedWord/>
      <trackRevisions>false</trackRevisions>
    </reviewItem>
    <reviewItem>
      <errorID>1b24645c-a13a-4cab-9cd6-6154b5ff7104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648E1360</paraID>
      <start>188</start>
      <end>189</end>
      <status>unmodified</status>
      <modifiedWord/>
      <trackRevisions>false</trackRevisions>
    </reviewItem>
    <reviewItem>
      <errorID>97137d87-d43e-4ade-b846-43696ff34408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648E1360</paraID>
      <start>254</start>
      <end>255</end>
      <status>unmodified</status>
      <modifiedWord/>
      <trackRevisions>false</trackRevisions>
    </reviewItem>
    <reviewItem>
      <errorID>1d977e3a-9c55-4fdb-9dfd-3088de3d287f</errorID>
      <errorWord>黏土</errorWord>
      <group>L1_Word</group>
      <groupName>字词问题</groupName>
      <ability>L2_Typo</ability>
      <abilityName>字词错误</abilityName>
      <candidateList>
        <item>粘土</item>
      </candidateList>
      <explain>存在发音相同字词的误用。</explain>
      <paraID>648E1360</paraID>
      <start>305</start>
      <end>307</end>
      <status>unmodified</status>
      <modifiedWord/>
      <trackRevisions>false</trackRevisions>
    </reviewItem>
    <reviewItem>
      <errorID>8a27064d-cfd8-4ee5-8cc2-20483fd183a6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648E1360</paraID>
      <start>332</start>
      <end>333</end>
      <status>unmodified</status>
      <modifiedWord/>
      <trackRevisions>false</trackRevisions>
    </reviewItem>
    <reviewItem>
      <errorID>090a474f-1674-4c36-a687-4984df2b1918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648E1360</paraID>
      <start>410</start>
      <end>411</end>
      <status>unmodified</status>
      <modifiedWord/>
      <trackRevisions>false</trackRevisions>
    </reviewItem>
    <reviewItem>
      <errorID>4708bbe5-5ce2-41a3-b53b-217a46c18471</errorID>
      <errorWord>现有工程现有工程</errorWord>
      <group>L1_Word</group>
      <groupName>字词问题</groupName>
      <ability>L2_Typo</ability>
      <abilityName>字词错误</abilityName>
      <candidateList>
        <item>现有工程</item>
      </candidateList>
      <explain/>
      <paraID>10C742E7</paraID>
      <start>0</start>
      <end>4</end>
      <status>modified</status>
      <modifiedWord>现有工程</modifiedWord>
      <trackRevisions>false</trackRevisions>
    </reviewItem>
    <reviewItem>
      <errorID>c9cb8c3a-831a-4302-bf73-bbac18906ca8</errorID>
      <errorWord>例行监测</errorWord>
      <group>L1_Word</group>
      <groupName>字词问题</groupName>
      <ability>L2_Typo</ability>
      <abilityName>字词错误</abilityName>
      <candidateList>
        <item>例行检测</item>
      </candidateList>
      <explain/>
      <paraID>224D11FD</paraID>
      <start>435</start>
      <end>439</end>
      <status>unmodified</status>
      <modifiedWord/>
      <trackRevisions>false</trackRevisions>
    </reviewItem>
    <reviewItem>
      <errorID>78e0b538-e575-4031-996f-cf41b70355ee</errorID>
      <errorWord>据据</errorWord>
      <group>L1_Word</group>
      <groupName>字词问题</groupName>
      <ability>L2_Typo</ability>
      <abilityName>字词错误</abilityName>
      <candidateList>
        <item>据</item>
      </candidateList>
      <explain>（據）jù❶占据：～为已有。❷凭借；依靠：～点｜～险固守。❸〈介〉按照；依据：～理力争｜～实报告｜～民歌改编。❹可以用作证明的事物：凭～｜证～｜字～｜论～｜票～｜实～。❺（Jù）〈名〉姓。</explain>
      <paraID>22BD0134</paraID>
      <start>1</start>
      <end>2</end>
      <status>modified</status>
      <modifiedWord>据</modifiedWord>
      <trackRevisions>false</trackRevisions>
    </reviewItem>
    <reviewItem>
      <errorID>6bf8ea6b-6662-4c1c-aadc-e0d389c0a90f</errorID>
      <errorWord>(</errorWord>
      <group>L1_Format</group>
      <groupName>格式问题</groupName>
      <ability>L2_HalfPunc</ability>
      <abilityName>全半角检查</abilityName>
      <candidateList>
        <item>（</item>
      </candidateList>
      <explain>文本全半角错误。</explain>
      <paraID>7B85D218</paraID>
      <start>82</start>
      <end>83</end>
      <status>unmodified</status>
      <modifiedWord/>
      <trackRevisions>false</trackRevisions>
    </reviewItem>
    <reviewItem>
      <errorID>5fe5b006-c5b3-483b-a31c-7393e92d0876</errorID>
      <errorWord>)</errorWord>
      <group>L1_Format</group>
      <groupName>格式问题</groupName>
      <ability>L2_HalfPunc</ability>
      <abilityName>全半角检查</abilityName>
      <candidateList>
        <item>）</item>
      </candidateList>
      <explain>文本全半角错误。</explain>
      <paraID>7B85D218</paraID>
      <start>96</start>
      <end>97</end>
      <status>unmodified</status>
      <modifiedWord/>
      <trackRevisions>false</trackRevisions>
    </reviewItem>
    <reviewItem>
      <errorID>0b7dc4cd-26aa-452d-8a3c-b3de2dd802be</errorID>
      <errorWord>据据</errorWord>
      <group>L1_Word</group>
      <groupName>字词问题</groupName>
      <ability>L2_Typo</ability>
      <abilityName>字词错误</abilityName>
      <candidateList>
        <item>据</item>
      </candidateList>
      <explain>（據）jù❶占据：～为已有。❷凭借；依靠：～点｜～险固守。❸〈介〉按照；依据：～理力争｜～实报告｜～民歌改编。❹可以用作证明的事物：凭～｜证～｜字～｜论～｜票～｜实～。❺（Jù）〈名〉姓。</explain>
      <paraID>36A73F6B</paraID>
      <start>1</start>
      <end>2</end>
      <status>modified</status>
      <modifiedWord>据</modifiedWord>
      <trackRevisions>false</trackRevisions>
    </reviewItem>
    <reviewItem>
      <errorID>aa7ada21-365a-43d5-bef0-fd6b1ef79bc8</errorID>
      <errorWord>废水检测</errorWord>
      <group>L1_Word</group>
      <groupName>字词问题</groupName>
      <ability>L2_Typo</ability>
      <abilityName>字词错误</abilityName>
      <candidateList>
        <item>废水监测</item>
      </candidateList>
      <explain/>
      <paraID>2027BD33</paraID>
      <start>6</start>
      <end>10</end>
      <status>unmodified</status>
      <modifiedWord/>
      <trackRevisions>false</trackRevisions>
    </reviewItem>
    <reviewItem>
      <errorID>77c208d4-5935-4803-9298-c61be0b0028f</errorID>
      <errorWord>处理达</errorWord>
      <group>L1_Word</group>
      <groupName>字词问题</groupName>
      <ability>L2_Typo</ability>
      <abilityName>字词错误</abilityName>
      <candidateList>
        <item>处理</item>
      </candidateList>
      <explain/>
      <paraID>20359527</paraID>
      <start>103</start>
      <end>106</end>
      <status>unmodified</status>
      <modifiedWord/>
      <trackRevisions>false</trackRevisions>
    </reviewItem>
    <reviewItem>
      <errorID>86bdb6c4-02b6-4afa-8811-a632a2e163c5</errorID>
      <errorWord>)</errorWord>
      <group>L1_Format</group>
      <groupName>格式问题</groupName>
      <ability>L2_HalfPunc</ability>
      <abilityName>全半角检查</abilityName>
      <candidateList>
        <item>）</item>
      </candidateList>
      <explain>文本全半角错误。</explain>
      <paraID>68C2D784</paraID>
      <start>59</start>
      <end>60</end>
      <status>unmodified</status>
      <modifiedWord/>
      <trackRevisions>false</trackRevisions>
    </reviewItem>
    <reviewItem>
      <errorID>12d66ba7-39ed-4bb6-9de3-53f7851c0ff1</errorID>
      <errorWord>)</errorWord>
      <group>L1_Format</group>
      <groupName>格式问题</groupName>
      <ability>L2_HalfPunc</ability>
      <abilityName>全半角检查</abilityName>
      <candidateList>
        <item>）</item>
      </candidateList>
      <explain>文本全半角错误。</explain>
      <paraID>68C2D784</paraID>
      <start>79</start>
      <end>80</end>
      <status>unmodified</status>
      <modifiedWord/>
      <trackRevisions>false</trackRevisions>
    </reviewItem>
    <reviewItem>
      <errorID>29503cf1-8595-4e64-ba0f-6c544e213845</errorID>
      <errorWord>（</errorWord>
      <group>L1_Punc</group>
      <groupName>标点问题</groupName>
      <ability>L2_Punc</ability>
      <abilityName>标点符号检查</abilityName>
      <candidateList>
        <item/>
      </candidateList>
      <explain>同一形式括号套用。</explain>
      <paraID>68C2D784</paraID>
      <start>131</start>
      <end>132</end>
      <status>unmodified</status>
      <modifiedWord/>
      <trackRevisions>false</trackRevisions>
    </reviewItem>
    <reviewItem>
      <errorID>b2b7174d-8a4b-430f-866a-fa473febfa63</errorID>
      <errorWord>(</errorWord>
      <group>L1_Punc</group>
      <groupName>标点问题</groupName>
      <ability>L2_Punc</ability>
      <abilityName>标点符号检查</abilityName>
      <candidateList/>
      <explain>同一形式括号套用。</explain>
      <paraID>68C2D784</paraID>
      <start>139</start>
      <end>140</end>
      <status>unmodified</status>
      <modifiedWord/>
      <trackRevisions>false</trackRevisions>
    </reviewItem>
    <reviewItem>
      <errorID>534d82a9-7229-4d80-b94c-4de323229674</errorID>
      <errorWord>)</errorWord>
      <group>L1_Punc</group>
      <groupName>标点问题</groupName>
      <ability>L2_Punc</ability>
      <abilityName>标点符号检查</abilityName>
      <candidateList/>
      <explain>同一形式括号套用。</explain>
      <paraID>68C2D784</paraID>
      <start>141</start>
      <end>142</end>
      <status>unmodified</status>
      <modifiedWord/>
      <trackRevisions>false</trackRevisions>
    </reviewItem>
    <reviewItem>
      <errorID>19a5c33f-8503-4a20-a77c-3356195166c2</errorID>
      <errorWord>(</errorWord>
      <group>L1_Punc</group>
      <groupName>标点问题</groupName>
      <ability>L2_Punc</ability>
      <abilityName>标点符号检查</abilityName>
      <candidateList/>
      <explain>同一形式括号套用。</explain>
      <paraID>68C2D784</paraID>
      <start>150</start>
      <end>151</end>
      <status>unmodified</status>
      <modifiedWord/>
      <trackRevisions>false</trackRevisions>
    </reviewItem>
    <reviewItem>
      <errorID>e86b9389-9333-4475-b20d-e27796e0b315</errorID>
      <errorWord>)</errorWord>
      <group>L1_Punc</group>
      <groupName>标点问题</groupName>
      <ability>L2_Punc</ability>
      <abilityName>标点符号检查</abilityName>
      <candidateList/>
      <explain>同一形式括号套用。</explain>
      <paraID>68C2D784</paraID>
      <start>152</start>
      <end>153</end>
      <status>unmodified</status>
      <modifiedWord/>
      <trackRevisions>false</trackRevisions>
    </reviewItem>
    <reviewItem>
      <errorID>c8fc5c19-563c-467a-8e24-f4b51066678d</errorID>
      <errorWord>）</errorWord>
      <group>L1_Punc</group>
      <groupName>标点问题</groupName>
      <ability>L2_Punc</ability>
      <abilityName>标点符号检查</abilityName>
      <candidateList/>
      <explain>同一形式括号套用。</explain>
      <paraID>68C2D784</paraID>
      <start>153</start>
      <end>154</end>
      <status>unmodified</status>
      <modifiedWord/>
      <trackRevisions>false</trackRevisions>
    </reviewItem>
    <reviewItem>
      <errorID>82ebeae7-1d70-496f-9cb1-2e42d2ec1557</errorID>
      <errorWord>（</errorWord>
      <group>L1_Punc</group>
      <groupName>标点问题</groupName>
      <ability>L2_Punc</ability>
      <abilityName>标点符号检查</abilityName>
      <candidateList>
        <item/>
      </candidateList>
      <explain>同一形式括号套用。</explain>
      <paraID>447E8086</paraID>
      <start>3</start>
      <end>4</end>
      <status>unmodified</status>
      <modifiedWord/>
      <trackRevisions>false</trackRevisions>
    </reviewItem>
    <reviewItem>
      <errorID>58675f08-b1a9-4c46-90dd-5502d514713d</errorID>
      <errorWord>(</errorWord>
      <group>L1_Punc</group>
      <groupName>标点问题</groupName>
      <ability>L2_Punc</ability>
      <abilityName>标点符号检查</abilityName>
      <candidateList/>
      <explain>同一形式括号套用。</explain>
      <paraID>447E8086</paraID>
      <start>6</start>
      <end>7</end>
      <status>unmodified</status>
      <modifiedWord/>
      <trackRevisions>false</trackRevisions>
    </reviewItem>
    <reviewItem>
      <errorID>0ea9c970-7c4f-4370-bfc6-22426714f954</errorID>
      <errorWord>)</errorWord>
      <group>L1_Punc</group>
      <groupName>标点问题</groupName>
      <ability>L2_Punc</ability>
      <abilityName>标点符号检查</abilityName>
      <candidateList/>
      <explain>同一形式括号套用。</explain>
      <paraID>447E8086</paraID>
      <start>8</start>
      <end>9</end>
      <status>unmodified</status>
      <modifiedWord/>
      <trackRevisions>false</trackRevisions>
    </reviewItem>
    <reviewItem>
      <errorID>f33be99e-ad7c-496c-a793-4e5a19a525d2</errorID>
      <errorWord>）</errorWord>
      <group>L1_Punc</group>
      <groupName>标点问题</groupName>
      <ability>L2_Punc</ability>
      <abilityName>标点符号检查</abilityName>
      <candidateList/>
      <explain>同一形式括号套用。</explain>
      <paraID>447E8086</paraID>
      <start>9</start>
      <end>10</end>
      <status>unmodified</status>
      <modifiedWord/>
      <trackRevisions>false</trackRevisions>
    </reviewItem>
    <reviewItem>
      <errorID>b5d24288-4d48-4a54-b6fa-9023a08b2800</errorID>
      <errorWord>现有工程现有工程</errorWord>
      <group>L1_Word</group>
      <groupName>字词问题</groupName>
      <ability>L2_Typo</ability>
      <abilityName>字词错误</abilityName>
      <candidateList>
        <item>现有工程</item>
      </candidateList>
      <explain/>
      <paraID>66F5216F</paraID>
      <start>0</start>
      <end>4</end>
      <status>modified</status>
      <modifiedWord>现有工程</modifiedWord>
      <trackRevisions>false</trackRevisions>
    </reviewItem>
    <reviewItem>
      <errorID>ddad7040-2dd1-43e4-991c-306974d84f75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21F9ADA7</paraID>
      <start>15</start>
      <end>18</end>
      <status>unmodified</status>
      <modifiedWord/>
      <trackRevisions>false</trackRevisions>
    </reviewItem>
    <reviewItem>
      <errorID>e7d09f7c-0ffc-4dc5-97a7-1f78f98738d5</errorID>
      <errorWord>例行监测</errorWord>
      <group>L1_Word</group>
      <groupName>字词问题</groupName>
      <ability>L2_Typo</ability>
      <abilityName>字词错误</abilityName>
      <candidateList>
        <item>例行检测</item>
      </candidateList>
      <explain/>
      <paraID>41A12717</paraID>
      <start>39</start>
      <end>43</end>
      <status>unmodified</status>
      <modifiedWord/>
      <trackRevisions>false</trackRevisions>
    </reviewItem>
    <reviewItem>
      <errorID>3a1c87e2-493a-4fa5-bc17-4ea1631fb378</errorID>
      <errorWord>处理达</errorWord>
      <group>L1_Word</group>
      <groupName>字词问题</groupName>
      <ability>L2_Typo</ability>
      <abilityName>字词错误</abilityName>
      <candidateList>
        <item>处理</item>
      </candidateList>
      <explain/>
      <paraID>41A12717</paraID>
      <start>125</start>
      <end>128</end>
      <status>unmodified</status>
      <modifiedWord/>
      <trackRevisions>false</trackRevisions>
    </reviewItem>
    <reviewItem>
      <errorID>59fd6167-4885-47d8-ba21-b3156d9161be</errorID>
      <errorWord>输运</errorWord>
      <group>L1_Word</group>
      <groupName>字词问题</groupName>
      <ability>L2_Typo</ability>
      <abilityName>字词错误</abilityName>
      <candidateList>
        <item>运输</item>
      </candidateList>
      <explain/>
      <paraID>730BFE5E</paraID>
      <start>88</start>
      <end>90</end>
      <status>unmodified</status>
      <modifiedWord/>
      <trackRevisions>false</trackRevisions>
    </reviewItem>
    <reviewItem>
      <errorID>570ad2a4-fa13-4e76-8d88-6f107496c46e</errorID>
      <errorWord>袋装</errorWord>
      <group>L1_Word</group>
      <groupName>字词问题</groupName>
      <ability>L2_Typo</ability>
      <abilityName>字词错误</abilityName>
      <candidateList>
        <item>袋状</item>
      </candidateList>
      <explain/>
      <paraID>34C8B1B4</paraID>
      <start>177</start>
      <end>179</end>
      <status>unmodified</status>
      <modifiedWord/>
      <trackRevisions>false</trackRevisions>
    </reviewItem>
    <reviewItem>
      <errorID>b8350a38-2ff9-4fff-b0ad-7d7682342ac7</errorID>
      <errorWord>监测监测</errorWord>
      <group>L1_Word</group>
      <groupName>字词问题</groupName>
      <ability>L2_Typo</ability>
      <abilityName>字词错误</abilityName>
      <candidateList>
        <item>监测</item>
      </candidateList>
      <explain/>
      <paraID>76742106</paraID>
      <start>8</start>
      <end>12</end>
      <status>unmodified</status>
      <modifiedWord/>
      <trackRevisions>false</trackRevisions>
    </reviewItem>
    <reviewItem>
      <errorID>ade3b2de-a672-4c01-89b7-fabd31488038</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7F4EE53F</paraID>
      <start>74</start>
      <end>76</end>
      <status>unmodified</status>
      <modifiedWord/>
      <trackRevisions>false</trackRevisions>
    </reviewItem>
    <reviewItem>
      <errorID>613db77b-a56b-4bbc-82a2-0bb45b8ee316</errorID>
      <errorWord>约为</errorWord>
      <group>L1_Word</group>
      <groupName>字词问题</groupName>
      <ability>L2_Typo</ability>
      <abilityName>字词错误</abilityName>
      <candidateList>
        <item>约</item>
      </candidateList>
      <explain/>
      <paraID>56A2B2B2</paraID>
      <start>22</start>
      <end>24</end>
      <status>unmodified</status>
      <modifiedWord/>
      <trackRevisions>false</trackRevisions>
    </reviewItem>
    <reviewItem>
      <errorID>fa417deb-6a93-41a1-a930-ec7325120b1e</errorID>
      <errorWord>约为</errorWord>
      <group>L1_Word</group>
      <groupName>字词问题</groupName>
      <ability>L2_Typo</ability>
      <abilityName>字词错误</abilityName>
      <candidateList>
        <item>约</item>
      </candidateList>
      <explain/>
      <paraID> 7F5F1BC</paraID>
      <start>22</start>
      <end>24</end>
      <status>unmodified</status>
      <modifiedWord/>
      <trackRevisions>false</trackRevisions>
    </reviewItem>
    <reviewItem>
      <errorID>123865b7-f293-4a47-8edb-3ca380dd1dbd</errorID>
      <errorWord>程</errorWord>
      <group>L1_Word</group>
      <groupName>字词问题</groupName>
      <ability>L2_Typo</ability>
      <abilityName>字词错误</abilityName>
      <candidateList>
        <item>程中</item>
      </candidateList>
      <explain/>
      <paraID>17CCED48</paraID>
      <start>14</start>
      <end>15</end>
      <status>unmodified</status>
      <modifiedWord/>
      <trackRevisions>false</trackRevisions>
    </reviewItem>
    <reviewItem>
      <errorID>8ad9f9f7-3b5e-401f-b0ba-0fc11f3746ea</errorID>
      <errorWord>输运</errorWord>
      <group>L1_Word</group>
      <groupName>字词问题</groupName>
      <ability>L2_Typo</ability>
      <abilityName>字词错误</abilityName>
      <candidateList>
        <item>运输</item>
      </candidateList>
      <explain/>
      <paraID>7696EF8E</paraID>
      <start>48</start>
      <end>50</end>
      <status>unmodified</status>
      <modifiedWord/>
      <trackRevisions>false</trackRevisions>
    </reviewItem>
    <reviewItem>
      <errorID>e865431b-b5f8-46ea-943b-7ec49c1203ae</errorID>
      <errorWord>黏土</errorWord>
      <group>L1_Word</group>
      <groupName>字词问题</groupName>
      <ability>L2_Typo</ability>
      <abilityName>字词错误</abilityName>
      <candidateList>
        <item>粘土</item>
      </candidateList>
      <explain/>
      <paraID>263D23BF</paraID>
      <start>71</start>
      <end>73</end>
      <status>unmodified</status>
      <modifiedWord/>
      <trackRevisions>false</trackRevisions>
    </reviewItem>
    <reviewItem>
      <errorID>f34260e5-52cb-4677-a452-c4948251380e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263D23BF</paraID>
      <start>98</start>
      <end>99</end>
      <status>unmodified</status>
      <modifiedWord/>
      <trackRevisions>false</trackRevisions>
    </reviewItem>
    <reviewItem>
      <errorID>46ce27a8-fd2c-4c5e-bfc8-8942a4943025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6C73EF6A</paraID>
      <start>64</start>
      <end>65</end>
      <status>unmodified</status>
      <modifiedWord/>
      <trackRevisions>false</trackRevisions>
    </reviewItem>
    <reviewItem>
      <errorID>cff6fd74-0e94-4810-96cd-ae052bae5f52</errorID>
      <errorWord>-</errorWord>
      <group>L1_Format</group>
      <groupName>格式问题</groupName>
      <ability>L2_HalfPunc</ability>
      <abilityName>全半角检查</abilityName>
      <candidateList>
        <item>－</item>
      </candidateList>
      <explain>文本全半角错误。</explain>
      <paraID>66D94DAD</paraID>
      <start>53</start>
      <end>54</end>
      <status>unmodified</status>
      <modifiedWord/>
      <trackRevisions>false</trackRevisions>
    </reviewItem>
    <reviewItem>
      <errorID>f97ef11a-9dc2-4ae3-b67c-b989c44e1ae9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66D94DAD</paraID>
      <start>167</start>
      <end>168</end>
      <status>unmodified</status>
      <modifiedWord/>
      <trackRevisions>false</trackRevisions>
    </reviewItem>
    <reviewItem>
      <errorID>9edccf88-9e97-4488-b3f9-501b34c157f6</errorID>
      <errorWord>~</errorWord>
      <group>L1_Format</group>
      <groupName>格式问题</groupName>
      <ability>L2_HalfPunc</ability>
      <abilityName>全半角检查</abilityName>
      <candidateList>
        <item>～</item>
      </candidateList>
      <explain>文本全半角错误。</explain>
      <paraID>48C2FB14</paraID>
      <start>120</start>
      <end>121</end>
      <status>unmodified</status>
      <modifiedWord/>
      <trackRevisions>false</trackRevisions>
    </reviewItem>
    <reviewItem>
      <errorID>38fc95d6-aed4-4c32-8657-e0643484c904</errorID>
      <errorWord>着</errorWord>
      <group>L1_Word</group>
      <groupName>字词问题</groupName>
      <ability>L2_Typo</ability>
      <abilityName>字词错误</abilityName>
      <candidateList>
        <item>者</item>
      </candidateList>
      <explain>〈代〉指示代词。义同“这”（多见于早期白话）：～番｜～边。</explain>
      <paraID>4CBD5500</paraID>
      <start>35</start>
      <end>36</end>
      <status>unmodified</status>
      <modifiedWord/>
      <trackRevisions>false</trackRevisions>
    </reviewItem>
    <reviewItem>
      <errorID>29e86c65-fee7-46c3-a8a0-a918db4e58ac</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4CBD5500</paraID>
      <start>71</start>
      <end>74</end>
      <status>unmodified</status>
      <modifiedWord/>
      <trackRevisions>false</trackRevisions>
    </reviewItem>
    <reviewItem>
      <errorID>7f2c0297-6ab6-4fbe-946a-7792fd9bf0f3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3AC27A0E</paraID>
      <start>67</start>
      <end>68</end>
      <status>unmodified</status>
      <modifiedWord/>
      <trackRevisions>false</trackRevisions>
    </reviewItem>
    <reviewItem>
      <errorID>92c66346-262e-4183-a559-6479d85085b3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6D9FAE09</paraID>
      <start>2</start>
      <end>3</end>
      <status>unmodified</status>
      <modifiedWord/>
      <trackRevisions>false</trackRevisions>
    </reviewItem>
    <reviewItem>
      <errorID>ec05699e-09d4-46f5-beef-c14f36078c16</errorID>
      <errorWord>~</errorWord>
      <group>L1_Format</group>
      <groupName>格式问题</groupName>
      <ability>L2_HalfPunc</ability>
      <abilityName>全半角检查</abilityName>
      <candidateList>
        <item>～</item>
      </candidateList>
      <explain>文本全半角错误。</explain>
      <paraID>398963EF</paraID>
      <start>22</start>
      <end>23</end>
      <status>unmodified</status>
      <modifiedWord/>
      <trackRevisions>false</trackRevisions>
    </reviewItem>
    <reviewItem>
      <errorID>7ec37d62-eb9e-4293-936a-1e779e01cb1c</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275939D8</paraID>
      <start>38</start>
      <end>41</end>
      <status>unmodified</status>
      <modifiedWord/>
      <trackRevisions>false</trackRevisions>
    </reviewItem>
    <reviewItem>
      <errorID>4a0e4daa-d3e7-4218-8634-d838ca31ca86</errorID>
      <errorWord>-</errorWord>
      <group>L1_Knowledge</group>
      <groupName>知识性问题</groupName>
      <ability>L2_Knowledge</ability>
      <abilityName>其他知识</abilityName>
      <candidateList>
        <item>%～</item>
      </candidateList>
      <explain>百分号用法检查</explain>
      <paraID>4F0A0898</paraID>
      <start>14</start>
      <end>15</end>
      <status>unmodified</status>
      <modifiedWord/>
      <trackRevisions>false</trackRevisions>
    </reviewItem>
    <reviewItem>
      <errorID>2468ae99-0b75-4541-a930-37de38826e1a</errorID>
      <errorWord>-</errorWord>
      <group>L1_Knowledge</group>
      <groupName>知识性问题</groupName>
      <ability>L2_Knowledge</ability>
      <abilityName>其他知识</abilityName>
      <candidateList>
        <item>%～</item>
      </candidateList>
      <explain>百分号用法检查</explain>
      <paraID>4F0A0898</paraID>
      <start>39</start>
      <end>40</end>
      <status>unmodified</status>
      <modifiedWord/>
      <trackRevisions>false</trackRevisions>
    </reviewItem>
    <reviewItem>
      <errorID>7a723ade-0d4b-46ba-be77-596f0b2b602e</errorID>
      <errorWord>-</errorWord>
      <group>L1_Knowledge</group>
      <groupName>知识性问题</groupName>
      <ability>L2_Knowledge</ability>
      <abilityName>其他知识</abilityName>
      <candidateList>
        <item>%～</item>
      </candidateList>
      <explain>百分号用法检查</explain>
      <paraID>4F0A0898</paraID>
      <start>64</start>
      <end>65</end>
      <status>unmodified</status>
      <modifiedWord/>
      <trackRevisions>false</trackRevisions>
    </reviewItem>
    <reviewItem>
      <errorID>06e8299b-1fb4-449e-b5dd-2c4c3f94dfa5</errorID>
      <errorWord>-</errorWord>
      <group>L1_Knowledge</group>
      <groupName>知识性问题</groupName>
      <ability>L2_Knowledge</ability>
      <abilityName>其他知识</abilityName>
      <candidateList>
        <item>%～</item>
      </candidateList>
      <explain>百分号用法检查</explain>
      <paraID>4F0A0898</paraID>
      <start>77</start>
      <end>78</end>
      <status>unmodified</status>
      <modifiedWord/>
      <trackRevisions>false</trackRevisions>
    </reviewItem>
    <reviewItem>
      <errorID>04286496-6dcc-46f5-86d4-7286d354c86a</errorID>
      <errorWord>-</errorWord>
      <group>L1_Knowledge</group>
      <groupName>知识性问题</groupName>
      <ability>L2_Knowledge</ability>
      <abilityName>其他知识</abilityName>
      <candidateList>
        <item>%～</item>
      </candidateList>
      <explain>百分号用法检查</explain>
      <paraID>4F0A0898</paraID>
      <start>90</start>
      <end>91</end>
      <status>unmodified</status>
      <modifiedWord/>
      <trackRevisions>false</trackRevisions>
    </reviewItem>
    <reviewItem>
      <errorID>725cd1d2-0412-4087-8f25-f175a578f678</errorID>
      <errorWord>-</errorWord>
      <group>L1_Knowledge</group>
      <groupName>知识性问题</groupName>
      <ability>L2_Knowledge</ability>
      <abilityName>其他知识</abilityName>
      <candidateList>
        <item>%～</item>
      </candidateList>
      <explain>百分号用法检查</explain>
      <paraID>4F0A0898</paraID>
      <start>100</start>
      <end>101</end>
      <status>unmodified</status>
      <modifiedWord/>
      <trackRevisions>false</trackRevisions>
    </reviewItem>
    <reviewItem>
      <errorID>a79dddcc-7c5f-45f3-b7ac-822bdb20cb9b</errorID>
      <errorWord>-</errorWord>
      <group>L1_Knowledge</group>
      <groupName>知识性问题</groupName>
      <ability>L2_Knowledge</ability>
      <abilityName>其他知识</abilityName>
      <candidateList>
        <item>%～</item>
      </candidateList>
      <explain>百分号用法检查</explain>
      <paraID>4F0A0898</paraID>
      <start>110</start>
      <end>111</end>
      <status>unmodified</status>
      <modifiedWord/>
      <trackRevisions>false</trackRevisions>
    </reviewItem>
    <reviewItem>
      <errorID>3be77ed8-57ca-42fe-8cb2-7b7ec5479cda</errorID>
      <errorWord>挥发性含量</errorWord>
      <group>L1_Knowledge</group>
      <groupName>知识性问题</groupName>
      <ability>L2_Term</ability>
      <abilityName>专业术语</abilityName>
      <candidateList>
        <item>挥发分含量</item>
      </candidateList>
      <explain/>
      <paraID>4F0A0898</paraID>
      <start>134</start>
      <end>139</end>
      <status>unmodified</status>
      <modifiedWord/>
      <trackRevisions>false</trackRevisions>
    </reviewItem>
    <reviewItem>
      <errorID>ae1cb70d-8f62-4cf8-9415-861ef641e96b</errorID>
      <errorWord>,</errorWord>
      <group>L1_Format</group>
      <groupName>格式问题</groupName>
      <ability>L2_HalfPunc</ability>
      <abilityName>全半角检查</abilityName>
      <candidateList>
        <item>，</item>
      </candidateList>
      <explain>文本全半角错误。</explain>
      <paraID>4089F2FF</paraID>
      <start>22</start>
      <end>23</end>
      <status>unmodified</status>
      <modifiedWord/>
      <trackRevisions>false</trackRevisions>
    </reviewItem>
    <reviewItem>
      <errorID>3c025807-b210-48ad-b4d0-a46c5a157658</errorID>
      <errorWord>其它</errorWord>
      <group>L1_Word</group>
      <groupName>字词问题</groupName>
      <ability>L2_Alias</ability>
      <abilityName>也作/曾用词</abilityName>
      <candidateList>
        <item>其他</item>
      </candidateList>
      <explain>词汇[其它]为不规范表述或旧称，其规范书面表述为[其他]。</explain>
      <paraID> 3A27EF5</paraID>
      <start>42</start>
      <end>44</end>
      <status>unmodified</status>
      <modifiedWord/>
      <trackRevisions>false</trackRevisions>
    </reviewItem>
    <reviewItem>
      <errorID>d7816296-9255-4e47-b704-e99f844f99ba</errorID>
      <errorWord>～</errorWord>
      <group>L1_Knowledge</group>
      <groupName>知识性问题</groupName>
      <ability>L2_Knowledge</ability>
      <abilityName>其他知识</abilityName>
      <candidateList>
        <item>%～</item>
      </candidateList>
      <explain>百分号用法检查</explain>
      <paraID> 3A27EF5</paraID>
      <start>72</start>
      <end>73</end>
      <status>unmodified</status>
      <modifiedWord/>
      <trackRevisions>false</trackRevisions>
    </reviewItem>
    <reviewItem>
      <errorID>c19366e0-0a7c-4217-b13a-b8813419e028</errorID>
      <errorWord>～</errorWord>
      <group>L1_Knowledge</group>
      <groupName>知识性问题</groupName>
      <ability>L2_Knowledge</ability>
      <abilityName>其他知识</abilityName>
      <candidateList>
        <item>%～</item>
      </candidateList>
      <explain>百分号用法检查</explain>
      <paraID> 3A27EF5</paraID>
      <start>81</start>
      <end>82</end>
      <status>unmodified</status>
      <modifiedWord/>
      <trackRevisions>false</trackRevisions>
    </reviewItem>
    <reviewItem>
      <errorID>d4983e79-4bd6-435c-b58f-95f84c10728f</errorID>
      <errorWord>～</errorWord>
      <group>L1_Knowledge</group>
      <groupName>知识性问题</groupName>
      <ability>L2_Knowledge</ability>
      <abilityName>其他知识</abilityName>
      <candidateList>
        <item>%～</item>
      </candidateList>
      <explain>百分号用法检查</explain>
      <paraID> 3A27EF5</paraID>
      <start>94</start>
      <end>95</end>
      <status>unmodified</status>
      <modifiedWord/>
      <trackRevisions>false</trackRevisions>
    </reviewItem>
    <reviewItem>
      <errorID>66506f7f-1a75-4716-910a-0bdec9c77af7</errorID>
      <errorWord>～</errorWord>
      <group>L1_Knowledge</group>
      <groupName>知识性问题</groupName>
      <ability>L2_Knowledge</ability>
      <abilityName>其他知识</abilityName>
      <candidateList>
        <item>%～</item>
      </candidateList>
      <explain>百分号用法检查</explain>
      <paraID> 3A27EF5</paraID>
      <start>104</start>
      <end>105</end>
      <status>unmodified</status>
      <modifiedWord/>
      <trackRevisions>false</trackRevisions>
    </reviewItem>
    <reviewItem>
      <errorID>7116e4c5-c8d1-4577-9270-0081606e6e5b</errorID>
      <errorWord>《汽车工业污染方式可行技术指南（HJ1181-2021）》</errorWord>
      <group>L1_Knowledge</group>
      <groupName>知识性问题</groupName>
      <ability>L2_Knowledge</ability>
      <abilityName>其他知识</abilityName>
      <candidateList>
        <item>《汽车工业污染方式可行技术指南》（HJ1181-2021）</item>
      </candidateList>
      <explain>疑似政策文件、法律法规名称等书写不规范，请注意检查。</explain>
      <paraID>547FFCA9</paraID>
      <start>2</start>
      <end>31</end>
      <status>unmodified</status>
      <modifiedWord/>
      <trackRevisions>false</trackRevisions>
    </reviewItem>
    <reviewItem>
      <errorID>070a8a4d-4cc9-47aa-b3ae-ac2a7e626bf0</errorID>
      <errorWord>-</errorWord>
      <group>L1_Format</group>
      <groupName>格式问题</groupName>
      <ability>L2_HalfPunc</ability>
      <abilityName>全半角检查</abilityName>
      <candidateList>
        <item>－</item>
      </candidateList>
      <explain>文本全半角错误。</explain>
      <paraID>5E2F9747</paraID>
      <start>38</start>
      <end>39</end>
      <status>unmodified</status>
      <modifiedWord/>
      <trackRevisions>false</trackRevisions>
    </reviewItem>
    <reviewItem>
      <errorID>aa68de0a-031b-4a63-8481-9b2ed24fe5bb</errorID>
      <errorWord>-</errorWord>
      <group>L1_Format</group>
      <groupName>格式问题</groupName>
      <ability>L2_HalfPunc</ability>
      <abilityName>全半角检查</abilityName>
      <candidateList>
        <item>－</item>
      </candidateList>
      <explain>文本全半角错误。</explain>
      <paraID>5E2F9747</paraID>
      <start>41</start>
      <end>42</end>
      <status>unmodified</status>
      <modifiedWord/>
      <trackRevisions>false</trackRevisions>
    </reviewItem>
    <reviewItem>
      <errorID>e9b022cc-1c09-46c9-92d6-1e7db840f1ef</errorID>
      <errorWord>来自于</errorWord>
      <group>L1_Word</group>
      <groupName>字词问题</groupName>
      <ability>L2_Typo</ability>
      <abilityName>字词错误</abilityName>
      <candidateList>
        <item>来自</item>
      </candidateList>
      <explain/>
      <paraID>4264419E</paraID>
      <start>40</start>
      <end>43</end>
      <status>unmodified</status>
      <modifiedWord/>
      <trackRevisions>false</trackRevisions>
    </reviewItem>
    <reviewItem>
      <errorID>d57c2db6-bb25-425b-9bab-904adaa3d1c6</errorID>
      <errorWord>生产工艺总</errorWord>
      <group>L1_Word</group>
      <groupName>字词问题</groupName>
      <ability>L2_Typo</ability>
      <abilityName>字词错误</abilityName>
      <candidateList>
        <item>生产工艺</item>
      </candidateList>
      <explain/>
      <paraID>1AEC6711</paraID>
      <start>59</start>
      <end>64</end>
      <status>unmodified</status>
      <modifiedWord/>
      <trackRevisions>false</trackRevisions>
    </reviewItem>
    <reviewItem>
      <errorID>84b5f6dc-3e1a-4b47-91c3-2614cb347bf8</errorID>
      <errorWord>及其</errorWord>
      <group>L1_Word</group>
      <groupName>字词问题</groupName>
      <ability>L2_Typo</ability>
      <abilityName>字词错误</abilityName>
      <candidateList>
        <item>极其</item>
      </candidateList>
      <explain>〈副〉非常；极端：～重视｜～光荣｜受到了～深刻的教育。</explain>
      <paraID>4A0FF2AD</paraID>
      <start>143</start>
      <end>145</end>
      <status>unmodified</status>
      <modifiedWord/>
      <trackRevisions>false</trackRevisions>
    </reviewItem>
    <reviewItem>
      <errorID>7adf1735-6594-4908-a80e-8a2f5e207cf5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36C3DB2B</paraID>
      <start>90</start>
      <end>91</end>
      <status>unmodified</status>
      <modifiedWord/>
      <trackRevisions>false</trackRevisions>
    </reviewItem>
    <reviewItem>
      <errorID>a2c046ce-3ae8-47f3-bd03-f8529643122e</errorID>
      <errorWord>备</errorWord>
      <group>L1_Word</group>
      <groupName>字词问题</groupName>
      <ability>L2_Typo</ability>
      <abilityName>字词错误</abilityName>
      <candidateList>
        <item>被</item>
      </candidateList>
      <explain>存在发音相同字词的误用。</explain>
      <paraID> 5ADAF12</paraID>
      <start>281</start>
      <end>282</end>
      <status>unmodified</status>
      <modifiedWord/>
      <trackRevisions>false</trackRevisions>
    </reviewItem>
    <reviewItem>
      <errorID>8ad725b2-dd89-4b2d-9fb5-3fb5495a95eb</errorID>
      <errorWord>-</errorWord>
      <group>L1_Format</group>
      <groupName>格式问题</groupName>
      <ability>L2_HalfPunc</ability>
      <abilityName>全半角检查</abilityName>
      <candidateList>
        <item>－</item>
      </candidateList>
      <explain>文本全半角错误。</explain>
      <paraID> 5ADAF12</paraID>
      <start>338</start>
      <end>339</end>
      <status>unmodified</status>
      <modifiedWord/>
      <trackRevisions>false</trackRevisions>
    </reviewItem>
    <reviewItem>
      <errorID>9451fd4b-f573-4721-aee2-52af29969793</errorID>
      <errorWord>气密性检验</errorWord>
      <group>L1_Knowledge</group>
      <groupName>知识性问题</groupName>
      <ability>L2_Term</ability>
      <abilityName>专业术语</abilityName>
      <candidateList>
        <item>气密性试验</item>
      </candidateList>
      <explain/>
      <paraID>434E251D</paraID>
      <start>25</start>
      <end>30</end>
      <status>unmodified</status>
      <modifiedWord/>
      <trackRevisions>false</trackRevisions>
    </reviewItem>
    <reviewItem>
      <errorID>5345dc4b-e602-4ae3-9fcb-c3f4244f07ab</errorID>
      <errorWord>成型</errorWord>
      <group>L1_Word</group>
      <groupName>字词问题</groupName>
      <ability>L2_Typo</ability>
      <abilityName>字词错误</abilityName>
      <candidateList>
        <item>成形</item>
      </candidateList>
      <explain/>
      <paraID>179186FD</paraID>
      <start>46</start>
      <end>48</end>
      <status>unmodified</status>
      <modifiedWord/>
      <trackRevisions>false</trackRevisions>
    </reviewItem>
    <reviewItem>
      <errorID>49273c0e-0a84-4f12-b3de-19c8a7adbbf3</errorID>
      <errorWord>程</errorWord>
      <group>L1_Word</group>
      <groupName>字词问题</groupName>
      <ability>L2_Typo</ability>
      <abilityName>字词错误</abilityName>
      <candidateList>
        <item>程中</item>
      </candidateList>
      <explain/>
      <paraID>10E65C16</paraID>
      <start>120</start>
      <end>121</end>
      <status>unmodified</status>
      <modifiedWord/>
      <trackRevisions>false</trackRevisions>
    </reviewItem>
    <reviewItem>
      <errorID>6c770fd0-71d1-48b7-8e68-bfddeb8b4295</errorID>
      <errorWord>气密性检验</errorWord>
      <group>L1_Knowledge</group>
      <groupName>知识性问题</groupName>
      <ability>L2_Term</ability>
      <abilityName>专业术语</abilityName>
      <candidateList>
        <item>气密性试验</item>
      </candidateList>
      <explain/>
      <paraID>4B327FB6</paraID>
      <start>27</start>
      <end>32</end>
      <status>unmodified</status>
      <modifiedWord/>
      <trackRevisions>false</trackRevisions>
    </reviewItem>
    <reviewItem>
      <errorID>0ff4634e-f188-47b8-a77b-675262c3a63b</errorID>
      <errorWord>(</errorWord>
      <group>L1_Format</group>
      <groupName>格式问题</groupName>
      <ability>L2_HalfPunc</ability>
      <abilityName>全半角检查</abilityName>
      <candidateList>
        <item>（</item>
      </candidateList>
      <explain>文本全半角错误。</explain>
      <paraID>6E4FB041</paraID>
      <start>19</start>
      <end>20</end>
      <status>unmodified</status>
      <modifiedWord/>
      <trackRevisions>false</trackRevisions>
    </reviewItem>
    <reviewItem>
      <errorID>5cd2656c-173a-418d-b870-1b5432c11058</errorID>
      <errorWord>:</errorWord>
      <group>L1_Format</group>
      <groupName>格式问题</groupName>
      <ability>L2_HalfPunc</ability>
      <abilityName>全半角检查</abilityName>
      <candidateList>
        <item>：</item>
      </candidateList>
      <explain>文本全半角错误。</explain>
      <paraID>6E4FB041</paraID>
      <start>22</start>
      <end>23</end>
      <status>unmodified</status>
      <modifiedWord/>
      <trackRevisions>false</trackRevisions>
    </reviewItem>
    <reviewItem>
      <errorID>6b0e70cc-7451-46c4-8842-10cf501436e7</errorID>
      <errorWord>[2012]77号</errorWord>
      <group>L1_Knowledge</group>
      <groupName>知识性问题</groupName>
      <ability>L2_Knowledge</ability>
      <abilityName>其他知识</abilityName>
      <candidateList>
        <item>〔2012〕77号</item>
      </candidateList>
      <explain>发文字号格式错误</explain>
      <paraID> 1E9F2C6</paraID>
      <start>68</start>
      <end>77</end>
      <status>unmodified</status>
      <modifiedWord/>
      <trackRevisions>false</trackRevisions>
    </reviewItem>
    <reviewItem>
      <errorID>2ce618b3-ae56-4cc6-bfe5-f7f1f532a491</errorID>
      <errorWord>~</errorWord>
      <group>L1_Format</group>
      <groupName>格式问题</groupName>
      <ability>L2_HalfPunc</ability>
      <abilityName>全半角检查</abilityName>
      <candidateList>
        <item>～</item>
      </candidateList>
      <explain>文本全半角错误。</explain>
      <paraID>51AF377B</paraID>
      <start>65</start>
      <end>66</end>
      <status>unmodified</status>
      <modifiedWord/>
      <trackRevisions>false</trackRevisions>
    </reviewItem>
    <reviewItem>
      <errorID>b5f3e03a-f9ce-4bef-a7b8-4fbdedae4002</errorID>
      <errorWord>：</errorWord>
      <group>L1_Format</group>
      <groupName>格式问题</groupName>
      <ability>L2_HalfPunc</ability>
      <abilityName>全半角检查</abilityName>
      <candidateList>
        <item>:</item>
      </candidateList>
      <explain>文本全半角错误。</explain>
      <paraID>3BA65E47</paraID>
      <start>145</start>
      <end>146</end>
      <status>unmodified</status>
      <modifiedWord/>
      <trackRevisions>false</trackRevisions>
    </reviewItem>
    <reviewItem>
      <errorID>07311b7f-3d00-47a3-8296-cd130346e551</errorID>
      <errorWord>托</errorWord>
      <group>L1_Word</group>
      <groupName>字词问题</groupName>
      <ability>L2_Typo</ability>
      <abilityName>字词错误</abilityName>
      <candidateList>
        <item>托哈</item>
      </candidateList>
      <explain/>
      <paraID>3BA65E47</paraID>
      <start>170</start>
      <end>171</end>
      <status>unmodified</status>
      <modifiedWord/>
      <trackRevisions>false</trackRevisions>
    </reviewItem>
    <reviewItem>
      <errorID>1f05c37d-15e3-4af5-bbff-8c124bbfe838</errorID>
      <errorWord>.</errorWord>
      <group>L1_Format</group>
      <groupName>格式问题</groupName>
      <ability>L2_HalfPunc</ability>
      <abilityName>全半角检查</abilityName>
      <candidateList>
        <item>。</item>
      </candidateList>
      <explain>文本全半角错误。</explain>
      <paraID>4A07393E</paraID>
      <start>444</start>
      <end>445</end>
      <status>unmodified</status>
      <modifiedWord/>
      <trackRevisions>false</trackRevisions>
    </reviewItem>
    <reviewItem>
      <errorID>bb2e2044-e401-40a7-b213-0253e125f316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4A07393E</paraID>
      <start>514</start>
      <end>515</end>
      <status>unmodified</status>
      <modifiedWord/>
      <trackRevisions>false</trackRevisions>
    </reviewItem>
    <reviewItem>
      <errorID>355cbddd-f709-40c5-ba9a-6bcba5f396f6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4A07393E</paraID>
      <start>525</start>
      <end>526</end>
      <status>unmodified</status>
      <modifiedWord/>
      <trackRevisions>false</trackRevisions>
    </reviewItem>
    <reviewItem>
      <errorID>2a123c68-6396-4da5-84ea-c21a2e0ac8ff</errorID>
      <errorWord>（</errorWord>
      <group>L1_Punc</group>
      <groupName>标点问题</groupName>
      <ability>L2_Punc</ability>
      <abilityName>标点符号检查</abilityName>
      <candidateList/>
      <explain/>
      <paraID> B1AC2A6</paraID>
      <start>138</start>
      <end>139</end>
      <status>unmodified</status>
      <modifiedWord/>
      <trackRevisions>false</trackRevisions>
    </reviewItem>
    <reviewItem>
      <errorID>5a6a8238-f148-4a3a-9abf-4aac8d31cc26</errorID>
      <errorWord>均</errorWord>
      <group>L1_Word</group>
      <groupName>字词问题</groupName>
      <ability>L2_Typo</ability>
      <abilityName>字词错误</abilityName>
      <candidateList>
        <item>均与</item>
      </candidateList>
      <explain/>
      <paraID>67453FA7</paraID>
      <start>81</start>
      <end>82</end>
      <status>unmodified</status>
      <modifiedWord/>
      <trackRevisions>false</trackRevisions>
    </reviewItem>
    <reviewItem>
      <errorID>cb2767b1-1aa5-4ba5-99c6-9ab30aca667d</errorID>
      <errorWord>则颗粒物</errorWord>
      <group>L1_Knowledge</group>
      <groupName>知识性问题</groupName>
      <ability>L2_Term</ability>
      <abilityName>专业术语</abilityName>
      <candidateList>
        <item>细颗粒物</item>
      </candidateList>
      <explain/>
      <paraID>5AA6432C</paraID>
      <start>102</start>
      <end>106</end>
      <status>unmodified</status>
      <modifiedWord/>
      <trackRevisions>false</trackRevisions>
    </reviewItem>
    <reviewItem>
      <errorID>fafaeac8-a089-4984-ae41-62155797bed3</errorID>
      <errorWord>燃烧为</errorWord>
      <group>L1_Word</group>
      <groupName>字词问题</groupName>
      <ability>L2_Typo</ability>
      <abilityName>字词错误</abilityName>
      <candidateList>
        <item>燃烧</item>
      </candidateList>
      <explain/>
      <paraID>1F4A6F60</paraID>
      <start>21</start>
      <end>24</end>
      <status>unmodified</status>
      <modifiedWord/>
      <trackRevisions>false</trackRevisions>
    </reviewItem>
    <reviewItem>
      <errorID>24ddaf34-43c5-4cf5-867a-6c0c0794c54f</errorID>
      <errorWord>热试</errorWord>
      <group>L1_Word</group>
      <groupName>字词问题</groupName>
      <ability>L2_Typo</ability>
      <abilityName>字词错误</abilityName>
      <candidateList>
        <item>热式</item>
      </candidateList>
      <explain/>
      <paraID>1DDBEFFB</paraID>
      <start>0</start>
      <end>2</end>
      <status>unmodified</status>
      <modifiedWord/>
      <trackRevisions>false</trackRevisions>
    </reviewItem>
    <reviewItem>
      <errorID>e8865c39-7334-43b7-a191-870a14347d9c</errorID>
      <errorWord>设备设备</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4B7EE576</paraID>
      <start>2</start>
      <end>4</end>
      <status>modified</status>
      <modifiedWord>设备</modifiedWord>
      <trackRevisions>false</trackRevisions>
    </reviewItem>
    <reviewItem>
      <errorID>eacf9bb3-e5fd-4c3b-93ab-26c904f1870b</errorID>
      <errorWord>＜</errorWord>
      <group>L1_Format</group>
      <groupName>格式问题</groupName>
      <ability>L2_HalfPunc</ability>
      <abilityName>全半角检查</abilityName>
      <candidateList>
        <item>&lt;</item>
      </candidateList>
      <explain>文本全半角错误。</explain>
      <paraID> 90D1D21</paraID>
      <start>0</start>
      <end>1</end>
      <status>unmodified</status>
      <modifiedWord/>
      <trackRevisions>false</trackRevisions>
    </reviewItem>
    <reviewItem>
      <errorID>4476d47f-b4fc-4c90-92e1-358bb0a872af</errorID>
      <errorWord>＞</errorWord>
      <group>L1_Format</group>
      <groupName>格式问题</groupName>
      <ability>L2_HalfPunc</ability>
      <abilityName>全半角检查</abilityName>
      <candidateList>
        <item>&gt;</item>
      </candidateList>
      <explain>文本全半角错误。</explain>
      <paraID>6EB72F1F</paraID>
      <start>0</start>
      <end>1</end>
      <status>unmodified</status>
      <modifiedWord/>
      <trackRevisions>false</trackRevisions>
    </reviewItem>
    <reviewItem>
      <errorID>bc41d3c0-6abe-42e6-a8c1-09577e46fbf6</errorID>
      <errorWord>，，</errorWord>
      <group>L1_Punc</group>
      <groupName>标点问题</groupName>
      <ability>L2_Punc</ability>
      <abilityName>标点符号检查</abilityName>
      <candidateList>
        <item>，</item>
      </candidateList>
      <explain/>
      <paraID>1C5FB3EA</paraID>
      <start>72</start>
      <end>74</end>
      <status>unmodified</status>
      <modifiedWord/>
      <trackRevisions>false</trackRevisions>
    </reviewItem>
    <reviewItem>
      <errorID>804492a2-eafe-4f9f-a4cc-d22c6fcb262d</errorID>
      <errorWord>处理</errorWord>
      <group>L1_Word</group>
      <groupName>字词问题</groupName>
      <ability>L2_Typo</ability>
      <abilityName>字词错误</abilityName>
      <candidateList>
        <item>理</item>
      </candidateList>
      <explain/>
      <paraID>557CFCCA</paraID>
      <start>63</start>
      <end>64</end>
      <status>modified</status>
      <modifiedWord>理</modifiedWord>
      <trackRevisions>false</trackRevisions>
    </reviewItem>
    <reviewItem>
      <errorID>a2314ae7-7fee-43f4-84ab-fad2b010b7d5</errorID>
      <errorWord>交有</errorWord>
      <group>L1_Word</group>
      <groupName>字词问题</groupName>
      <ability>L2_Typo</ability>
      <abilityName>字词错误</abilityName>
      <candidateList>
        <item>交由</item>
      </candidateList>
      <explain>存在发音相同字词的误用。</explain>
      <paraID>3D27EB83</paraID>
      <start>117</start>
      <end>119</end>
      <status>unmodified</status>
      <modifiedWord/>
      <trackRevisions>false</trackRevisions>
    </reviewItem>
    <reviewItem>
      <errorID>18251573-a8f8-408d-97fa-21ecda415a51</errorID>
      <errorWord>交有</errorWord>
      <group>L1_Word</group>
      <groupName>字词问题</groupName>
      <ability>L2_Typo</ability>
      <abilityName>字词错误</abilityName>
      <candidateList>
        <item>交由</item>
      </candidateList>
      <explain>存在发音相同字词的误用。</explain>
      <paraID>7CBA735B</paraID>
      <start>77</start>
      <end>79</end>
      <status>unmodified</status>
      <modifiedWord/>
      <trackRevisions>false</trackRevisions>
    </reviewItem>
    <reviewItem>
      <errorID>ac3e6ecf-250d-4aa0-8778-cd9d849d91cf</errorID>
      <errorWord>源源</errorWord>
      <group>L1_Word</group>
      <groupName>字词问题</groupName>
      <ability>L2_Typo</ability>
      <abilityName>字词错误</abilityName>
      <candidateList>
        <item>源</item>
      </candidateList>
      <explain/>
      <paraID>38676128</paraID>
      <start>1</start>
      <end>3</end>
      <status>unmodified</status>
      <modifiedWord/>
      <trackRevisions>false</trackRevisions>
    </reviewItem>
    <reviewItem>
      <errorID>3172501c-ec4d-46fe-bc7b-1090f2a861fc</errorID>
      <errorWord>:</errorWord>
      <group>L1_Format</group>
      <groupName>格式问题</groupName>
      <ability>L2_HalfPunc</ability>
      <abilityName>全半角检查</abilityName>
      <candidateList>
        <item>：</item>
      </candidateList>
      <explain>文本全半角错误。</explain>
      <paraID>25ABAAE5</paraID>
      <start>27</start>
      <end>28</end>
      <status>unmodified</status>
      <modifiedWord/>
      <trackRevisions>false</trackRevisions>
    </reviewItem>
    <reviewItem>
      <errorID>8fac4010-a096-4a19-aadc-1465e6bdfb2f</errorID>
      <errorWord>委托有</errorWord>
      <group>L1_Word</group>
      <groupName>字词问题</groupName>
      <ability>L2_Typo</ability>
      <abilityName>字词错误</abilityName>
      <candidateList>
        <item>委托</item>
      </candidateList>
      <explain/>
      <paraID>17D66A99</paraID>
      <start>2</start>
      <end>5</end>
      <status>unmodified</status>
      <modifiedWord/>
      <trackRevisions>false</trackRevisions>
    </reviewItem>
    <reviewItem>
      <errorID>2f775de6-f9ff-4d6c-a5b4-7d90b8420f64</errorID>
      <errorWord>处理</errorWord>
      <group>L1_Word</group>
      <groupName>字词问题</groupName>
      <ability>L2_Typo</ability>
      <abilityName>字词错误</abilityName>
      <candidateList>
        <item>理</item>
      </candidateList>
      <explain/>
      <paraID>15FE2D89</paraID>
      <start>19</start>
      <end>21</end>
      <status>unmodified</status>
      <modifiedWord/>
      <trackRevisions>false</trackRevisions>
    </reviewItem>
    <reviewItem>
      <errorID>bac7aa13-a2c5-4cfc-bb9c-3c5a86d4f9e9</errorID>
      <errorWord>，</errorWord>
      <group>L1_Format</group>
      <groupName>格式问题</groupName>
      <ability>L2_HalfPunc</ability>
      <abilityName>全半角检查</abilityName>
      <candidateList>
        <item>, </item>
      </candidateList>
      <explain>文本全半角错误。</explain>
      <paraID>1677F77A</paraID>
      <start>1</start>
      <end>2</end>
      <status>unmodified</status>
      <modifiedWord/>
      <trackRevisions>false</trackRevisions>
    </reviewItem>
    <reviewItem>
      <errorID>4ace1eb1-efe5-475a-9ff0-0d3156a610c5</errorID>
      <errorWord>，</errorWord>
      <group>L1_Format</group>
      <groupName>格式问题</groupName>
      <ability>L2_HalfPunc</ability>
      <abilityName>全半角检查</abilityName>
      <candidateList>
        <item>, </item>
      </candidateList>
      <explain>文本全半角错误。</explain>
      <paraID>64ACCEE8</paraID>
      <start>1</start>
      <end>2</end>
      <status>unmodified</status>
      <modifiedWord/>
      <trackRevisions>false</trackRevisions>
    </reviewItem>
    <reviewItem>
      <errorID>eee65274-915f-4fdd-8830-b033c04eedbe</errorID>
      <errorWord>委托有</errorWord>
      <group>L1_Word</group>
      <groupName>字词问题</groupName>
      <ability>L2_Typo</ability>
      <abilityName>字词错误</abilityName>
      <candidateList>
        <item>委托</item>
      </candidateList>
      <explain/>
      <paraID>56F97189</paraID>
      <start>13</start>
      <end>16</end>
      <status>unmodified</status>
      <modifiedWord/>
      <trackRevisions>false</trackRevisions>
    </reviewItem>
    <reviewItem>
      <errorID>1ef9a620-72fa-4942-aa17-8eb99eb77a12</errorID>
      <errorWord>，</errorWord>
      <group>L1_Format</group>
      <groupName>格式问题</groupName>
      <ability>L2_HalfPunc</ability>
      <abilityName>全半角检查</abilityName>
      <candidateList>
        <item>, </item>
      </candidateList>
      <explain>文本全半角错误。</explain>
      <paraID>295CAD7B</paraID>
      <start>1</start>
      <end>2</end>
      <status>unmodified</status>
      <modifiedWord/>
      <trackRevisions>false</trackRevisions>
    </reviewItem>
    <reviewItem>
      <errorID>50073377-6bbe-4d4b-b24d-5de667caaddc</errorID>
      <errorWord>，</errorWord>
      <group>L1_Format</group>
      <groupName>格式问题</groupName>
      <ability>L2_HalfPunc</ability>
      <abilityName>全半角检查</abilityName>
      <candidateList>
        <item>, </item>
      </candidateList>
      <explain>文本全半角错误。</explain>
      <paraID>4905AB82</paraID>
      <start>1</start>
      <end>2</end>
      <status>unmodified</status>
      <modifiedWord/>
      <trackRevisions>false</trackRevisions>
    </reviewItem>
    <reviewItem>
      <errorID>79dec1ab-1fff-4064-98bd-3d40b816314d</errorID>
      <errorWord>委托有</errorWord>
      <group>L1_Word</group>
      <groupName>字词问题</groupName>
      <ability>L2_Typo</ability>
      <abilityName>字词错误</abilityName>
      <candidateList>
        <item>委托</item>
      </candidateList>
      <explain/>
      <paraID>4CF827A1</paraID>
      <start>13</start>
      <end>16</end>
      <status>unmodified</status>
      <modifiedWord/>
      <trackRevisions>false</trackRevisions>
    </reviewItem>
    <reviewItem>
      <errorID>1e1def64-7773-452e-91ad-093bcc478eda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595AD3C0</paraID>
      <start>144</start>
      <end>145</end>
      <status>unmodified</status>
      <modifiedWord/>
      <trackRevisions>false</trackRevisions>
    </reviewItem>
    <reviewItem>
      <errorID>66388b58-eb88-4a72-bee5-4d26f0f79eb4</errorID>
      <errorWord>站已</errorWord>
      <group>L1_Word</group>
      <groupName>字词问题</groupName>
      <ability>L2_Typo</ability>
      <abilityName>字词错误</abilityName>
      <candidateList>
        <item>站</item>
      </candidateList>
      <explain/>
      <paraID>595AD3C0</paraID>
      <start>195</start>
      <end>196</end>
      <status>modified</status>
      <modifiedWord>站</modifiedWord>
      <trackRevisions>false</trackRevisions>
    </reviewItem>
    <reviewItem>
      <errorID>6d4b667e-05f0-4c1c-8e74-766c16dbc868</errorID>
      <errorWord>导至</errorWord>
      <group>L1_Word</group>
      <groupName>字词问题</groupName>
      <ability>L2_Typo</ability>
      <abilityName>字词错误</abilityName>
      <candidateList>
        <item>导致</item>
      </candidateList>
      <explain>〈动〉引起：由一些小的矛盾～双方关系破裂。</explain>
      <paraID>595AD3C0</paraID>
      <start>310</start>
      <end>312</end>
      <status>modified</status>
      <modifiedWord>导致</modifiedWord>
      <trackRevisions>false</trackRevisions>
    </reviewItem>
    <reviewItem>
      <errorID>5e4f59ab-bbc2-4b96-acbe-556165fd4750</errorID>
      <errorWord>（</errorWord>
      <group>L1_Punc</group>
      <groupName>标点问题</groupName>
      <ability>L2_Punc</ability>
      <abilityName>标点符号检查</abilityName>
      <candidateList>
        <item/>
      </candidateList>
      <explain>同一形式括号套用。</explain>
      <paraID>698C55FA</paraID>
      <start>37</start>
      <end>38</end>
      <status>unmodified</status>
      <modifiedWord/>
      <trackRevisions>false</trackRevisions>
    </reviewItem>
    <reviewItem>
      <errorID>c88f881d-0cc0-4722-a83f-badc8f269dc8</errorID>
      <errorWord>(</errorWord>
      <group>L1_Punc</group>
      <groupName>标点问题</groupName>
      <ability>L2_Punc</ability>
      <abilityName>标点符号检查</abilityName>
      <candidateList/>
      <explain>同一形式括号套用。</explain>
      <paraID>698C55FA</paraID>
      <start>86</start>
      <end>87</end>
      <status>unmodified</status>
      <modifiedWord/>
      <trackRevisions>false</trackRevisions>
    </reviewItem>
    <reviewItem>
      <errorID>e7dc162a-c793-42e6-8e9c-f27d1a7c1db7</errorID>
      <errorWord>)</errorWord>
      <group>L1_Punc</group>
      <groupName>标点问题</groupName>
      <ability>L2_Punc</ability>
      <abilityName>标点符号检查</abilityName>
      <candidateList/>
      <explain>同一形式括号套用。</explain>
      <paraID>698C55FA</paraID>
      <start>91</start>
      <end>92</end>
      <status>unmodified</status>
      <modifiedWord/>
      <trackRevisions>false</trackRevisions>
    </reviewItem>
    <reviewItem>
      <errorID>ad9e02f8-de1a-4cd6-908a-5e38804ed1d6</errorID>
      <errorWord>）</errorWord>
      <group>L1_Punc</group>
      <groupName>标点问题</groupName>
      <ability>L2_Punc</ability>
      <abilityName>标点符号检查</abilityName>
      <candidateList/>
      <explain>同一形式括号套用。</explain>
      <paraID>698C55FA</paraID>
      <start>103</start>
      <end>104</end>
      <status>unmodified</status>
      <modifiedWord/>
      <trackRevisions>false</trackRevisions>
    </reviewItem>
    <reviewItem>
      <errorID>e8f1ac89-51d0-4390-9318-91683b50750a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698C55FA</paraID>
      <start>122</start>
      <end>123</end>
      <status>unmodified</status>
      <modifiedWord/>
      <trackRevisions>false</trackRevisions>
    </reviewItem>
    <reviewItem>
      <errorID>1d1a83eb-e98a-42d8-9288-168f78290fe1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76145934</paraID>
      <start>29</start>
      <end>30</end>
      <status>unmodified</status>
      <modifiedWord/>
      <trackRevisions>false</trackRevisions>
    </reviewItem>
    <reviewItem>
      <errorID>8be90e6f-5597-4ddf-b3f5-089d1266a557</errorID>
      <errorWord>]0</errorWord>
      <group>L1_Punc</group>
      <groupName>标点问题</groupName>
      <ability>L2_Punc</ability>
      <abilityName>标点符号检查</abilityName>
      <candidateList>
        <item>〕0</item>
      </candidateList>
      <explain/>
      <paraID>3EA182AB</paraID>
      <start>24</start>
      <end>26</end>
      <status>unmodified</status>
      <modifiedWord/>
      <trackRevisions>false</trackRevisions>
    </reviewItem>
    <reviewItem>
      <errorID>ec7b9b11-11ab-4895-94bf-633fe2364bfc</errorID>
      <errorWord>泄露</errorWord>
      <group>L1_Word</group>
      <groupName>字词问题</groupName>
      <ability>L2_Typo</ability>
      <abilityName>字词错误</abilityName>
      <candidateList>
        <item>泄漏</item>
      </candidateList>
      <explain/>
      <paraID>723A3968</paraID>
      <start>0</start>
      <end>2</end>
      <status>modified</status>
      <modifiedWord>泄漏</modifiedWord>
      <trackRevisions>false</trackRevisions>
    </reviewItem>
    <reviewItem>
      <errorID>1a8b6228-a6fd-464c-beb9-e7f225242ff9</errorID>
      <errorWord>泄露时间</errorWord>
      <group>L1_Knowledge</group>
      <groupName>知识性问题</groupName>
      <ability>L2_Term</ability>
      <abilityName>专业术语</abilityName>
      <candidateList>
        <item>曝露时间</item>
      </candidateList>
      <explain/>
      <paraID>4FCC71EE</paraID>
      <start>28</start>
      <end>32</end>
      <status>unmodified</status>
      <modifiedWord/>
      <trackRevisions>false</trackRevisions>
    </reviewItem>
    <reviewItem>
      <errorID>1d725f8d-6461-4af4-9397-5b462b35cf1c</errorID>
      <errorWord>减降</errorWord>
      <group>L1_Word</group>
      <groupName>字词问题</groupName>
      <ability>L2_Typo</ability>
      <abilityName>字词错误</abilityName>
      <candidateList>
        <item>减少</item>
      </candidateList>
      <explain>〈动〉减去一部分：～人员｜～麻烦｜工作中的缺点～了。</explain>
      <paraID>5ABD4201</paraID>
      <start>26</start>
      <end>28</end>
      <status>unmodified</status>
      <modifiedWord/>
      <trackRevisions>false</trackRevisions>
    </reviewItem>
    <reviewItem>
      <errorID>8963d333-4ac9-4e66-ae79-c159e6a63a35</errorID>
      <errorWord>环境的</errorWord>
      <group>L1_Word</group>
      <groupName>字词问题</groupName>
      <ability>L2_Typo</ability>
      <abilityName>字词错误</abilityName>
      <candidateList>
        <item>环境</item>
      </candidateList>
      <explain>〈名〉❶周围的地方：～优美｜～卫生。❷周围的情况和条件：客观～｜工作～。</explain>
      <paraID>4F545AFA</paraID>
      <start>88</start>
      <end>91</end>
      <status>unmodified</status>
      <modifiedWord/>
      <trackRevisions>false</trackRevisions>
    </reviewItem>
    <reviewItem>
      <errorID>23293bb8-3675-4aef-9ebe-d360a2d279ff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21E874A3</paraID>
      <start>0</start>
      <end>2</end>
      <status>unmodified</status>
      <modifiedWord/>
      <trackRevisions>false</trackRevisions>
    </reviewItem>
    <reviewItem>
      <errorID>7c3f9913-5f2a-4715-94c5-301b48a1f4bb</errorID>
      <errorWord>涉及到</errorWord>
      <group>L1_Word</group>
      <groupName>字词问题</groupName>
      <ability>L2_Typo</ability>
      <abilityName>字词错误</abilityName>
      <candidateList>
        <item>涉及</item>
      </candidateList>
      <explain>〈动〉牵涉到；关联到：案子～好几个人｜这个问题～面很广。</explain>
      <paraID>21F3679F</paraID>
      <start>17</start>
      <end>20</end>
      <status>unmodified</status>
      <modifiedWord/>
      <trackRevisions>false</trackRevisions>
    </reviewItem>
    <reviewItem>
      <errorID>efd05f70-5dbd-43e9-8d06-3d771fb8287c</errorID>
      <errorWord>-</errorWord>
      <group>L1_Format</group>
      <groupName>格式问题</groupName>
      <ability>L2_HalfPunc</ability>
      <abilityName>全半角检查</abilityName>
      <candidateList>
        <item>－</item>
      </candidateList>
      <explain>文本全半角错误。</explain>
      <paraID>21F3679F</paraID>
      <start>80</start>
      <end>81</end>
      <status>unmodified</status>
      <modifiedWord/>
      <trackRevisions>false</trackRevisions>
    </reviewItem>
    <reviewItem>
      <errorID>8b6ed7ae-cb8a-4963-814f-2597a29290ae</errorID>
      <errorWord>-</errorWord>
      <group>L1_Format</group>
      <groupName>格式问题</groupName>
      <ability>L2_HalfPunc</ability>
      <abilityName>全半角检查</abilityName>
      <candidateList>
        <item>－</item>
      </candidateList>
      <explain>文本全半角错误。</explain>
      <paraID>21F3679F</paraID>
      <start>83</start>
      <end>84</end>
      <status>unmodified</status>
      <modifiedWord/>
      <trackRevisions>false</trackRevisions>
    </reviewItem>
    <reviewItem>
      <errorID>54046248-47b3-4806-ba1d-8faefe062a4e</errorID>
      <errorWord>各</errorWord>
      <group>L1_Word</group>
      <groupName>字词问题</groupName>
      <ability>L2_Typo</ability>
      <abilityName>字词错误</abilityName>
      <candidateList>
        <item>各生</item>
      </candidateList>
      <explain/>
      <paraID> E7EEA8D</paraID>
      <start>6</start>
      <end>8</end>
      <status>modified</status>
      <modifiedWord>各生</modifiedWord>
      <trackRevisions>false</trackRevisions>
    </reviewItem>
    <reviewItem>
      <errorID>fa6fe386-fc1c-43b1-b208-7bad9ffeac76</errorID>
      <errorWord>各</errorWord>
      <group>L1_Word</group>
      <groupName>字词问题</groupName>
      <ability>L2_Typo</ability>
      <abilityName>字词错误</abilityName>
      <candidateList>
        <item>各生</item>
      </candidateList>
      <explain/>
      <paraID> E7EEA8D</paraID>
      <start>80</start>
      <end>82</end>
      <status>modified</status>
      <modifiedWord>各生</modifiedWord>
      <trackRevisions>false</trackRevisions>
    </reviewItem>
    <reviewItem>
      <errorID>371ae664-87dc-4033-a9a2-37bdd2c9699b</errorID>
      <errorWord>风频</errorWord>
      <group>L1_Word</group>
      <groupName>字词问题</groupName>
      <ability>L2_Typo</ability>
      <abilityName>字词错误</abilityName>
      <candidateList>
        <item>风铃</item>
      </candidateList>
      <explain/>
      <paraID>55E4F4C6</paraID>
      <start>14</start>
      <end>16</end>
      <status>unmodified</status>
      <modifiedWord/>
      <trackRevisions>false</trackRevisions>
    </reviewItem>
    <reviewItem>
      <errorID>e98d39ce-3529-47c3-9572-b5375e6d72ec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5730BE9B</paraID>
      <start>0</start>
      <end>2</end>
      <status>unmodified</status>
      <modifiedWord/>
      <trackRevisions>false</trackRevisions>
    </reviewItem>
    <reviewItem>
      <errorID>91260139-49dc-431e-861b-988663fb9b74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4190A0F3</paraID>
      <start>0</start>
      <end>2</end>
      <status>unmodified</status>
      <modifiedWord/>
      <trackRevisions>false</trackRevisions>
    </reviewItem>
    <reviewItem>
      <errorID>77160ee3-417d-4911-88a8-f87aacdf6a0c</errorID>
      <errorWord>~</errorWord>
      <group>L1_Format</group>
      <groupName>格式问题</groupName>
      <ability>L2_HalfPunc</ability>
      <abilityName>全半角检查</abilityName>
      <candidateList>
        <item>～</item>
      </candidateList>
      <explain>文本全半角错误。</explain>
      <paraID>2BCE32FC</paraID>
      <start>152</start>
      <end>153</end>
      <status>unmodified</status>
      <modifiedWord/>
      <trackRevisions>false</trackRevisions>
    </reviewItem>
    <reviewItem>
      <errorID>7188a501-bc2d-4bc2-9d26-6126c34015b3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3041642B</paraID>
      <start>0</start>
      <end>2</end>
      <status>unmodified</status>
      <modifiedWord/>
      <trackRevisions>false</trackRevisions>
    </reviewItem>
    <reviewItem>
      <errorID>e7152bca-d2af-4e2b-9505-7c0773c59722</errorID>
      <errorWord>冻土深度</errorWord>
      <group>L1_Knowledge</group>
      <groupName>知识性问题</groupName>
      <ability>L2_Term</ability>
      <abilityName>专业术语</abilityName>
      <candidateList>
        <item>覆土深度</item>
      </candidateList>
      <explain/>
      <paraID>50280D22</paraID>
      <start>35</start>
      <end>39</end>
      <status>unmodified</status>
      <modifiedWord/>
      <trackRevisions>false</trackRevisions>
    </reviewItem>
    <reviewItem>
      <errorID>e71b2711-5da1-4ff4-87ae-291ed373e38d</errorID>
      <errorWord>厂址</errorWord>
      <group>L1_Word</group>
      <groupName>字词问题</groupName>
      <ability>L2_Typo</ability>
      <abilityName>字词错误</abilityName>
      <candidateList>
        <item>场址</item>
      </candidateList>
      <explain>存在发音相同字词的误用。</explain>
      <paraID>50280D22</paraID>
      <start>45</start>
      <end>47</end>
      <status>unmodified</status>
      <modifiedWord/>
      <trackRevisions>false</trackRevisions>
    </reviewItem>
    <reviewItem>
      <errorID>bcd69cf3-eb89-4860-8fee-476f6b41d0ab</errorID>
      <errorWord>勘察</errorWord>
      <group>L1_Word</group>
      <groupName>字词问题</groupName>
      <ability>L2_Typo</ability>
      <abilityName>字词错误</abilityName>
      <candidateList>
        <item>勘查</item>
      </candidateList>
      <explain/>
      <paraID>50280D22</paraID>
      <start>47</start>
      <end>49</end>
      <status>unmodified</status>
      <modifiedWord/>
      <trackRevisions>false</trackRevisions>
    </reviewItem>
    <reviewItem>
      <errorID>a291adf2-4712-440b-8f2e-d89c6c85684c</errorID>
      <errorWord>新</errorWord>
      <group>L1_Word</group>
      <groupName>字词问题</groupName>
      <ability>L2_Typo</ability>
      <abilityName>字词错误</abilityName>
      <candidateList>
        <item>新系</item>
      </candidateList>
      <explain/>
      <paraID>2AD26266</paraID>
      <start>2</start>
      <end>3</end>
      <status>unmodified</status>
      <modifiedWord/>
      <trackRevisions>false</trackRevisions>
    </reviewItem>
    <reviewItem>
      <errorID>c5750f10-c21a-4056-a779-98c948369e14</errorID>
      <errorWord>成份</errorWord>
      <group>L1_Word</group>
      <groupName>字词问题</groupName>
      <ability>L2_Typo</ability>
      <abilityName>字词错误</abilityName>
      <candidateList>
        <item>成分</item>
      </candidateList>
      <explain>存在发音相同字词的误用。</explain>
      <paraID>5617260E</paraID>
      <start>96</start>
      <end>98</end>
      <status>unmodified</status>
      <modifiedWord/>
      <trackRevisions>false</trackRevisions>
    </reviewItem>
    <reviewItem>
      <errorID>d2f78466-b509-4875-90c4-c3b95516620f</errorID>
      <errorWord>成份复杂</errorWord>
      <group>L1_Word</group>
      <groupName>字词问题</groupName>
      <ability>L2_Variant</ability>
      <abilityName>异形词</abilityName>
      <candidateList>
        <item>成分复杂</item>
      </candidateList>
      <explain>词汇[成份复杂]的规范词形写作[成分复杂]。</explain>
      <paraID>263D99E0</paraID>
      <start>57</start>
      <end>61</end>
      <status>unmodified</status>
      <modifiedWord/>
      <trackRevisions>false</trackRevisions>
    </reviewItem>
    <reviewItem>
      <errorID>b401bc7e-d8ac-4896-83ed-daf61f6bc531</errorID>
      <errorWord>新</errorWord>
      <group>L1_Word</group>
      <groupName>字词问题</groupName>
      <ability>L2_Typo</ability>
      <abilityName>字词错误</abilityName>
      <candidateList>
        <item>新系</item>
      </candidateList>
      <explain/>
      <paraID>663D4F27</paraID>
      <start>2</start>
      <end>3</end>
      <status>unmodified</status>
      <modifiedWord/>
      <trackRevisions>false</trackRevisions>
    </reviewItem>
    <reviewItem>
      <errorID>ebaf32e9-7a5f-4be0-9716-d1e0d0b0fb11</errorID>
      <errorWord>成份复杂</errorWord>
      <group>L1_Word</group>
      <groupName>字词问题</groupName>
      <ability>L2_Variant</ability>
      <abilityName>异形词</abilityName>
      <candidateList>
        <item>成分复杂</item>
      </candidateList>
      <explain>词汇[成份复杂]的规范词形写作[成分复杂]。</explain>
      <paraID>25638379</paraID>
      <start>91</start>
      <end>95</end>
      <status>unmodified</status>
      <modifiedWord/>
      <trackRevisions>false</trackRevisions>
    </reviewItem>
    <reviewItem>
      <errorID>d7f51fc2-5f4a-42e1-92a6-949a033b227e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1D5FDB77</paraID>
      <start>0</start>
      <end>2</end>
      <status>unmodified</status>
      <modifiedWord/>
      <trackRevisions>false</trackRevisions>
    </reviewItem>
    <reviewItem>
      <errorID>2ebc399e-d624-4a27-94dd-3e27e28fb74a</errorID>
      <errorWord>地区</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21992F34</paraID>
      <start>54</start>
      <end>56</end>
      <status>unmodified</status>
      <modifiedWord/>
      <trackRevisions>false</trackRevisions>
    </reviewItem>
    <reviewItem>
      <errorID>4d204945-9b8c-41d6-bfc1-3e8dfc2e44c7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21992F34</paraID>
      <start>116</start>
      <end>117</end>
      <status>unmodified</status>
      <modifiedWord/>
      <trackRevisions>false</trackRevisions>
    </reviewItem>
    <reviewItem>
      <errorID>c0b2a74c-03b2-43a7-99c6-f92e7a0b7648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21992F34</paraID>
      <start>125</start>
      <end>126</end>
      <status>unmodified</status>
      <modifiedWord/>
      <trackRevisions>false</trackRevisions>
    </reviewItem>
    <reviewItem>
      <errorID>c8ee8914-d33d-436f-bd0b-56be8967ab5f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615C79C7</paraID>
      <start>105</start>
      <end>106</end>
      <status>unmodified</status>
      <modifiedWord/>
      <trackRevisions>false</trackRevisions>
    </reviewItem>
    <reviewItem>
      <errorID>4329698d-9c56-4f1d-8346-278b6013f9a3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F2DE47E</paraID>
      <start>0</start>
      <end>2</end>
      <status>unmodified</status>
      <modifiedWord/>
      <trackRevisions>false</trackRevisions>
    </reviewItem>
    <reviewItem>
      <errorID>3a1223df-4a07-4f85-81ba-7d2449a70488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36D3BC23</paraID>
      <start>0</start>
      <end>2</end>
      <status>unmodified</status>
      <modifiedWord/>
      <trackRevisions>false</trackRevisions>
    </reviewItem>
    <reviewItem>
      <errorID>88601b99-f85b-4093-8516-9788a258592c</errorID>
      <errorWord>~</errorWord>
      <group>L1_Format</group>
      <groupName>格式问题</groupName>
      <ability>L2_HalfPunc</ability>
      <abilityName>全半角检查</abilityName>
      <candidateList>
        <item>～</item>
      </candidateList>
      <explain>文本全半角错误。</explain>
      <paraID>75E41B76</paraID>
      <start>96</start>
      <end>97</end>
      <status>unmodified</status>
      <modifiedWord/>
      <trackRevisions>false</trackRevisions>
    </reviewItem>
    <reviewItem>
      <errorID>85b2ca62-b3bd-42fe-a41c-036b8ed480c5</errorID>
      <errorWord>~</errorWord>
      <group>L1_Format</group>
      <groupName>格式问题</groupName>
      <ability>L2_HalfPunc</ability>
      <abilityName>全半角检查</abilityName>
      <candidateList>
        <item>～</item>
      </candidateList>
      <explain>文本全半角错误。</explain>
      <paraID>75E41B76</paraID>
      <start>105</start>
      <end>106</end>
      <status>unmodified</status>
      <modifiedWord/>
      <trackRevisions>false</trackRevisions>
    </reviewItem>
    <reviewItem>
      <errorID>33d62fe5-783a-40a9-994d-5a6fe4181d73</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37D9630D</paraID>
      <start>13</start>
      <end>15</end>
      <status>unmodified</status>
      <modifiedWord/>
      <trackRevisions>false</trackRevisions>
    </reviewItem>
    <reviewItem>
      <errorID>368dbc07-35fa-42f8-b5ec-6d5163a80684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56E71A61</paraID>
      <start>24</start>
      <end>25</end>
      <status>unmodified</status>
      <modifiedWord/>
      <trackRevisions>false</trackRevisions>
    </reviewItem>
    <reviewItem>
      <errorID>d1c0be54-69d9-46a9-8a91-f693fbc11b98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56E71A61</paraID>
      <start>34</start>
      <end>35</end>
      <status>unmodified</status>
      <modifiedWord/>
      <trackRevisions>false</trackRevisions>
    </reviewItem>
    <reviewItem>
      <errorID>550edd18-07f2-4056-a10c-0d6d83973f67</errorID>
      <errorWord>~</errorWord>
      <group>L1_Format</group>
      <groupName>格式问题</groupName>
      <ability>L2_HalfPunc</ability>
      <abilityName>全半角检查</abilityName>
      <candidateList>
        <item>～</item>
      </candidateList>
      <explain>文本全半角错误。</explain>
      <paraID>56E71A61</paraID>
      <start>117</start>
      <end>118</end>
      <status>unmodified</status>
      <modifiedWord/>
      <trackRevisions>false</trackRevisions>
    </reviewItem>
    <reviewItem>
      <errorID>675fdbd6-c5f4-4425-83c6-cefdfca3bf70</errorID>
      <errorWord>~</errorWord>
      <group>L1_Format</group>
      <groupName>格式问题</groupName>
      <ability>L2_HalfPunc</ability>
      <abilityName>全半角检查</abilityName>
      <candidateList>
        <item>～</item>
      </candidateList>
      <explain>文本全半角错误。</explain>
      <paraID>4BE48A65</paraID>
      <start>41</start>
      <end>42</end>
      <status>unmodified</status>
      <modifiedWord/>
      <trackRevisions>false</trackRevisions>
    </reviewItem>
    <reviewItem>
      <errorID>e61432bd-2e19-4999-a545-bf6e88dd214d</errorID>
      <errorWord>~</errorWord>
      <group>L1_Format</group>
      <groupName>格式问题</groupName>
      <ability>L2_HalfPunc</ability>
      <abilityName>全半角检查</abilityName>
      <candidateList>
        <item>～</item>
      </candidateList>
      <explain>文本全半角错误。</explain>
      <paraID>4BE48A65</paraID>
      <start>52</start>
      <end>53</end>
      <status>unmodified</status>
      <modifiedWord/>
      <trackRevisions>false</trackRevisions>
    </reviewItem>
    <reviewItem>
      <errorID>29288612-99ab-4e84-8794-925f905bd680</errorID>
      <errorWord>~</errorWord>
      <group>L1_Format</group>
      <groupName>格式问题</groupName>
      <ability>L2_HalfPunc</ability>
      <abilityName>全半角检查</abilityName>
      <candidateList>
        <item>～</item>
      </candidateList>
      <explain>文本全半角错误。</explain>
      <paraID>4BE48A65</paraID>
      <start>70</start>
      <end>71</end>
      <status>unmodified</status>
      <modifiedWord/>
      <trackRevisions>false</trackRevisions>
    </reviewItem>
    <reviewItem>
      <errorID>5de13f1b-5f37-49b6-8ba7-b0d5701b65c7</errorID>
      <errorWord>~</errorWord>
      <group>L1_Format</group>
      <groupName>格式问题</groupName>
      <ability>L2_HalfPunc</ability>
      <abilityName>全半角检查</abilityName>
      <candidateList>
        <item>～</item>
      </candidateList>
      <explain>文本全半角错误。</explain>
      <paraID>4BE48A65</paraID>
      <start>81</start>
      <end>82</end>
      <status>unmodified</status>
      <modifiedWord/>
      <trackRevisions>false</trackRevisions>
    </reviewItem>
    <reviewItem>
      <errorID>294fb248-bfbf-4e96-b361-f79f165cf39c</errorID>
      <errorWord>~</errorWord>
      <group>L1_Format</group>
      <groupName>格式问题</groupName>
      <ability>L2_HalfPunc</ability>
      <abilityName>全半角检查</abilityName>
      <candidateList>
        <item>～</item>
      </candidateList>
      <explain>文本全半角错误。</explain>
      <paraID>4BE48A65</paraID>
      <start>94</start>
      <end>95</end>
      <status>unmodified</status>
      <modifiedWord/>
      <trackRevisions>false</trackRevisions>
    </reviewItem>
    <reviewItem>
      <errorID>5c237ea2-e57d-4e48-8683-7457be927222</errorID>
      <errorWord>~</errorWord>
      <group>L1_Format</group>
      <groupName>格式问题</groupName>
      <ability>L2_HalfPunc</ability>
      <abilityName>全半角检查</abilityName>
      <candidateList>
        <item>～</item>
      </candidateList>
      <explain>文本全半角错误。</explain>
      <paraID>4BE48A65</paraID>
      <start>206</start>
      <end>207</end>
      <status>unmodified</status>
      <modifiedWord/>
      <trackRevisions>false</trackRevisions>
    </reviewItem>
    <reviewItem>
      <errorID>8e024077-e8b8-41b6-87ec-77a702bf0f34</errorID>
      <errorWord>~</errorWord>
      <group>L1_Format</group>
      <groupName>格式问题</groupName>
      <ability>L2_HalfPunc</ability>
      <abilityName>全半角检查</abilityName>
      <candidateList>
        <item>～</item>
      </candidateList>
      <explain>文本全半角错误。</explain>
      <paraID>4BE48A65</paraID>
      <start>219</start>
      <end>220</end>
      <status>unmodified</status>
      <modifiedWord/>
      <trackRevisions>false</trackRevisions>
    </reviewItem>
    <reviewItem>
      <errorID>9bdf8088-c1b2-4e9f-b473-14ec756c560d</errorID>
      <errorWord>~</errorWord>
      <group>L1_Format</group>
      <groupName>格式问题</groupName>
      <ability>L2_HalfPunc</ability>
      <abilityName>全半角检查</abilityName>
      <candidateList>
        <item>～</item>
      </candidateList>
      <explain>文本全半角错误。</explain>
      <paraID>2E58AD06</paraID>
      <start>6</start>
      <end>7</end>
      <status>unmodified</status>
      <modifiedWord/>
      <trackRevisions>false</trackRevisions>
    </reviewItem>
    <reviewItem>
      <errorID>dd4b667a-aaf3-4531-b904-a396cb5f418a</errorID>
      <errorWord>~</errorWord>
      <group>L1_Format</group>
      <groupName>格式问题</groupName>
      <ability>L2_HalfPunc</ability>
      <abilityName>全半角检查</abilityName>
      <candidateList>
        <item>～</item>
      </candidateList>
      <explain>文本全半角错误。</explain>
      <paraID>2E58AD06</paraID>
      <start>24</start>
      <end>25</end>
      <status>unmodified</status>
      <modifiedWord/>
      <trackRevisions>false</trackRevisions>
    </reviewItem>
    <reviewItem>
      <errorID>59779eb3-7c64-422e-88c1-b2f4cd416aea</errorID>
      <errorWord>~</errorWord>
      <group>L1_Format</group>
      <groupName>格式问题</groupName>
      <ability>L2_HalfPunc</ability>
      <abilityName>全半角检查</abilityName>
      <candidateList>
        <item>～</item>
      </candidateList>
      <explain>文本全半角错误。</explain>
      <paraID>2E58AD06</paraID>
      <start>64</start>
      <end>65</end>
      <status>unmodified</status>
      <modifiedWord/>
      <trackRevisions>false</trackRevisions>
    </reviewItem>
    <reviewItem>
      <errorID>5cfba24b-843f-4257-beef-6eda5ae9bf93</errorID>
      <errorWord>~</errorWord>
      <group>L1_Format</group>
      <groupName>格式问题</groupName>
      <ability>L2_HalfPunc</ability>
      <abilityName>全半角检查</abilityName>
      <candidateList>
        <item>～</item>
      </candidateList>
      <explain>文本全半角错误。</explain>
      <paraID>2E58AD06</paraID>
      <start>134</start>
      <end>135</end>
      <status>unmodified</status>
      <modifiedWord/>
      <trackRevisions>false</trackRevisions>
    </reviewItem>
    <reviewItem>
      <errorID>f8558b94-8ca4-41a9-86e0-9bca7e35c741</errorID>
      <errorWord>~</errorWord>
      <group>L1_Format</group>
      <groupName>格式问题</groupName>
      <ability>L2_HalfPunc</ability>
      <abilityName>全半角检查</abilityName>
      <candidateList>
        <item>～</item>
      </candidateList>
      <explain>文本全半角错误。</explain>
      <paraID>2E58AD06</paraID>
      <start>154</start>
      <end>155</end>
      <status>unmodified</status>
      <modifiedWord/>
      <trackRevisions>false</trackRevisions>
    </reviewItem>
    <reviewItem>
      <errorID>80ad0e99-9b98-4b5e-b324-489015d77cd1</errorID>
      <errorWord>~</errorWord>
      <group>L1_Format</group>
      <groupName>格式问题</groupName>
      <ability>L2_HalfPunc</ability>
      <abilityName>全半角检查</abilityName>
      <candidateList>
        <item>～</item>
      </candidateList>
      <explain>文本全半角错误。</explain>
      <paraID>2E58AD06</paraID>
      <start>201</start>
      <end>202</end>
      <status>unmodified</status>
      <modifiedWord/>
      <trackRevisions>false</trackRevisions>
    </reviewItem>
    <reviewItem>
      <errorID>fb974225-daa2-4065-83cd-1a703c7c3aa1</errorID>
      <errorWord>~</errorWord>
      <group>L1_Format</group>
      <groupName>格式问题</groupName>
      <ability>L2_HalfPunc</ability>
      <abilityName>全半角检查</abilityName>
      <candidateList>
        <item>～</item>
      </candidateList>
      <explain>文本全半角错误。</explain>
      <paraID>6DBE083E</paraID>
      <start>20</start>
      <end>21</end>
      <status>unmodified</status>
      <modifiedWord/>
      <trackRevisions>false</trackRevisions>
    </reviewItem>
    <reviewItem>
      <errorID>6db9b690-dd08-4878-a713-a524ef26e9f3</errorID>
      <errorWord>~</errorWord>
      <group>L1_Format</group>
      <groupName>格式问题</groupName>
      <ability>L2_HalfPunc</ability>
      <abilityName>全半角检查</abilityName>
      <candidateList>
        <item>～</item>
      </candidateList>
      <explain>文本全半角错误。</explain>
      <paraID>6DBE083E</paraID>
      <start>41</start>
      <end>42</end>
      <status>unmodified</status>
      <modifiedWord/>
      <trackRevisions>false</trackRevisions>
    </reviewItem>
    <reviewItem>
      <errorID>5eab4b24-6c41-4c88-99c4-bc1bf25108ee</errorID>
      <errorWord>~</errorWord>
      <group>L1_Format</group>
      <groupName>格式问题</groupName>
      <ability>L2_HalfPunc</ability>
      <abilityName>全半角检查</abilityName>
      <candidateList>
        <item>～</item>
      </candidateList>
      <explain>文本全半角错误。</explain>
      <paraID>6DBE083E</paraID>
      <start>57</start>
      <end>58</end>
      <status>unmodified</status>
      <modifiedWord/>
      <trackRevisions>false</trackRevisions>
    </reviewItem>
    <reviewItem>
      <errorID>f7f9e77b-b0c8-4a53-baef-c18e3fc1637c</errorID>
      <errorWord>~</errorWord>
      <group>L1_Format</group>
      <groupName>格式问题</groupName>
      <ability>L2_HalfPunc</ability>
      <abilityName>全半角检查</abilityName>
      <candidateList>
        <item>～</item>
      </candidateList>
      <explain>文本全半角错误。</explain>
      <paraID>6DBE083E</paraID>
      <start>67</start>
      <end>68</end>
      <status>unmodified</status>
      <modifiedWord/>
      <trackRevisions>false</trackRevisions>
    </reviewItem>
    <reviewItem>
      <errorID>562c8f7a-ce40-4c9d-82e9-a9e70385071a</errorID>
      <errorWord>~</errorWord>
      <group>L1_Format</group>
      <groupName>格式问题</groupName>
      <ability>L2_HalfPunc</ability>
      <abilityName>全半角检查</abilityName>
      <candidateList>
        <item>～</item>
      </candidateList>
      <explain>文本全半角错误。</explain>
      <paraID>6DBE083E</paraID>
      <start>94</start>
      <end>95</end>
      <status>unmodified</status>
      <modifiedWord/>
      <trackRevisions>false</trackRevisions>
    </reviewItem>
    <reviewItem>
      <errorID>92e26ee1-55bd-431b-a0b8-3bc8a4156239</errorID>
      <errorWord>-</errorWord>
      <group>L1_Format</group>
      <groupName>格式问题</groupName>
      <ability>L2_HalfPunc</ability>
      <abilityName>全半角检查</abilityName>
      <candidateList>
        <item>－</item>
      </candidateList>
      <explain>文本全半角错误。</explain>
      <paraID>2059EABD</paraID>
      <start>224</start>
      <end>225</end>
      <status>unmodified</status>
      <modifiedWord/>
      <trackRevisions>false</trackRevisions>
    </reviewItem>
    <reviewItem>
      <errorID>e5dd9fb8-60f6-4f55-91a7-0c762583ca77</errorID>
      <errorWord>减小</errorWord>
      <group>L1_Word</group>
      <groupName>字词问题</groupName>
      <ability>L2_Typo</ability>
      <abilityName>字词错误</abilityName>
      <candidateList>
        <item>减少</item>
      </candidateList>
      <explain>存在字形相近字词的误用。</explain>
      <paraID>2059EABD</paraID>
      <start>514</start>
      <end>516</end>
      <status>unmodified</status>
      <modifiedWord/>
      <trackRevisions>false</trackRevisions>
    </reviewItem>
    <reviewItem>
      <errorID>7cb818e4-0746-4cb0-a9b1-aff6adf8f457</errorID>
      <errorWord>饮用饮用</errorWord>
      <group>L1_Word</group>
      <groupName>字词问题</groupName>
      <ability>L2_Typo</ability>
      <abilityName>字词错误</abilityName>
      <candidateList>
        <item>饮用</item>
      </candidateList>
      <explain/>
      <paraID>2C2F4037</paraID>
      <start>24</start>
      <end>26</end>
      <status>modified</status>
      <modifiedWord>饮用</modifiedWord>
      <trackRevisions>false</trackRevisions>
    </reviewItem>
    <reviewItem>
      <errorID>f047127e-7c4f-492d-bcba-6597ab9dbe23</errorID>
      <errorWord>（</errorWord>
      <group>L1_Punc</group>
      <groupName>标点问题</groupName>
      <ability>L2_Punc</ability>
      <abilityName>标点符号检查</abilityName>
      <candidateList/>
      <explain>同一形式括号套用。</explain>
      <paraID>2C2F4037</paraID>
      <start>164</start>
      <end>165</end>
      <status>unmodified</status>
      <modifiedWord/>
      <trackRevisions>false</trackRevisions>
    </reviewItem>
    <reviewItem>
      <errorID>b89ed057-8975-4f16-a2b8-19e42e75d068</errorID>
      <errorWord>）</errorWord>
      <group>L1_Punc</group>
      <groupName>标点问题</groupName>
      <ability>L2_Punc</ability>
      <abilityName>标点符号检查</abilityName>
      <candidateList/>
      <explain>同一形式括号套用。</explain>
      <paraID>2C2F4037</paraID>
      <start>183</start>
      <end>184</end>
      <status>unmodified</status>
      <modifiedWord/>
      <trackRevisions>false</trackRevisions>
    </reviewItem>
    <reviewItem>
      <errorID>46b91b1f-cc6e-4c72-b91a-b3532e84a9c7</errorID>
      <errorWord>(</errorWord>
      <group>L1_Format</group>
      <groupName>格式问题</groupName>
      <ability>L2_HalfPunc</ability>
      <abilityName>全半角检查</abilityName>
      <candidateList>
        <item>（</item>
      </candidateList>
      <explain>文本全半角错误。</explain>
      <paraID>6F154EF5</paraID>
      <start>148</start>
      <end>149</end>
      <status>unmodified</status>
      <modifiedWord/>
      <trackRevisions>false</trackRevisions>
    </reviewItem>
    <reviewItem>
      <errorID>5c682ee0-295e-4270-be41-5ef82f35b84d</errorID>
      <errorWord>)</errorWord>
      <group>L1_Format</group>
      <groupName>格式问题</groupName>
      <ability>L2_HalfPunc</ability>
      <abilityName>全半角检查</abilityName>
      <candidateList>
        <item>）</item>
      </candidateList>
      <explain>文本全半角错误。</explain>
      <paraID>6F154EF5</paraID>
      <start>153</start>
      <end>154</end>
      <status>unmodified</status>
      <modifiedWord/>
      <trackRevisions>false</trackRevisions>
    </reviewItem>
    <reviewItem>
      <errorID>4ce68770-34c2-4c17-90d1-e01f06796ee9</errorID>
      <errorWord>(</errorWord>
      <group>L1_Format</group>
      <groupName>格式问题</groupName>
      <ability>L2_HalfPunc</ability>
      <abilityName>全半角检查</abilityName>
      <candidateList>
        <item>（</item>
      </candidateList>
      <explain>文本全半角错误。</explain>
      <paraID>2040FBFA</paraID>
      <start>64</start>
      <end>65</end>
      <status>unmodified</status>
      <modifiedWord/>
      <trackRevisions>false</trackRevisions>
    </reviewItem>
    <reviewItem>
      <errorID>574d2df1-d4d7-4e98-904a-7224c45daccd</errorID>
      <errorWord>)</errorWord>
      <group>L1_Format</group>
      <groupName>格式问题</groupName>
      <ability>L2_HalfPunc</ability>
      <abilityName>全半角检查</abilityName>
      <candidateList>
        <item>）</item>
      </candidateList>
      <explain>文本全半角错误。</explain>
      <paraID>2040FBFA</paraID>
      <start>68</start>
      <end>69</end>
      <status>unmodified</status>
      <modifiedWord/>
      <trackRevisions>false</trackRevisions>
    </reviewItem>
    <reviewItem>
      <errorID>e25fb8f3-c508-4912-9786-acb496057f95</errorID>
      <errorWord>(</errorWord>
      <group>L1_Format</group>
      <groupName>格式问题</groupName>
      <ability>L2_HalfPunc</ability>
      <abilityName>全半角检查</abilityName>
      <candidateList>
        <item>（</item>
      </candidateList>
      <explain>文本全半角错误。</explain>
      <paraID>2040FBFA</paraID>
      <start>170</start>
      <end>171</end>
      <status>unmodified</status>
      <modifiedWord/>
      <trackRevisions>false</trackRevisions>
    </reviewItem>
    <reviewItem>
      <errorID>223a21f1-54b4-4323-9bfd-aedbbf7ffabe</errorID>
      <errorWord>)</errorWord>
      <group>L1_Format</group>
      <groupName>格式问题</groupName>
      <ability>L2_HalfPunc</ability>
      <abilityName>全半角检查</abilityName>
      <candidateList>
        <item>）</item>
      </candidateList>
      <explain>文本全半角错误。</explain>
      <paraID>2040FBFA</paraID>
      <start>174</start>
      <end>175</end>
      <status>unmodified</status>
      <modifiedWord/>
      <trackRevisions>false</trackRevisions>
    </reviewItem>
    <reviewItem>
      <errorID>c23174bf-8917-458a-b01e-0f222cd8e82c</errorID>
      <errorWord>(</errorWord>
      <group>L1_Format</group>
      <groupName>格式问题</groupName>
      <ability>L2_HalfPunc</ability>
      <abilityName>全半角检查</abilityName>
      <candidateList>
        <item>（</item>
      </candidateList>
      <explain>文本全半角错误。</explain>
      <paraID>2040FBFA</paraID>
      <start>275</start>
      <end>276</end>
      <status>unmodified</status>
      <modifiedWord/>
      <trackRevisions>false</trackRevisions>
    </reviewItem>
    <reviewItem>
      <errorID>1575c6ab-8dd8-4d7f-bbee-126cfbcbf8d7</errorID>
      <errorWord>)</errorWord>
      <group>L1_Format</group>
      <groupName>格式问题</groupName>
      <ability>L2_HalfPunc</ability>
      <abilityName>全半角检查</abilityName>
      <candidateList>
        <item>）</item>
      </candidateList>
      <explain>文本全半角错误。</explain>
      <paraID>2040FBFA</paraID>
      <start>278</start>
      <end>279</end>
      <status>unmodified</status>
      <modifiedWord/>
      <trackRevisions>false</trackRevisions>
    </reviewItem>
    <reviewItem>
      <errorID>aa77bae0-1e4d-4d85-861c-aa75d1d221f0</errorID>
      <errorWord>达年</errorWord>
      <group>L1_Word</group>
      <groupName>字词问题</groupName>
      <ability>L2_Typo</ability>
      <abilityName>字词错误</abilityName>
      <candidateList>
        <item>达</item>
      </candidateList>
      <explain/>
      <paraID>2040FBFA</paraID>
      <start>345</start>
      <end>347</end>
      <status>unmodified</status>
      <modifiedWord/>
      <trackRevisions>false</trackRevisions>
    </reviewItem>
    <reviewItem>
      <errorID>731b025b-99a4-453e-a544-60fc3db7d6a4</errorID>
      <errorWord>(</errorWord>
      <group>L1_Format</group>
      <groupName>格式问题</groupName>
      <ability>L2_HalfPunc</ability>
      <abilityName>全半角检查</abilityName>
      <candidateList>
        <item>（</item>
      </candidateList>
      <explain>文本全半角错误。</explain>
      <paraID>2040FBFA</paraID>
      <start>361</start>
      <end>362</end>
      <status>unmodified</status>
      <modifiedWord/>
      <trackRevisions>false</trackRevisions>
    </reviewItem>
    <reviewItem>
      <errorID>aa9f0bfe-50c0-473a-b870-2ac002708dc8</errorID>
      <errorWord>)</errorWord>
      <group>L1_Format</group>
      <groupName>格式问题</groupName>
      <ability>L2_HalfPunc</ability>
      <abilityName>全半角检查</abilityName>
      <candidateList>
        <item>）</item>
      </candidateList>
      <explain>文本全半角错误。</explain>
      <paraID>2040FBFA</paraID>
      <start>364</start>
      <end>365</end>
      <status>unmodified</status>
      <modifiedWord/>
      <trackRevisions>false</trackRevisions>
    </reviewItem>
    <reviewItem>
      <errorID>7d1fa9d4-23dd-4c17-823a-899f3078cd8f</errorID>
      <errorWord>(</errorWord>
      <group>L1_Format</group>
      <groupName>格式问题</groupName>
      <ability>L2_HalfPunc</ability>
      <abilityName>全半角检查</abilityName>
      <candidateList>
        <item>（</item>
      </candidateList>
      <explain>文本全半角错误。</explain>
      <paraID>64D6C6AB</paraID>
      <start>6</start>
      <end>7</end>
      <status>unmodified</status>
      <modifiedWord/>
      <trackRevisions>false</trackRevisions>
    </reviewItem>
    <reviewItem>
      <errorID>622828cb-2ce7-421f-9c6f-6d58a3d29ac8</errorID>
      <errorWord>)</errorWord>
      <group>L1_Format</group>
      <groupName>格式问题</groupName>
      <ability>L2_HalfPunc</ability>
      <abilityName>全半角检查</abilityName>
      <candidateList>
        <item>）</item>
      </candidateList>
      <explain>文本全半角错误。</explain>
      <paraID>64D6C6AB</paraID>
      <start>8</start>
      <end>9</end>
      <status>unmodified</status>
      <modifiedWord/>
      <trackRevisions>false</trackRevisions>
    </reviewItem>
    <reviewItem>
      <errorID>3cc2ddb5-1b35-4f76-9c97-93edcecd3a37</errorID>
      <errorWord>(</errorWord>
      <group>L1_Format</group>
      <groupName>格式问题</groupName>
      <ability>L2_HalfPunc</ability>
      <abilityName>全半角检查</abilityName>
      <candidateList>
        <item>（</item>
      </candidateList>
      <explain>文本全半角错误。</explain>
      <paraID> 15C411A</paraID>
      <start>6</start>
      <end>7</end>
      <status>unmodified</status>
      <modifiedWord/>
      <trackRevisions>false</trackRevisions>
    </reviewItem>
    <reviewItem>
      <errorID>a7d5b23e-f5b6-466d-aa05-10fa1dddaecf</errorID>
      <errorWord>)</errorWord>
      <group>L1_Format</group>
      <groupName>格式问题</groupName>
      <ability>L2_HalfPunc</ability>
      <abilityName>全半角检查</abilityName>
      <candidateList>
        <item>）</item>
      </candidateList>
      <explain>文本全半角错误。</explain>
      <paraID> 15C411A</paraID>
      <start>8</start>
      <end>9</end>
      <status>unmodified</status>
      <modifiedWord/>
      <trackRevisions>false</trackRevisions>
    </reviewItem>
    <reviewItem>
      <errorID>76586f53-57e8-417c-b25f-1b5ebe529823</errorID>
      <errorWord>(</errorWord>
      <group>L1_Format</group>
      <groupName>格式问题</groupName>
      <ability>L2_HalfPunc</ability>
      <abilityName>全半角检查</abilityName>
      <candidateList>
        <item>（</item>
      </candidateList>
      <explain>文本全半角错误。</explain>
      <paraID>3C0887E0</paraID>
      <start>6</start>
      <end>7</end>
      <status>unmodified</status>
      <modifiedWord/>
      <trackRevisions>false</trackRevisions>
    </reviewItem>
    <reviewItem>
      <errorID>5b6a8475-216c-42d0-89a5-ba4eef6d8326</errorID>
      <errorWord>)</errorWord>
      <group>L1_Format</group>
      <groupName>格式问题</groupName>
      <ability>L2_HalfPunc</ability>
      <abilityName>全半角检查</abilityName>
      <candidateList>
        <item>）</item>
      </candidateList>
      <explain>文本全半角错误。</explain>
      <paraID>3C0887E0</paraID>
      <start>8</start>
      <end>9</end>
      <status>unmodified</status>
      <modifiedWord/>
      <trackRevisions>false</trackRevisions>
    </reviewItem>
    <reviewItem>
      <errorID>402a6903-6a25-4d58-ace2-c63f57124b16</errorID>
      <errorWord>2026年09月19日~2025年09月25日</errorWord>
      <group>L1_Knowledge</group>
      <groupName>知识性问题</groupName>
      <ability>L2_Time</ability>
      <abilityName>日期时间</abilityName>
      <candidateList/>
      <explain>日期范围逻辑错误，结束日期不能早于开始日期。</explain>
      <paraID>7F063556</paraID>
      <start>0</start>
      <end>23</end>
      <status>unmodified</status>
      <modifiedWord/>
      <trackRevisions>false</trackRevisions>
    </reviewItem>
    <reviewItem>
      <errorID>7f912119-7e54-4a3b-8140-4e1e7a957494</errorID>
      <errorWord>＜</errorWord>
      <group>L1_Format</group>
      <groupName>格式问题</groupName>
      <ability>L2_HalfPunc</ability>
      <abilityName>全半角检查</abilityName>
      <candidateList>
        <item>&lt;</item>
      </candidateList>
      <explain>文本全半角错误。</explain>
      <paraID>3CE12815</paraID>
      <start>0</start>
      <end>1</end>
      <status>unmodified</status>
      <modifiedWord/>
      <trackRevisions>false</trackRevisions>
    </reviewItem>
    <reviewItem>
      <errorID>0e8f0dd9-c46d-4975-8c70-b59d3f296f52</errorID>
      <errorWord>＜</errorWord>
      <group>L1_Format</group>
      <groupName>格式问题</groupName>
      <ability>L2_HalfPunc</ability>
      <abilityName>全半角检查</abilityName>
      <candidateList>
        <item>&lt;</item>
      </candidateList>
      <explain>文本全半角错误。</explain>
      <paraID>2DDAA534</paraID>
      <start>0</start>
      <end>1</end>
      <status>unmodified</status>
      <modifiedWord/>
      <trackRevisions>false</trackRevisions>
    </reviewItem>
    <reviewItem>
      <errorID>bbc73bbe-c44a-4ea3-b8e3-8e674bce0ed1</errorID>
      <errorWord>＜</errorWord>
      <group>L1_Format</group>
      <groupName>格式问题</groupName>
      <ability>L2_HalfPunc</ability>
      <abilityName>全半角检查</abilityName>
      <candidateList>
        <item>&lt;</item>
      </candidateList>
      <explain>文本全半角错误。</explain>
      <paraID>3D47BC6B</paraID>
      <start>0</start>
      <end>1</end>
      <status>unmodified</status>
      <modifiedWord/>
      <trackRevisions>false</trackRevisions>
    </reviewItem>
    <reviewItem>
      <errorID>1262ed94-a66a-47d3-9eb1-2855936688ca</errorID>
      <errorWord>＜</errorWord>
      <group>L1_Format</group>
      <groupName>格式问题</groupName>
      <ability>L2_HalfPunc</ability>
      <abilityName>全半角检查</abilityName>
      <candidateList>
        <item>&lt;</item>
      </candidateList>
      <explain>文本全半角错误。</explain>
      <paraID>173CFBC9</paraID>
      <start>0</start>
      <end>1</end>
      <status>unmodified</status>
      <modifiedWord/>
      <trackRevisions>false</trackRevisions>
    </reviewItem>
    <reviewItem>
      <errorID>d606bb0e-f7b8-4af4-b0ed-d4775ff08e4d</errorID>
      <errorWord>＜</errorWord>
      <group>L1_Format</group>
      <groupName>格式问题</groupName>
      <ability>L2_HalfPunc</ability>
      <abilityName>全半角检查</abilityName>
      <candidateList>
        <item>&lt;</item>
      </candidateList>
      <explain>文本全半角错误。</explain>
      <paraID>3A8C4768</paraID>
      <start>0</start>
      <end>1</end>
      <status>unmodified</status>
      <modifiedWord/>
      <trackRevisions>false</trackRevisions>
    </reviewItem>
    <reviewItem>
      <errorID>0f874866-93a8-4365-82d0-7a86aef3a2cb</errorID>
      <errorWord>＜</errorWord>
      <group>L1_Format</group>
      <groupName>格式问题</groupName>
      <ability>L2_HalfPunc</ability>
      <abilityName>全半角检查</abilityName>
      <candidateList>
        <item>&lt;</item>
      </candidateList>
      <explain>文本全半角错误。</explain>
      <paraID>59D635F5</paraID>
      <start>0</start>
      <end>1</end>
      <status>unmodified</status>
      <modifiedWord/>
      <trackRevisions>false</trackRevisions>
    </reviewItem>
    <reviewItem>
      <errorID>38d5a54b-6657-4146-8812-43da67d96b59</errorID>
      <errorWord>＜</errorWord>
      <group>L1_Format</group>
      <groupName>格式问题</groupName>
      <ability>L2_HalfPunc</ability>
      <abilityName>全半角检查</abilityName>
      <candidateList>
        <item>&lt;</item>
      </candidateList>
      <explain>文本全半角错误。</explain>
      <paraID>75F034AD</paraID>
      <start>0</start>
      <end>1</end>
      <status>unmodified</status>
      <modifiedWord/>
      <trackRevisions>false</trackRevisions>
    </reviewItem>
    <reviewItem>
      <errorID>b29d92a0-3e4a-45e5-8c77-c1f808f40c8f</errorID>
      <errorWord>.</errorWord>
      <group>L1_Format</group>
      <groupName>格式问题</groupName>
      <ability>L2_HalfPunc</ability>
      <abilityName>全半角检查</abilityName>
      <candidateList>
        <item>。</item>
      </candidateList>
      <explain>文本全半角错误。</explain>
      <paraID>6C07C5C5</paraID>
      <start>29</start>
      <end>30</end>
      <status>unmodified</status>
      <modifiedWord/>
      <trackRevisions>false</trackRevisions>
    </reviewItem>
    <reviewItem>
      <errorID>552ed4e7-af1b-4a80-8417-2469c3a72948</errorID>
      <errorWord>查</errorWord>
      <group>L1_Word</group>
      <groupName>字词问题</groupName>
      <ability>L2_Typo</ability>
      <abilityName>字词错误</abilityName>
      <candidateList>
        <item>在</item>
      </candidateList>
      <explain>存在字形相近字词的误用。</explain>
      <paraID>3BE4A9BA</paraID>
      <start>18</start>
      <end>19</end>
      <status>unmodified</status>
      <modifiedWord/>
      <trackRevisions>false</trackRevisions>
    </reviewItem>
    <reviewItem>
      <errorID>7cde169f-a6b8-4d22-8a60-4e7120df3964</errorID>
      <errorWord>（</errorWord>
      <group>L1_Format</group>
      <groupName>格式问题</groupName>
      <ability>L2_HalfPunc</ability>
      <abilityName>全半角检查</abilityName>
      <candidateList>
        <item>(</item>
      </candidateList>
      <explain>文本全半角错误。</explain>
      <paraID>56786934</paraID>
      <start>1</start>
      <end>2</end>
      <status>unmodified</status>
      <modifiedWord/>
      <trackRevisions>false</trackRevisions>
    </reviewItem>
    <reviewItem>
      <errorID>f3dae0fe-c77c-47fb-984d-5ec55131f31c</errorID>
      <errorWord>）</errorWord>
      <group>L1_Format</group>
      <groupName>格式问题</groupName>
      <ability>L2_HalfPunc</ability>
      <abilityName>全半角检查</abilityName>
      <candidateList>
        <item>)</item>
      </candidateList>
      <explain>文本全半角错误。</explain>
      <paraID>56786934</paraID>
      <start>5</start>
      <end>6</end>
      <status>unmodified</status>
      <modifiedWord/>
      <trackRevisions>false</trackRevisions>
    </reviewItem>
    <reviewItem>
      <errorID>e3a0631a-e564-4f54-81ca-d6126ddb8a7d</errorID>
      <errorWord>（</errorWord>
      <group>L1_Format</group>
      <groupName>格式问题</groupName>
      <ability>L2_HalfPunc</ability>
      <abilityName>全半角检查</abilityName>
      <candidateList>
        <item>(</item>
      </candidateList>
      <explain>文本全半角错误。</explain>
      <paraID>3FB8B164</paraID>
      <start>1</start>
      <end>2</end>
      <status>unmodified</status>
      <modifiedWord/>
      <trackRevisions>false</trackRevisions>
    </reviewItem>
    <reviewItem>
      <errorID>aa04d076-dc21-4306-9da2-0ca3d24a33c5</errorID>
      <errorWord>）</errorWord>
      <group>L1_Format</group>
      <groupName>格式问题</groupName>
      <ability>L2_HalfPunc</ability>
      <abilityName>全半角检查</abilityName>
      <candidateList>
        <item>)</item>
      </candidateList>
      <explain>文本全半角错误。</explain>
      <paraID>3FB8B164</paraID>
      <start>16</start>
      <end>17</end>
      <status>unmodified</status>
      <modifiedWord/>
      <trackRevisions>false</trackRevisions>
    </reviewItem>
    <reviewItem>
      <errorID>b1cd6ed2-ff17-4f82-8bc1-2bd9892ae94b</errorID>
      <errorWord>其它</errorWord>
      <group>L1_Word</group>
      <groupName>字词问题</groupName>
      <ability>L2_Alias</ability>
      <abilityName>也作/曾用词</abilityName>
      <candidateList>
        <item>其他</item>
      </candidateList>
      <explain>词汇[其它]为不规范表述或旧称，其规范书面表述为[其他]。</explain>
      <paraID>3E67A69B</paraID>
      <start>0</start>
      <end>2</end>
      <status>unmodified</status>
      <modifiedWord/>
      <trackRevisions>false</trackRevisions>
    </reviewItem>
    <reviewItem>
      <errorID>3e161502-4959-49c7-8c47-b8b945c16a31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38E4421C</paraID>
      <start>66</start>
      <end>67</end>
      <status>unmodified</status>
      <modifiedWord/>
      <trackRevisions>false</trackRevisions>
    </reviewItem>
    <reviewItem>
      <errorID>e7f01f93-dd4d-4376-8f58-4d81c4eed632</errorID>
      <errorWord>对比分析对比分析</errorWord>
      <group>L1_Word</group>
      <groupName>字词问题</groupName>
      <ability>L2_Typo</ability>
      <abilityName>字词错误</abilityName>
      <candidateList>
        <item>对比分析</item>
      </candidateList>
      <explain/>
      <paraID>38E4421C</paraID>
      <start>196</start>
      <end>200</end>
      <status>modified</status>
      <modifiedWord>对比分析</modifiedWord>
      <trackRevisions>false</trackRevisions>
    </reviewItem>
    <reviewItem>
      <errorID>65b6748d-a1f3-4fb2-9fd1-061a36955d30</errorID>
      <errorWord>2025年09月19日</errorWord>
      <group>L1_Knowledge</group>
      <groupName>知识性问题</groupName>
      <ability>L2_Time</ability>
      <abilityName>日期时间</abilityName>
      <candidateList>
        <item>2025年9月19日</item>
      </candidateList>
      <explain>根据日常书写习惯，月份一般会省略前导零。</explain>
      <paraID>6135CF68</paraID>
      <start>0</start>
      <end>11</end>
      <status>unmodified</status>
      <modifiedWord/>
      <trackRevisions>false</trackRevisions>
    </reviewItem>
    <reviewItem>
      <errorID>283a22e5-b5e0-4969-a3e5-f5a240bd1e90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6135CF68</paraID>
      <start>11</start>
      <end>12</end>
      <status>unmodified</status>
      <modifiedWord/>
      <trackRevisions>false</trackRevisions>
    </reviewItem>
    <reviewItem>
      <errorID>87f42071-b328-4865-ba10-79636bf271f6</errorID>
      <errorWord>~</errorWord>
      <group>L1_Format</group>
      <groupName>格式问题</groupName>
      <ability>L2_HalfPunc</ability>
      <abilityName>全半角检查</abilityName>
      <candidateList>
        <item>～</item>
      </candidateList>
      <explain>文本全半角错误。</explain>
      <paraID>2145629E</paraID>
      <start>20</start>
      <end>21</end>
      <status>unmodified</status>
      <modifiedWord/>
      <trackRevisions>false</trackRevisions>
    </reviewItem>
    <reviewItem>
      <errorID>bfe9d1d7-7837-49cc-a90d-e8d3142bb000</errorID>
      <errorWord>~</errorWord>
      <group>L1_Format</group>
      <groupName>格式问题</groupName>
      <ability>L2_HalfPunc</ability>
      <abilityName>全半角检查</abilityName>
      <candidateList>
        <item>～</item>
      </candidateList>
      <explain>文本全半角错误。</explain>
      <paraID>2145629E</paraID>
      <start>30</start>
      <end>31</end>
      <status>unmodified</status>
      <modifiedWord/>
      <trackRevisions>false</trackRevisions>
    </reviewItem>
    <reviewItem>
      <errorID>066f9a10-c36a-4270-be33-92eca12deb35</errorID>
      <errorWord>-</errorWord>
      <group>L1_Format</group>
      <groupName>格式问题</groupName>
      <ability>L2_HalfPunc</ability>
      <abilityName>全半角检查</abilityName>
      <candidateList>
        <item>－</item>
      </candidateList>
      <explain>文本全半角错误。</explain>
      <paraID>3E1EA3F9</paraID>
      <start>98</start>
      <end>99</end>
      <status>unmodified</status>
      <modifiedWord/>
      <trackRevisions>false</trackRevisions>
    </reviewItem>
    <reviewItem>
      <errorID>cba0f58c-85ca-4eac-b730-f0c367b00d30</errorID>
      <errorWord>-</errorWord>
      <group>L1_Format</group>
      <groupName>格式问题</groupName>
      <ability>L2_HalfPunc</ability>
      <abilityName>全半角检查</abilityName>
      <candidateList>
        <item>－</item>
      </candidateList>
      <explain>文本全半角错误。</explain>
      <paraID>3E1EA3F9</paraID>
      <start>111</start>
      <end>112</end>
      <status>unmodified</status>
      <modifiedWord/>
      <trackRevisions>false</trackRevisions>
    </reviewItem>
    <reviewItem>
      <errorID>1d09f82e-93d2-4239-9a72-7e8ecc2b8608</errorID>
      <errorWord>三氨</errorWord>
      <group>L1_Word</group>
      <groupName>字词问题</groupName>
      <ability>L2_Typo</ability>
      <abilityName>字词错误</abilityName>
      <candidateList>
        <item>三氯</item>
      </candidateList>
      <explain/>
      <paraID>3E1EA3F9</paraID>
      <start>155</start>
      <end>157</end>
      <status>unmodified</status>
      <modifiedWord/>
      <trackRevisions>false</trackRevisions>
    </reviewItem>
    <reviewItem>
      <errorID>e321fa47-6f86-4bc9-a4fd-1ad231c0c3a6</errorID>
      <errorWord>-</errorWord>
      <group>L1_Format</group>
      <groupName>格式问题</groupName>
      <ability>L2_HalfPunc</ability>
      <abilityName>全半角检查</abilityName>
      <candidateList>
        <item>－</item>
      </candidateList>
      <explain>文本全半角错误。</explain>
      <paraID>3E1EA3F9</paraID>
      <start>180</start>
      <end>181</end>
      <status>unmodified</status>
      <modifiedWord/>
      <trackRevisions>false</trackRevisions>
    </reviewItem>
    <reviewItem>
      <errorID>20b028e3-f22f-4acd-aa08-755789ae50fe</errorID>
      <errorWord>蔥</errorWord>
      <group>L1_Word</group>
      <groupName>字词问题</groupName>
      <ability>L2_Fanti</ability>
      <abilityName>繁转简</abilityName>
      <candidateList>
        <item>葱</item>
      </candidateList>
      <explain/>
      <paraID>3E1EA3F9</paraID>
      <start>227</start>
      <end>228</end>
      <status>unmodified</status>
      <modifiedWord/>
      <trackRevisions>false</trackRevisions>
    </reviewItem>
    <reviewItem>
      <errorID>8ade58d6-1c15-4c82-a822-daa7834088c3</errorID>
      <errorWord>蔥</errorWord>
      <group>L1_Word</group>
      <groupName>字词问题</groupName>
      <ability>L2_Fanti</ability>
      <abilityName>繁转简</abilityName>
      <candidateList>
        <item>葱</item>
      </candidateList>
      <explain/>
      <paraID>3E1EA3F9</paraID>
      <start>242</start>
      <end>243</end>
      <status>unmodified</status>
      <modifiedWord/>
      <trackRevisions>false</trackRevisions>
    </reviewItem>
    <reviewItem>
      <errorID>fb3daebb-fb32-458c-831f-0fb94bffa86c</errorID>
      <errorWord>蔥</errorWord>
      <group>L1_Word</group>
      <groupName>字词问题</groupName>
      <ability>L2_Fanti</ability>
      <abilityName>繁转简</abilityName>
      <candidateList>
        <item>葱</item>
      </candidateList>
      <explain/>
      <paraID>3E1EA3F9</paraID>
      <start>250</start>
      <end>251</end>
      <status>unmodified</status>
      <modifiedWord/>
      <trackRevisions>false</trackRevisions>
    </reviewItem>
    <reviewItem>
      <errorID>cb908971-e7c6-4d23-af90-d2b6b03274d9</errorID>
      <errorWord>蔥</errorWord>
      <group>L1_Word</group>
      <groupName>字词问题</groupName>
      <ability>L2_Fanti</ability>
      <abilityName>繁转简</abilityName>
      <candidateList>
        <item>葱</item>
      </candidateList>
      <explain/>
      <paraID>3E1EA3F9</paraID>
      <start>262</start>
      <end>263</end>
      <status>unmodified</status>
      <modifiedWord/>
      <trackRevisions>false</trackRevisions>
    </reviewItem>
    <reviewItem>
      <errorID>7699a973-db97-4a4d-8d9b-09c9d3057083</errorID>
      <errorWord>2025年09月19日</errorWord>
      <group>L1_Knowledge</group>
      <groupName>知识性问题</groupName>
      <ability>L2_Time</ability>
      <abilityName>日期时间</abilityName>
      <candidateList>
        <item>2025年9月19日</item>
      </candidateList>
      <explain>根据日常书写习惯，月份一般会省略前导零。</explain>
      <paraID>7129CA46</paraID>
      <start>5</start>
      <end>16</end>
      <status>unmodified</status>
      <modifiedWord/>
      <trackRevisions>false</trackRevisions>
    </reviewItem>
    <reviewItem>
      <errorID>af550457-a2cb-4c51-88ff-9c04fc0f698f</errorID>
      <errorWord>土壤检测</errorWord>
      <group>L1_Word</group>
      <groupName>字词问题</groupName>
      <ability>L2_Typo</ability>
      <abilityName>字词错误</abilityName>
      <candidateList>
        <item>土壤监测</item>
      </candidateList>
      <explain/>
      <paraID>55C4F707</paraID>
      <start>7</start>
      <end>11</end>
      <status>unmodified</status>
      <modifiedWord/>
      <trackRevisions>false</trackRevisions>
    </reviewItem>
    <reviewItem>
      <errorID>7169a599-e702-4263-b97f-f574494bcf3a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1B2C6112</paraID>
      <start>0</start>
      <end>2</end>
      <status>unmodified</status>
      <modifiedWord/>
      <trackRevisions>false</trackRevisions>
    </reviewItem>
    <reviewItem>
      <errorID>4bb4c30f-ce96-483c-8808-d7b51d37b1a1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27416EEF</paraID>
      <start>0</start>
      <end>2</end>
      <status>unmodified</status>
      <modifiedWord/>
      <trackRevisions>false</trackRevisions>
    </reviewItem>
    <reviewItem>
      <errorID>8334c577-e82e-4a27-807a-09ed42af73e8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77A7DDBF</paraID>
      <start>0</start>
      <end>2</end>
      <status>unmodified</status>
      <modifiedWord/>
      <trackRevisions>false</trackRevisions>
    </reviewItem>
    <reviewItem>
      <errorID>49d7f13c-ccd7-4edf-986f-a069ac3d0f40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609665BD</paraID>
      <start>0</start>
      <end>2</end>
      <status>unmodified</status>
      <modifiedWord/>
      <trackRevisions>false</trackRevisions>
    </reviewItem>
    <reviewItem>
      <errorID>f02a7698-b022-450b-aadc-78d94e2ac8a6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398D971A</paraID>
      <start>0</start>
      <end>2</end>
      <status>unmodified</status>
      <modifiedWord/>
      <trackRevisions>false</trackRevisions>
    </reviewItem>
    <reviewItem>
      <errorID>c8026b19-d45c-4b3b-8305-3e6999c63af1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897FD4B</paraID>
      <start>0</start>
      <end>2</end>
      <status>unmodified</status>
      <modifiedWord/>
      <trackRevisions>false</trackRevisions>
    </reviewItem>
    <reviewItem>
      <errorID>8246150c-93d6-4dea-a631-4bac671fbb90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48D8ABA7</paraID>
      <start>0</start>
      <end>2</end>
      <status>unmodified</status>
      <modifiedWord/>
      <trackRevisions>false</trackRevisions>
    </reviewItem>
    <reviewItem>
      <errorID>014abcd0-5427-4700-968b-3d4997ed3fb9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594446A1</paraID>
      <start>0</start>
      <end>2</end>
      <status>unmodified</status>
      <modifiedWord/>
      <trackRevisions>false</trackRevisions>
    </reviewItem>
    <reviewItem>
      <errorID>4fddcf49-5404-48c6-ae64-cee1f989cde6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34B2D5E0</paraID>
      <start>0</start>
      <end>2</end>
      <status>unmodified</status>
      <modifiedWord/>
      <trackRevisions>false</trackRevisions>
    </reviewItem>
    <reviewItem>
      <errorID>8617b70f-ff54-41b9-b54a-d7eb8420c0e7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B5BA74B</paraID>
      <start>0</start>
      <end>2</end>
      <status>unmodified</status>
      <modifiedWord/>
      <trackRevisions>false</trackRevisions>
    </reviewItem>
    <reviewItem>
      <errorID>d53d1fe2-c73a-41dc-8f86-217942f33b46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562348FA</paraID>
      <start>0</start>
      <end>2</end>
      <status>unmodified</status>
      <modifiedWord/>
      <trackRevisions>false</trackRevisions>
    </reviewItem>
    <reviewItem>
      <errorID>d48a9554-1dd7-44cf-9006-0d92eabfc522</errorID>
      <errorWord>土壤检测</errorWord>
      <group>L1_Word</group>
      <groupName>字词问题</groupName>
      <ability>L2_Typo</ability>
      <abilityName>字词错误</abilityName>
      <candidateList>
        <item>土壤监测</item>
      </candidateList>
      <explain/>
      <paraID>36A8E659</paraID>
      <start>8</start>
      <end>12</end>
      <status>unmodified</status>
      <modifiedWord/>
      <trackRevisions>false</trackRevisions>
    </reviewItem>
    <reviewItem>
      <errorID>86b2c497-50e3-438e-adbc-8df37d27ba92</errorID>
      <errorWord>土壤检测</errorWord>
      <group>L1_Word</group>
      <groupName>字词问题</groupName>
      <ability>L2_Typo</ability>
      <abilityName>字词错误</abilityName>
      <candidateList>
        <item>土壤监测</item>
      </candidateList>
      <explain/>
      <paraID> 1239480</paraID>
      <start>8</start>
      <end>12</end>
      <status>unmodified</status>
      <modifiedWord/>
      <trackRevisions>false</trackRevisions>
    </reviewItem>
    <reviewItem>
      <errorID>3b1b5e13-9400-4648-8aa4-81c90b538386</errorID>
      <errorWord>土壤检测</errorWord>
      <group>L1_Word</group>
      <groupName>字词问题</groupName>
      <ability>L2_Typo</ability>
      <abilityName>字词错误</abilityName>
      <candidateList>
        <item>土壤监测</item>
      </candidateList>
      <explain/>
      <paraID> DE4DCE8</paraID>
      <start>8</start>
      <end>12</end>
      <status>unmodified</status>
      <modifiedWord/>
      <trackRevisions>false</trackRevisions>
    </reviewItem>
    <reviewItem>
      <errorID>3b1b5e13-9400-4648-8aa4-81c90b538386</errorID>
      <errorWord>土壤检测</errorWord>
      <group>L1_Word</group>
      <groupName>字词问题</groupName>
      <ability>L2_Typo</ability>
      <abilityName>字词错误</abilityName>
      <candidateList>
        <item>土壤监测</item>
      </candidateList>
      <explain/>
      <paraID>2D466F7C</paraID>
      <start>8</start>
      <end>12</end>
      <status>unmodified</status>
      <modifiedWord/>
      <trackRevisions>false</trackRevisions>
    </reviewItem>
    <reviewItem>
      <errorID>c8676054-61d3-46f0-b82c-5a1303c0d8d9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202B8364</paraID>
      <start>0</start>
      <end>2</end>
      <status>unmodified</status>
      <modifiedWord/>
      <trackRevisions>false</trackRevisions>
    </reviewItem>
    <reviewItem>
      <errorID>d2f335ff-243a-41fc-a0f8-24a8ac26c963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4F9890D3</paraID>
      <start>0</start>
      <end>2</end>
      <status>unmodified</status>
      <modifiedWord/>
      <trackRevisions>false</trackRevisions>
    </reviewItem>
    <reviewItem>
      <errorID>f441b133-5135-412c-9941-a317db711dfc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7BFCE5EC</paraID>
      <start>0</start>
      <end>2</end>
      <status>unmodified</status>
      <modifiedWord/>
      <trackRevisions>false</trackRevisions>
    </reviewItem>
    <reviewItem>
      <errorID>778add5b-6432-4dd5-87e9-003c707684c4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70D02CAC</paraID>
      <start>0</start>
      <end>2</end>
      <status>unmodified</status>
      <modifiedWord/>
      <trackRevisions>false</trackRevisions>
    </reviewItem>
    <reviewItem>
      <errorID>36260083-2e67-4a71-84c6-bad4ca27ecd6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7810565B</paraID>
      <start>0</start>
      <end>2</end>
      <status>unmodified</status>
      <modifiedWord/>
      <trackRevisions>false</trackRevisions>
    </reviewItem>
    <reviewItem>
      <errorID>025a8a02-f450-4874-bd92-d7fff91d9f8d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41B7147C</paraID>
      <start>0</start>
      <end>2</end>
      <status>unmodified</status>
      <modifiedWord/>
      <trackRevisions>false</trackRevisions>
    </reviewItem>
    <reviewItem>
      <errorID>ef68956f-1e0a-438c-abfc-7ff79321d34c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15594135</paraID>
      <start>0</start>
      <end>2</end>
      <status>unmodified</status>
      <modifiedWord/>
      <trackRevisions>false</trackRevisions>
    </reviewItem>
    <reviewItem>
      <errorID>f1ea808f-63f7-47e6-8503-cca08f1bf998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1F499C46</paraID>
      <start>0</start>
      <end>2</end>
      <status>unmodified</status>
      <modifiedWord/>
      <trackRevisions>false</trackRevisions>
    </reviewItem>
    <reviewItem>
      <errorID>bddd56bc-81a0-4e16-b0c6-ba936b95e98f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2B4F3F60</paraID>
      <start>0</start>
      <end>2</end>
      <status>unmodified</status>
      <modifiedWord/>
      <trackRevisions>false</trackRevisions>
    </reviewItem>
    <reviewItem>
      <errorID>2c2b3475-57c9-4381-bde7-75ea9fc645b6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1E8F24D3</paraID>
      <start>0</start>
      <end>2</end>
      <status>unmodified</status>
      <modifiedWord/>
      <trackRevisions>false</trackRevisions>
    </reviewItem>
    <reviewItem>
      <errorID>49d7ec72-a30e-41ef-b380-b3a859b4639e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75B62BBC</paraID>
      <start>0</start>
      <end>2</end>
      <status>unmodified</status>
      <modifiedWord/>
      <trackRevisions>false</trackRevisions>
    </reviewItem>
    <reviewItem>
      <errorID>86b2c497-50e3-438e-adbc-8df37d27ba92</errorID>
      <errorWord>土壤检测</errorWord>
      <group>L1_Word</group>
      <groupName>字词问题</groupName>
      <ability>L2_Typo</ability>
      <abilityName>字词错误</abilityName>
      <candidateList>
        <item>土壤监测</item>
      </candidateList>
      <explain/>
      <paraID>3FFB12E0</paraID>
      <start>8</start>
      <end>12</end>
      <status>unmodified</status>
      <modifiedWord/>
      <trackRevisions>false</trackRevisions>
    </reviewItem>
    <reviewItem>
      <errorID>7e023fc0-d4aa-4064-84f1-907391e97761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4EDC5CAB</paraID>
      <start>0</start>
      <end>2</end>
      <status>unmodified</status>
      <modifiedWord/>
      <trackRevisions>false</trackRevisions>
    </reviewItem>
    <reviewItem>
      <errorID>01de6cca-7997-4aa0-8284-09f00bbdd75f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194D2EB7</paraID>
      <start>0</start>
      <end>2</end>
      <status>unmodified</status>
      <modifiedWord/>
      <trackRevisions>false</trackRevisions>
    </reviewItem>
    <reviewItem>
      <errorID>426996e0-5ac8-4c55-bddd-095a4d28f8c0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6ACF9366</paraID>
      <start>0</start>
      <end>2</end>
      <status>unmodified</status>
      <modifiedWord/>
      <trackRevisions>false</trackRevisions>
    </reviewItem>
    <reviewItem>
      <errorID>f87cfb79-71c6-4251-9a18-bd92d131133b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4DEA1C7</paraID>
      <start>0</start>
      <end>2</end>
      <status>unmodified</status>
      <modifiedWord/>
      <trackRevisions>false</trackRevisions>
    </reviewItem>
    <reviewItem>
      <errorID>4f9aefae-1201-42b4-ad5b-83ea0f42def8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4168DC7B</paraID>
      <start>0</start>
      <end>2</end>
      <status>unmodified</status>
      <modifiedWord/>
      <trackRevisions>false</trackRevisions>
    </reviewItem>
    <reviewItem>
      <errorID>73e049fa-4b48-4e4d-9efd-153e5038bd9e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19F172F5</paraID>
      <start>0</start>
      <end>2</end>
      <status>unmodified</status>
      <modifiedWord/>
      <trackRevisions>false</trackRevisions>
    </reviewItem>
    <reviewItem>
      <errorID>ef542f07-20a6-42bc-aa9e-8c940ce9c512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3DAC7CAF</paraID>
      <start>0</start>
      <end>2</end>
      <status>unmodified</status>
      <modifiedWord/>
      <trackRevisions>false</trackRevisions>
    </reviewItem>
    <reviewItem>
      <errorID>a3123322-ca10-4abc-a2e0-a88b0478c115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708008D0</paraID>
      <start>0</start>
      <end>2</end>
      <status>unmodified</status>
      <modifiedWord/>
      <trackRevisions>false</trackRevisions>
    </reviewItem>
    <reviewItem>
      <errorID>9ad1b007-684b-46a0-81b6-90494e14cc44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695A4857</paraID>
      <start>0</start>
      <end>2</end>
      <status>unmodified</status>
      <modifiedWord/>
      <trackRevisions>false</trackRevisions>
    </reviewItem>
    <reviewItem>
      <errorID>7bc2e1d1-c743-4bf3-99d9-0783ce842604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A7BEDF0</paraID>
      <start>0</start>
      <end>2</end>
      <status>unmodified</status>
      <modifiedWord/>
      <trackRevisions>false</trackRevisions>
    </reviewItem>
    <reviewItem>
      <errorID>fe60298b-e3a9-4e5b-aae0-f34d2fc355e2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60E476D4</paraID>
      <start>0</start>
      <end>2</end>
      <status>unmodified</status>
      <modifiedWord/>
      <trackRevisions>false</trackRevisions>
    </reviewItem>
    <reviewItem>
      <errorID>86b2c497-50e3-438e-adbc-8df37d27ba92</errorID>
      <errorWord>土壤检测</errorWord>
      <group>L1_Word</group>
      <groupName>字词问题</groupName>
      <ability>L2_Typo</ability>
      <abilityName>字词错误</abilityName>
      <candidateList>
        <item>土壤监测</item>
      </candidateList>
      <explain/>
      <paraID>5640D2B2</paraID>
      <start>8</start>
      <end>12</end>
      <status>unmodified</status>
      <modifiedWord/>
      <trackRevisions>false</trackRevisions>
    </reviewItem>
    <reviewItem>
      <errorID>86b2c497-50e3-438e-adbc-8df37d27ba92</errorID>
      <errorWord>土壤检测</errorWord>
      <group>L1_Word</group>
      <groupName>字词问题</groupName>
      <ability>L2_Typo</ability>
      <abilityName>字词错误</abilityName>
      <candidateList>
        <item>土壤监测</item>
      </candidateList>
      <explain/>
      <paraID>1115A262</paraID>
      <start>8</start>
      <end>12</end>
      <status>unmodified</status>
      <modifiedWord/>
      <trackRevisions>false</trackRevisions>
    </reviewItem>
    <reviewItem>
      <errorID>55c4a25a-878d-43c7-a477-e3ba60fc3cb8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7B51B2F9</paraID>
      <start>0</start>
      <end>2</end>
      <status>unmodified</status>
      <modifiedWord/>
      <trackRevisions>false</trackRevisions>
    </reviewItem>
    <reviewItem>
      <errorID>bb35ca85-618c-440b-b263-cf33b322545a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F4484C1</paraID>
      <start>0</start>
      <end>2</end>
      <status>unmodified</status>
      <modifiedWord/>
      <trackRevisions>false</trackRevisions>
    </reviewItem>
    <reviewItem>
      <errorID>5db865b5-fb2c-43f3-b0c1-81c6f5ca24da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4DFD9870</paraID>
      <start>0</start>
      <end>2</end>
      <status>unmodified</status>
      <modifiedWord/>
      <trackRevisions>false</trackRevisions>
    </reviewItem>
    <reviewItem>
      <errorID>4bcefce0-c9f3-4b1c-827f-1a6672c512d4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69D91375</paraID>
      <start>0</start>
      <end>2</end>
      <status>unmodified</status>
      <modifiedWord/>
      <trackRevisions>false</trackRevisions>
    </reviewItem>
    <reviewItem>
      <errorID>2f912414-feb4-4839-99e7-9c9342e52149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3F0D419D</paraID>
      <start>0</start>
      <end>2</end>
      <status>unmodified</status>
      <modifiedWord/>
      <trackRevisions>false</trackRevisions>
    </reviewItem>
    <reviewItem>
      <errorID>1e9c6a66-78d5-46c0-b48f-dd314afbe3d3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715B416C</paraID>
      <start>0</start>
      <end>2</end>
      <status>unmodified</status>
      <modifiedWord/>
      <trackRevisions>false</trackRevisions>
    </reviewItem>
    <reviewItem>
      <errorID>083af09b-65c9-487a-9f69-ea6141e1b7ed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43CA5FAB</paraID>
      <start>0</start>
      <end>2</end>
      <status>unmodified</status>
      <modifiedWord/>
      <trackRevisions>false</trackRevisions>
    </reviewItem>
    <reviewItem>
      <errorID>dd92a534-6480-4086-9c8f-dae6ad6b5926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1D0343F5</paraID>
      <start>0</start>
      <end>2</end>
      <status>unmodified</status>
      <modifiedWord/>
      <trackRevisions>false</trackRevisions>
    </reviewItem>
    <reviewItem>
      <errorID>cb4ed7b1-fef3-45aa-8e72-d706ad1cce78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11D1B63A</paraID>
      <start>0</start>
      <end>2</end>
      <status>unmodified</status>
      <modifiedWord/>
      <trackRevisions>false</trackRevisions>
    </reviewItem>
    <reviewItem>
      <errorID>de7e13a8-90cb-43c5-be1b-32660e388f3d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535472BC</paraID>
      <start>0</start>
      <end>2</end>
      <status>unmodified</status>
      <modifiedWord/>
      <trackRevisions>false</trackRevisions>
    </reviewItem>
    <reviewItem>
      <errorID>c64af384-c01f-48b3-aef4-2fe0977044fd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5FA9CFD7</paraID>
      <start>0</start>
      <end>2</end>
      <status>unmodified</status>
      <modifiedWord/>
      <trackRevisions>false</trackRevisions>
    </reviewItem>
    <reviewItem>
      <errorID>86b2c497-50e3-438e-adbc-8df37d27ba92</errorID>
      <errorWord>土壤检测</errorWord>
      <group>L1_Word</group>
      <groupName>字词问题</groupName>
      <ability>L2_Typo</ability>
      <abilityName>字词错误</abilityName>
      <candidateList>
        <item>土壤监测</item>
      </candidateList>
      <explain/>
      <paraID>2AFFF195</paraID>
      <start>8</start>
      <end>12</end>
      <status>unmodified</status>
      <modifiedWord/>
      <trackRevisions>false</trackRevisions>
    </reviewItem>
    <reviewItem>
      <errorID>86b2c497-50e3-438e-adbc-8df37d27ba92</errorID>
      <errorWord>土壤检测</errorWord>
      <group>L1_Word</group>
      <groupName>字词问题</groupName>
      <ability>L2_Typo</ability>
      <abilityName>字词错误</abilityName>
      <candidateList>
        <item>土壤监测</item>
      </candidateList>
      <explain/>
      <paraID>1B3A405E</paraID>
      <start>8</start>
      <end>12</end>
      <status>unmodified</status>
      <modifiedWord/>
      <trackRevisions>false</trackRevisions>
    </reviewItem>
    <reviewItem>
      <errorID>86b2c497-50e3-438e-adbc-8df37d27ba92</errorID>
      <errorWord>土壤检测</errorWord>
      <group>L1_Word</group>
      <groupName>字词问题</groupName>
      <ability>L2_Typo</ability>
      <abilityName>字词错误</abilityName>
      <candidateList>
        <item>土壤监测</item>
      </candidateList>
      <explain/>
      <paraID>26D572AE</paraID>
      <start>8</start>
      <end>12</end>
      <status>unmodified</status>
      <modifiedWord/>
      <trackRevisions>false</trackRevisions>
    </reviewItem>
    <reviewItem>
      <errorID>86b2c497-50e3-438e-adbc-8df37d27ba92</errorID>
      <errorWord>土壤检测</errorWord>
      <group>L1_Word</group>
      <groupName>字词问题</groupName>
      <ability>L2_Typo</ability>
      <abilityName>字词错误</abilityName>
      <candidateList>
        <item>土壤监测</item>
      </candidateList>
      <explain/>
      <paraID>6E77EA1F</paraID>
      <start>8</start>
      <end>12</end>
      <status>unmodified</status>
      <modifiedWord/>
      <trackRevisions>false</trackRevisions>
    </reviewItem>
    <reviewItem>
      <errorID>86b2c497-50e3-438e-adbc-8df37d27ba92</errorID>
      <errorWord>土壤检测</errorWord>
      <group>L1_Word</group>
      <groupName>字词问题</groupName>
      <ability>L2_Typo</ability>
      <abilityName>字词错误</abilityName>
      <candidateList>
        <item>土壤监测</item>
      </candidateList>
      <explain/>
      <paraID>2BD234CE</paraID>
      <start>8</start>
      <end>12</end>
      <status>unmodified</status>
      <modifiedWord/>
      <trackRevisions>false</trackRevisions>
    </reviewItem>
    <reviewItem>
      <errorID>9da9def8-27a0-42c3-982f-f2594ebe9270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4D75167B</paraID>
      <start>0</start>
      <end>2</end>
      <status>unmodified</status>
      <modifiedWord/>
      <trackRevisions>false</trackRevisions>
    </reviewItem>
    <reviewItem>
      <errorID>9d410d4b-b316-4da7-a195-54f43f5c2475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5D73F670</paraID>
      <start>0</start>
      <end>2</end>
      <status>unmodified</status>
      <modifiedWord/>
      <trackRevisions>false</trackRevisions>
    </reviewItem>
    <reviewItem>
      <errorID>9fa2bb2e-b449-4e1a-84d0-92f1cae9af67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2AB8BC53</paraID>
      <start>0</start>
      <end>2</end>
      <status>unmodified</status>
      <modifiedWord/>
      <trackRevisions>false</trackRevisions>
    </reviewItem>
    <reviewItem>
      <errorID>2574fcf4-d70c-4167-89fc-818afc1eaf89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1F06BA00</paraID>
      <start>0</start>
      <end>2</end>
      <status>unmodified</status>
      <modifiedWord/>
      <trackRevisions>false</trackRevisions>
    </reviewItem>
    <reviewItem>
      <errorID>d0993426-0dd9-4b91-b12c-cc56f0e83ba4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5772D2</paraID>
      <start>0</start>
      <end>2</end>
      <status>unmodified</status>
      <modifiedWord/>
      <trackRevisions>false</trackRevisions>
    </reviewItem>
    <reviewItem>
      <errorID>876cd420-da29-4fac-9d63-b8aa0c6f8170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49111F35</paraID>
      <start>0</start>
      <end>2</end>
      <status>unmodified</status>
      <modifiedWord/>
      <trackRevisions>false</trackRevisions>
    </reviewItem>
    <reviewItem>
      <errorID>3a5ac823-f701-44db-b4f9-5536582d3dc8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7FF05ACB</paraID>
      <start>0</start>
      <end>2</end>
      <status>unmodified</status>
      <modifiedWord/>
      <trackRevisions>false</trackRevisions>
    </reviewItem>
    <reviewItem>
      <errorID>ab575526-440a-46f3-8885-8d777e01c590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3ABA1B13</paraID>
      <start>0</start>
      <end>2</end>
      <status>unmodified</status>
      <modifiedWord/>
      <trackRevisions>false</trackRevisions>
    </reviewItem>
    <reviewItem>
      <errorID>43620efe-9b4e-4435-8b43-f50391a1efea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63F9FA1E</paraID>
      <start>0</start>
      <end>2</end>
      <status>unmodified</status>
      <modifiedWord/>
      <trackRevisions>false</trackRevisions>
    </reviewItem>
    <reviewItem>
      <errorID>8f08845e-3881-4de9-ba17-371b9c108281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7D28F7F7</paraID>
      <start>0</start>
      <end>2</end>
      <status>unmodified</status>
      <modifiedWord/>
      <trackRevisions>false</trackRevisions>
    </reviewItem>
    <reviewItem>
      <errorID>146ef900-788c-4bc0-8802-b84bfec47f40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60418032</paraID>
      <start>0</start>
      <end>2</end>
      <status>unmodified</status>
      <modifiedWord/>
      <trackRevisions>false</trackRevisions>
    </reviewItem>
    <reviewItem>
      <errorID>2e19d917-bb6f-4e1d-be7d-1e0ef44591c3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18B261D7</paraID>
      <start>0</start>
      <end>2</end>
      <status>unmodified</status>
      <modifiedWord/>
      <trackRevisions>false</trackRevisions>
    </reviewItem>
    <reviewItem>
      <errorID>687eefa6-4cf3-4b83-b9c7-066ec5912836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203A9AF1</paraID>
      <start>0</start>
      <end>2</end>
      <status>unmodified</status>
      <modifiedWord/>
      <trackRevisions>false</trackRevisions>
    </reviewItem>
    <reviewItem>
      <errorID>2a328239-59a4-4d18-868d-3a0870cff7fa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40569699</paraID>
      <start>0</start>
      <end>2</end>
      <status>unmodified</status>
      <modifiedWord/>
      <trackRevisions>false</trackRevisions>
    </reviewItem>
    <reviewItem>
      <errorID>47dcb12b-59ce-4f8b-9a07-f02b6535eb15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587CB9B3</paraID>
      <start>0</start>
      <end>2</end>
      <status>unmodified</status>
      <modifiedWord/>
      <trackRevisions>false</trackRevisions>
    </reviewItem>
    <reviewItem>
      <errorID>e773aa07-af3f-49f1-871d-578ff8b759bb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17C33EEC</paraID>
      <start>0</start>
      <end>2</end>
      <status>unmodified</status>
      <modifiedWord/>
      <trackRevisions>false</trackRevisions>
    </reviewItem>
    <reviewItem>
      <errorID>f7505991-d05d-409f-9752-bc46a7cdc8fa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40736397</paraID>
      <start>0</start>
      <end>2</end>
      <status>unmodified</status>
      <modifiedWord/>
      <trackRevisions>false</trackRevisions>
    </reviewItem>
    <reviewItem>
      <errorID>302aae02-43a8-492c-a0fb-134ccc6fcc6d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33695943</paraID>
      <start>0</start>
      <end>2</end>
      <status>unmodified</status>
      <modifiedWord/>
      <trackRevisions>false</trackRevisions>
    </reviewItem>
    <reviewItem>
      <errorID>a48ac326-4c83-468e-8ffa-10e9089888ea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5A9E9329</paraID>
      <start>0</start>
      <end>2</end>
      <status>unmodified</status>
      <modifiedWord/>
      <trackRevisions>false</trackRevisions>
    </reviewItem>
    <reviewItem>
      <errorID>e9e9de47-1039-4d18-b967-143090174180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63445127</paraID>
      <start>0</start>
      <end>2</end>
      <status>unmodified</status>
      <modifiedWord/>
      <trackRevisions>false</trackRevisions>
    </reviewItem>
    <reviewItem>
      <errorID>269b7f6f-79b1-4070-a257-6ddde8fd37ab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6D946140</paraID>
      <start>0</start>
      <end>2</end>
      <status>unmodified</status>
      <modifiedWord/>
      <trackRevisions>false</trackRevisions>
    </reviewItem>
    <reviewItem>
      <errorID>bf7278a8-f383-4919-b9ae-cb3765ad28cc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187ED64A</paraID>
      <start>0</start>
      <end>2</end>
      <status>unmodified</status>
      <modifiedWord/>
      <trackRevisions>false</trackRevisions>
    </reviewItem>
    <reviewItem>
      <errorID>ea0a5938-bee3-4c84-b60d-9f8eff5e63d3</errorID>
      <errorWord>珍惜动物</errorWord>
      <group>L1_Word</group>
      <groupName>字词问题</groupName>
      <ability>L2_Typo</ability>
      <abilityName>字词错误</abilityName>
      <candidateList>
        <item>珍稀动物</item>
      </candidateList>
      <explain/>
      <paraID>66B3D6E0</paraID>
      <start>133</start>
      <end>137</end>
      <status>unmodified</status>
      <modifiedWord/>
      <trackRevisions>false</trackRevisions>
    </reviewItem>
    <reviewItem>
      <errorID>68477df4-dfb2-4d71-a71e-013c3988374d</errorID>
      <errorWord>..</errorWord>
      <group>L1_Punc</group>
      <groupName>标点问题</groupName>
      <ability>L2_Punc</ability>
      <abilityName>标点符号检查</abilityName>
      <candidateList>
        <item>.</item>
      </candidateList>
      <explain/>
      <paraID> F3FE786</paraID>
      <start>4</start>
      <end>6</end>
      <status>unmodified</status>
      <modifiedWord/>
      <trackRevisions>false</trackRevisions>
    </reviewItem>
    <reviewItem>
      <errorID>18e2ab7c-7c9d-4260-bf1b-c488752e6382</errorID>
      <errorWord>水环境影响评价</errorWord>
      <group>L1_Knowledge</group>
      <groupName>知识性问题</groupName>
      <ability>L2_Term</ability>
      <abilityName>专业术语</abilityName>
      <candidateList>
        <item>声环境影响评价</item>
      </candidateList>
      <explain/>
      <paraID>15603E1D</paraID>
      <start>8</start>
      <end>15</end>
      <status>unmodified</status>
      <modifiedWord/>
      <trackRevisions>false</trackRevisions>
    </reviewItem>
    <reviewItem>
      <errorID>69f43d57-999c-4fd7-bb92-2c547931ec30</errorID>
      <errorWord>托</errorWord>
      <group>L1_Word</group>
      <groupName>字词问题</groupName>
      <ability>L2_Typo</ability>
      <abilityName>字词错误</abilityName>
      <candidateList>
        <item>托哈</item>
      </candidateList>
      <explain/>
      <paraID>5D2E1176</paraID>
      <start>113</start>
      <end>114</end>
      <status>unmodified</status>
      <modifiedWord/>
      <trackRevisions>false</trackRevisions>
    </reviewItem>
    <reviewItem>
      <errorID>4ed14ee1-435a-4341-9df4-0517156e8942</errorID>
      <errorWord>海拔高度</errorWord>
      <group>L1_Word</group>
      <groupName>字词问题</groupName>
      <ability>L2_Typo</ability>
      <abilityName>字词错误</abilityName>
      <candidateList>
        <item>海拔</item>
      </candidateList>
      <explain>〈名〉从平均海平面起算的高度。</explain>
      <paraID>4EF90CF5</paraID>
      <start>5</start>
      <end>9</end>
      <status>unmodified</status>
      <modifiedWord/>
      <trackRevisions>false</trackRevisions>
    </reviewItem>
    <reviewItem>
      <errorID>f2e38527-0819-4fd3-8084-d04a627aac0a</errorID>
      <errorWord>海拔高度</errorWord>
      <group>L1_Word</group>
      <groupName>字词问题</groupName>
      <ability>L2_Typo</ability>
      <abilityName>字词错误</abilityName>
      <candidateList>
        <item>海拔</item>
      </candidateList>
      <explain>〈名〉从平均海平面起算的高度。</explain>
      <paraID>4326B2FB</paraID>
      <start>2</start>
      <end>6</end>
      <status>unmodified</status>
      <modifiedWord/>
      <trackRevisions>false</trackRevisions>
    </reviewItem>
    <reviewItem>
      <errorID>0e019498-0469-4ebc-9e33-2a13ca2f5524</errorID>
      <errorWord>(</errorWord>
      <group>L1_Format</group>
      <groupName>格式问题</groupName>
      <ability>L2_HalfPunc</ability>
      <abilityName>全半角检查</abilityName>
      <candidateList>
        <item>（</item>
      </candidateList>
      <explain>文本全半角错误。</explain>
      <paraID>31A9EB82</paraID>
      <start>3</start>
      <end>4</end>
      <status>unmodified</status>
      <modifiedWord/>
      <trackRevisions>false</trackRevisions>
    </reviewItem>
    <reviewItem>
      <errorID>7be3756e-f93f-4f75-976f-c0bc74e833ec</errorID>
      <errorWord>)</errorWord>
      <group>L1_Format</group>
      <groupName>格式问题</groupName>
      <ability>L2_HalfPunc</ability>
      <abilityName>全半角检查</abilityName>
      <candidateList>
        <item>）</item>
      </candidateList>
      <explain>文本全半角错误。</explain>
      <paraID>31A9EB82</paraID>
      <start>5</start>
      <end>6</end>
      <status>unmodified</status>
      <modifiedWord/>
      <trackRevisions>false</trackRevisions>
    </reviewItem>
    <reviewItem>
      <errorID>7fe1d5e4-23cf-4853-9eec-e76f29848981</errorID>
      <errorWord>(</errorWord>
      <group>L1_Format</group>
      <groupName>格式问题</groupName>
      <ability>L2_HalfPunc</ability>
      <abilityName>全半角检查</abilityName>
      <candidateList>
        <item>（</item>
      </candidateList>
      <explain>文本全半角错误。</explain>
      <paraID>6B6E140E</paraID>
      <start>3</start>
      <end>4</end>
      <status>unmodified</status>
      <modifiedWord/>
      <trackRevisions>false</trackRevisions>
    </reviewItem>
    <reviewItem>
      <errorID>15e79f79-1fb3-4262-b6fc-571e5a8d379c</errorID>
      <errorWord>)</errorWord>
      <group>L1_Format</group>
      <groupName>格式问题</groupName>
      <ability>L2_HalfPunc</ability>
      <abilityName>全半角检查</abilityName>
      <candidateList>
        <item>）</item>
      </candidateList>
      <explain>文本全半角错误。</explain>
      <paraID>6B6E140E</paraID>
      <start>5</start>
      <end>6</end>
      <status>unmodified</status>
      <modifiedWord/>
      <trackRevisions>false</trackRevisions>
    </reviewItem>
    <reviewItem>
      <errorID>42118078-cd9d-40cb-931a-2708b45cf07c</errorID>
      <errorWord>(</errorWord>
      <group>L1_Format</group>
      <groupName>格式问题</groupName>
      <ability>L2_HalfPunc</ability>
      <abilityName>全半角检查</abilityName>
      <candidateList>
        <item>（</item>
      </candidateList>
      <explain>文本全半角错误。</explain>
      <paraID>6A11C19F</paraID>
      <start>4</start>
      <end>5</end>
      <status>unmodified</status>
      <modifiedWord/>
      <trackRevisions>false</trackRevisions>
    </reviewItem>
    <reviewItem>
      <errorID>a34453cd-8464-4b03-8a5f-af979787c8fc</errorID>
      <errorWord>)</errorWord>
      <group>L1_Format</group>
      <groupName>格式问题</groupName>
      <ability>L2_HalfPunc</ability>
      <abilityName>全半角检查</abilityName>
      <candidateList>
        <item>）</item>
      </candidateList>
      <explain>文本全半角错误。</explain>
      <paraID>6A11C19F</paraID>
      <start>10</start>
      <end>11</end>
      <status>unmodified</status>
      <modifiedWord/>
      <trackRevisions>false</trackRevisions>
    </reviewItem>
    <reviewItem>
      <errorID>634bbcab-6c84-4107-aad5-1fc4e120758b</errorID>
      <errorWord>(</errorWord>
      <group>L1_Format</group>
      <groupName>格式问题</groupName>
      <ability>L2_HalfPunc</ability>
      <abilityName>全半角检查</abilityName>
      <candidateList>
        <item>（</item>
      </candidateList>
      <explain>文本全半角错误。</explain>
      <paraID>18811ACD</paraID>
      <start>3</start>
      <end>4</end>
      <status>unmodified</status>
      <modifiedWord/>
      <trackRevisions>false</trackRevisions>
    </reviewItem>
    <reviewItem>
      <errorID>a2724bb2-b1be-406b-978a-fee45d2fa8e0</errorID>
      <errorWord>)</errorWord>
      <group>L1_Format</group>
      <groupName>格式问题</groupName>
      <ability>L2_HalfPunc</ability>
      <abilityName>全半角检查</abilityName>
      <candidateList>
        <item>）</item>
      </candidateList>
      <explain>文本全半角错误。</explain>
      <paraID>18811ACD</paraID>
      <start>5</start>
      <end>6</end>
      <status>unmodified</status>
      <modifiedWord/>
      <trackRevisions>false</trackRevisions>
    </reviewItem>
    <reviewItem>
      <errorID>761c44a7-78e0-484a-b882-b43adf6ef41a</errorID>
      <errorWord>(</errorWord>
      <group>L1_Format</group>
      <groupName>格式问题</groupName>
      <ability>L2_HalfPunc</ability>
      <abilityName>全半角检查</abilityName>
      <candidateList>
        <item>（</item>
      </candidateList>
      <explain>文本全半角错误。</explain>
      <paraID>4EB72250</paraID>
      <start>4</start>
      <end>5</end>
      <status>unmodified</status>
      <modifiedWord/>
      <trackRevisions>false</trackRevisions>
    </reviewItem>
    <reviewItem>
      <errorID>57070511-e9c3-4d8a-a6f4-cb99372ed2b3</errorID>
      <errorWord>)</errorWord>
      <group>L1_Format</group>
      <groupName>格式问题</groupName>
      <ability>L2_HalfPunc</ability>
      <abilityName>全半角检查</abilityName>
      <candidateList>
        <item>）</item>
      </candidateList>
      <explain>文本全半角错误。</explain>
      <paraID>4EB72250</paraID>
      <start>10</start>
      <end>11</end>
      <status>unmodified</status>
      <modifiedWord/>
      <trackRevisions>false</trackRevisions>
    </reviewItem>
    <reviewItem>
      <errorID>38ac8c85-1bd6-40b0-8c95-ee5b4dd3ccba</errorID>
      <errorWord>(</errorWord>
      <group>L1_Format</group>
      <groupName>格式问题</groupName>
      <ability>L2_HalfPunc</ability>
      <abilityName>全半角检查</abilityName>
      <candidateList>
        <item>（</item>
      </candidateList>
      <explain>文本全半角错误。</explain>
      <paraID>5AE29728</paraID>
      <start>3</start>
      <end>4</end>
      <status>unmodified</status>
      <modifiedWord/>
      <trackRevisions>false</trackRevisions>
    </reviewItem>
    <reviewItem>
      <errorID>7d3e4e4c-9f8b-4f17-b245-e51a0afcfdc7</errorID>
      <errorWord>)</errorWord>
      <group>L1_Format</group>
      <groupName>格式问题</groupName>
      <ability>L2_HalfPunc</ability>
      <abilityName>全半角检查</abilityName>
      <candidateList>
        <item>）</item>
      </candidateList>
      <explain>文本全半角错误。</explain>
      <paraID>5AE29728</paraID>
      <start>5</start>
      <end>6</end>
      <status>unmodified</status>
      <modifiedWord/>
      <trackRevisions>false</trackRevisions>
    </reviewItem>
    <reviewItem>
      <errorID>e1a1a279-86ac-4f8e-b60f-cd7f186e7fb1</errorID>
      <errorWord>(</errorWord>
      <group>L1_Format</group>
      <groupName>格式问题</groupName>
      <ability>L2_HalfPunc</ability>
      <abilityName>全半角检查</abilityName>
      <candidateList>
        <item>（</item>
      </candidateList>
      <explain>文本全半角错误。</explain>
      <paraID>6987DCD6</paraID>
      <start>3</start>
      <end>4</end>
      <status>unmodified</status>
      <modifiedWord/>
      <trackRevisions>false</trackRevisions>
    </reviewItem>
    <reviewItem>
      <errorID>8da0635e-6899-4330-8446-2682539fe44d</errorID>
      <errorWord>)</errorWord>
      <group>L1_Format</group>
      <groupName>格式问题</groupName>
      <ability>L2_HalfPunc</ability>
      <abilityName>全半角检查</abilityName>
      <candidateList>
        <item>）</item>
      </candidateList>
      <explain>文本全半角错误。</explain>
      <paraID>6987DCD6</paraID>
      <start>5</start>
      <end>6</end>
      <status>unmodified</status>
      <modifiedWord/>
      <trackRevisions>false</trackRevisions>
    </reviewItem>
    <reviewItem>
      <errorID>8038e828-0670-46e0-b0de-d9c3a4445854</errorID>
      <errorWord>(</errorWord>
      <group>L1_Format</group>
      <groupName>格式问题</groupName>
      <ability>L2_HalfPunc</ability>
      <abilityName>全半角检查</abilityName>
      <candidateList>
        <item>（</item>
      </candidateList>
      <explain>文本全半角错误。</explain>
      <paraID>2095CFE9</paraID>
      <start>3</start>
      <end>4</end>
      <status>unmodified</status>
      <modifiedWord/>
      <trackRevisions>false</trackRevisions>
    </reviewItem>
    <reviewItem>
      <errorID>c0a94be4-4528-4607-9c9c-65c94be1e950</errorID>
      <errorWord>)</errorWord>
      <group>L1_Format</group>
      <groupName>格式问题</groupName>
      <ability>L2_HalfPunc</ability>
      <abilityName>全半角检查</abilityName>
      <candidateList>
        <item>）</item>
      </candidateList>
      <explain>文本全半角错误。</explain>
      <paraID>2095CFE9</paraID>
      <start>5</start>
      <end>6</end>
      <status>unmodified</status>
      <modifiedWord/>
      <trackRevisions>false</trackRevisions>
    </reviewItem>
    <reviewItem>
      <errorID>0dd00ba2-ba58-48e7-af0c-d8c5cc4558a6</errorID>
      <errorWord>(</errorWord>
      <group>L1_Format</group>
      <groupName>格式问题</groupName>
      <ability>L2_HalfPunc</ability>
      <abilityName>全半角检查</abilityName>
      <candidateList>
        <item>（</item>
      </candidateList>
      <explain>文本全半角错误。</explain>
      <paraID>64A1EE39</paraID>
      <start>3</start>
      <end>4</end>
      <status>unmodified</status>
      <modifiedWord/>
      <trackRevisions>false</trackRevisions>
    </reviewItem>
    <reviewItem>
      <errorID>f4ab661f-da2f-46c8-97b2-0f62dba0559e</errorID>
      <errorWord>)</errorWord>
      <group>L1_Format</group>
      <groupName>格式问题</groupName>
      <ability>L2_HalfPunc</ability>
      <abilityName>全半角检查</abilityName>
      <candidateList>
        <item>）</item>
      </candidateList>
      <explain>文本全半角错误。</explain>
      <paraID>64A1EE39</paraID>
      <start>5</start>
      <end>6</end>
      <status>unmodified</status>
      <modifiedWord/>
      <trackRevisions>false</trackRevisions>
    </reviewItem>
    <reviewItem>
      <errorID>4c687c73-85a8-49f0-9f7e-afa3fb384c23</errorID>
      <errorWord>(</errorWord>
      <group>L1_Format</group>
      <groupName>格式问题</groupName>
      <ability>L2_HalfPunc</ability>
      <abilityName>全半角检查</abilityName>
      <candidateList>
        <item>（</item>
      </candidateList>
      <explain>文本全半角错误。</explain>
      <paraID>7D583B32</paraID>
      <start>3</start>
      <end>4</end>
      <status>unmodified</status>
      <modifiedWord/>
      <trackRevisions>false</trackRevisions>
    </reviewItem>
    <reviewItem>
      <errorID>7ffd7b4f-9cca-4743-977f-74a2a414c773</errorID>
      <errorWord>)</errorWord>
      <group>L1_Format</group>
      <groupName>格式问题</groupName>
      <ability>L2_HalfPunc</ability>
      <abilityName>全半角检查</abilityName>
      <candidateList>
        <item>）</item>
      </candidateList>
      <explain>文本全半角错误。</explain>
      <paraID>7D583B32</paraID>
      <start>5</start>
      <end>6</end>
      <status>unmodified</status>
      <modifiedWord/>
      <trackRevisions>false</trackRevisions>
    </reviewItem>
    <reviewItem>
      <errorID>5a7622af-c1a0-4583-b8ed-523b3bc2226f</errorID>
      <errorWord>，，</errorWord>
      <group>L1_Punc</group>
      <groupName>标点问题</groupName>
      <ability>L2_Punc</ability>
      <abilityName>标点符号检查</abilityName>
      <candidateList>
        <item>，</item>
      </candidateList>
      <explain/>
      <paraID>2B4BDA98</paraID>
      <start>59</start>
      <end>61</end>
      <status>unmodified</status>
      <modifiedWord/>
      <trackRevisions>false</trackRevisions>
    </reviewItem>
    <reviewItem>
      <errorID>707cfb28-37be-45dc-a985-acf6527df3fb</errorID>
      <errorWord>设备设备</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66285EA0</paraID>
      <start>2</start>
      <end>4</end>
      <status>modified</status>
      <modifiedWord>设备</modifiedWord>
      <trackRevisions>false</trackRevisions>
    </reviewItem>
    <reviewItem>
      <errorID>704c63ff-040c-4e74-8770-17ee7203c3cc</errorID>
      <errorWord>＜</errorWord>
      <group>L1_Format</group>
      <groupName>格式问题</groupName>
      <ability>L2_HalfPunc</ability>
      <abilityName>全半角检查</abilityName>
      <candidateList>
        <item>&lt;</item>
      </candidateList>
      <explain>文本全半角错误。</explain>
      <paraID>175924CA</paraID>
      <start>0</start>
      <end>1</end>
      <status>unmodified</status>
      <modifiedWord/>
      <trackRevisions>false</trackRevisions>
    </reviewItem>
    <reviewItem>
      <errorID>69bf2636-6d86-4a28-8eb9-70bf9afe43e0</errorID>
      <errorWord>~</errorWord>
      <group>L1_Format</group>
      <groupName>格式问题</groupName>
      <ability>L2_HalfPunc</ability>
      <abilityName>全半角检查</abilityName>
      <candidateList>
        <item>～</item>
      </candidateList>
      <explain>文本全半角错误。</explain>
      <paraID>339ABB6C</paraID>
      <start>9</start>
      <end>10</end>
      <status>unmodified</status>
      <modifiedWord/>
      <trackRevisions>false</trackRevisions>
    </reviewItem>
    <reviewItem>
      <errorID>423da7cd-67e6-44aa-80d7-76ac67b59472</errorID>
      <errorWord>~</errorWord>
      <group>L1_Format</group>
      <groupName>格式问题</groupName>
      <ability>L2_HalfPunc</ability>
      <abilityName>全半角检查</abilityName>
      <candidateList>
        <item>～</item>
      </candidateList>
      <explain>文本全半角错误。</explain>
      <paraID>339ABB6C</paraID>
      <start>27</start>
      <end>28</end>
      <status>unmodified</status>
      <modifiedWord/>
      <trackRevisions>false</trackRevisions>
    </reviewItem>
    <reviewItem>
      <errorID>632867ec-2f11-4234-8ede-abf993d4a8a0</errorID>
      <errorWord>~</errorWord>
      <group>L1_Format</group>
      <groupName>格式问题</groupName>
      <ability>L2_HalfPunc</ability>
      <abilityName>全半角检查</abilityName>
      <candidateList>
        <item>～</item>
      </candidateList>
      <explain>文本全半角错误。</explain>
      <paraID>339ABB6C</paraID>
      <start>67</start>
      <end>68</end>
      <status>unmodified</status>
      <modifiedWord/>
      <trackRevisions>false</trackRevisions>
    </reviewItem>
    <reviewItem>
      <errorID>283748bd-24ba-49b5-999f-b6f0a9f2c848</errorID>
      <errorWord>~</errorWord>
      <group>L1_Format</group>
      <groupName>格式问题</groupName>
      <ability>L2_HalfPunc</ability>
      <abilityName>全半角检查</abilityName>
      <candidateList>
        <item>～</item>
      </candidateList>
      <explain>文本全半角错误。</explain>
      <paraID>339ABB6C</paraID>
      <start>138</start>
      <end>139</end>
      <status>unmodified</status>
      <modifiedWord/>
      <trackRevisions>false</trackRevisions>
    </reviewItem>
    <reviewItem>
      <errorID>7ac72eba-b601-4458-9f66-dfe5dda9e5d1</errorID>
      <errorWord>~</errorWord>
      <group>L1_Format</group>
      <groupName>格式问题</groupName>
      <ability>L2_HalfPunc</ability>
      <abilityName>全半角检查</abilityName>
      <candidateList>
        <item>～</item>
      </candidateList>
      <explain>文本全半角错误。</explain>
      <paraID>339ABB6C</paraID>
      <start>158</start>
      <end>159</end>
      <status>unmodified</status>
      <modifiedWord/>
      <trackRevisions>false</trackRevisions>
    </reviewItem>
    <reviewItem>
      <errorID>e052f670-1a7d-49a6-9427-d78569b9d8bc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5ECA468D</paraID>
      <start>27</start>
      <end>28</end>
      <status>unmodified</status>
      <modifiedWord/>
      <trackRevisions>false</trackRevisions>
    </reviewItem>
    <reviewItem>
      <errorID>0f859c41-cde0-44bb-9a07-8912b01ae7de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6482FCE4</paraID>
      <start>36</start>
      <end>37</end>
      <status>unmodified</status>
      <modifiedWord/>
      <trackRevisions>false</trackRevisions>
    </reviewItem>
    <reviewItem>
      <errorID>068f5fc4-f57b-4a65-93d4-2e48d6fd98cb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6DEB737B</paraID>
      <start>9</start>
      <end>10</end>
      <status>unmodified</status>
      <modifiedWord/>
      <trackRevisions>false</trackRevisions>
    </reviewItem>
    <reviewItem>
      <errorID>88866ee6-cffb-4972-bf43-19dafacab641</errorID>
      <errorWord>-</errorWord>
      <group>L1_Format</group>
      <groupName>格式问题</groupName>
      <ability>L2_HalfPunc</ability>
      <abilityName>全半角检查</abilityName>
      <candidateList>
        <item>－</item>
      </candidateList>
      <explain>文本全半角错误。</explain>
      <paraID>753E828D</paraID>
      <start>6</start>
      <end>7</end>
      <status>unmodified</status>
      <modifiedWord/>
      <trackRevisions>false</trackRevisions>
    </reviewItem>
    <reviewItem>
      <errorID>214d4e03-f3f2-4f88-86db-56f4e0c357aa</errorID>
      <errorWord>-</errorWord>
      <group>L1_Format</group>
      <groupName>格式问题</groupName>
      <ability>L2_HalfPunc</ability>
      <abilityName>全半角检查</abilityName>
      <candidateList>
        <item>－</item>
      </candidateList>
      <explain>文本全半角错误。</explain>
      <paraID>7F69C51A</paraID>
      <start>1</start>
      <end>2</end>
      <status>unmodified</status>
      <modifiedWord/>
      <trackRevisions>false</trackRevisions>
    </reviewItem>
    <reviewItem>
      <errorID>987454ea-a989-4067-bc44-8e2a1977069c</errorID>
      <errorWord>-</errorWord>
      <group>L1_Format</group>
      <groupName>格式问题</groupName>
      <ability>L2_HalfPunc</ability>
      <abilityName>全半角检查</abilityName>
      <candidateList>
        <item>－</item>
      </candidateList>
      <explain>文本全半角错误。</explain>
      <paraID> 1EB8FF9</paraID>
      <start>1</start>
      <end>2</end>
      <status>unmodified</status>
      <modifiedWord/>
      <trackRevisions>false</trackRevisions>
    </reviewItem>
    <reviewItem>
      <errorID>611713ab-86fe-4e6a-be9f-a0a2ed6afb88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77EF2556</paraID>
      <start>59</start>
      <end>60</end>
      <status>unmodified</status>
      <modifiedWord/>
      <trackRevisions>false</trackRevisions>
    </reviewItem>
    <reviewItem>
      <errorID>a20acbf9-591b-4345-87eb-2ff83398613d</errorID>
      <errorWord>度在</errorWord>
      <group>L1_Word</group>
      <groupName>字词问题</groupName>
      <ability>L2_Typo</ability>
      <abilityName>字词错误</abilityName>
      <candidateList>
        <item>度</item>
      </candidateList>
      <explain/>
      <paraID>2D5DBEC8</paraID>
      <start>58</start>
      <end>60</end>
      <status>unmodified</status>
      <modifiedWord/>
      <trackRevisions>false</trackRevisions>
    </reviewItem>
    <reviewItem>
      <errorID>d2448209-7c9e-4f98-bf63-72d05af8fce6</errorID>
      <errorWord>-</errorWord>
      <group>L1_Format</group>
      <groupName>格式问题</groupName>
      <ability>L2_HalfPunc</ability>
      <abilityName>全半角检查</abilityName>
      <candidateList>
        <item>－</item>
      </candidateList>
      <explain>文本全半角错误。</explain>
      <paraID>403E74D2</paraID>
      <start>1</start>
      <end>2</end>
      <status>unmodified</status>
      <modifiedWord/>
      <trackRevisions>false</trackRevisions>
    </reviewItem>
    <reviewItem>
      <errorID>9d05bd45-bbc7-4a55-bba5-25b7461d66de</errorID>
      <errorWord>-</errorWord>
      <group>L1_Format</group>
      <groupName>格式问题</groupName>
      <ability>L2_HalfPunc</ability>
      <abilityName>全半角检查</abilityName>
      <candidateList>
        <item>－</item>
      </candidateList>
      <explain>文本全半角错误。</explain>
      <paraID>74E623A0</paraID>
      <start>6</start>
      <end>7</end>
      <status>unmodified</status>
      <modifiedWord/>
      <trackRevisions>false</trackRevisions>
    </reviewItem>
    <reviewItem>
      <errorID>9e9ccd20-d22c-4799-8dae-cf505cbce8a8</errorID>
      <errorWord>程</errorWord>
      <group>L1_Word</group>
      <groupName>字词问题</groupName>
      <ability>L2_Typo</ability>
      <abilityName>字词错误</abilityName>
      <candidateList>
        <item>程中</item>
      </candidateList>
      <explain/>
      <paraID>518D0D2A</paraID>
      <start>28</start>
      <end>29</end>
      <status>unmodified</status>
      <modifiedWord/>
      <trackRevisions>false</trackRevisions>
    </reviewItem>
    <reviewItem>
      <errorID>473430b8-3b89-48c3-80f7-e98b1579c93e</errorID>
      <errorWord>本次</errorWord>
      <group>L1_Word</group>
      <groupName>字词问题</groupName>
      <ability>L2_Typo</ability>
      <abilityName>字词错误</abilityName>
      <candidateList>
        <item>本文</item>
      </candidateList>
      <explain/>
      <paraID>30C82B76</paraID>
      <start>72</start>
      <end>74</end>
      <status>unmodified</status>
      <modifiedWord/>
      <trackRevisions>false</trackRevisions>
    </reviewItem>
    <reviewItem>
      <errorID>18bbf2cf-83b9-4086-ac3c-08a0283a6408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30BAB1A8</paraID>
      <start>144</start>
      <end>145</end>
      <status>unmodified</status>
      <modifiedWord/>
      <trackRevisions>false</trackRevisions>
    </reviewItem>
    <reviewItem>
      <errorID>e78237c8-9b13-46ca-8487-8806a4aceaff</errorID>
      <errorWord>站已</errorWord>
      <group>L1_Word</group>
      <groupName>字词问题</groupName>
      <ability>L2_Typo</ability>
      <abilityName>字词错误</abilityName>
      <candidateList>
        <item>站</item>
      </candidateList>
      <explain/>
      <paraID>30BAB1A8</paraID>
      <start>195</start>
      <end>197</end>
      <status>unmodified</status>
      <modifiedWord/>
      <trackRevisions>false</trackRevisions>
    </reviewItem>
    <reviewItem>
      <errorID>a727f1fa-33b9-4023-96ed-79196be2b93d</errorID>
      <errorWord>导至</errorWord>
      <group>L1_Word</group>
      <groupName>字词问题</groupName>
      <ability>L2_Typo</ability>
      <abilityName>字词错误</abilityName>
      <candidateList>
        <item>导致</item>
      </candidateList>
      <explain>〈动〉引起：由一些小的矛盾～双方关系破裂。</explain>
      <paraID>30BAB1A8</paraID>
      <start>311</start>
      <end>313</end>
      <status>unmodified</status>
      <modifiedWord/>
      <trackRevisions>false</trackRevisions>
    </reviewItem>
    <reviewItem>
      <errorID>cdbabc57-d25f-4a0c-90d9-4322a27d6866</errorID>
      <errorWord>（</errorWord>
      <group>L1_Punc</group>
      <groupName>标点问题</groupName>
      <ability>L2_Punc</ability>
      <abilityName>标点符号检查</abilityName>
      <candidateList>
        <item/>
      </candidateList>
      <explain>同一形式括号套用。</explain>
      <paraID>3011D364</paraID>
      <start>37</start>
      <end>38</end>
      <status>unmodified</status>
      <modifiedWord/>
      <trackRevisions>false</trackRevisions>
    </reviewItem>
    <reviewItem>
      <errorID>ea41a055-7653-40c9-a1e8-6ac207dab1a1</errorID>
      <errorWord>(</errorWord>
      <group>L1_Punc</group>
      <groupName>标点问题</groupName>
      <ability>L2_Punc</ability>
      <abilityName>标点符号检查</abilityName>
      <candidateList/>
      <explain>同一形式括号套用。</explain>
      <paraID>3011D364</paraID>
      <start>86</start>
      <end>87</end>
      <status>unmodified</status>
      <modifiedWord/>
      <trackRevisions>false</trackRevisions>
    </reviewItem>
    <reviewItem>
      <errorID>0ba68698-00e7-4d0c-b7fe-e2f931a84c17</errorID>
      <errorWord>)</errorWord>
      <group>L1_Punc</group>
      <groupName>标点问题</groupName>
      <ability>L2_Punc</ability>
      <abilityName>标点符号检查</abilityName>
      <candidateList/>
      <explain>同一形式括号套用。</explain>
      <paraID>3011D364</paraID>
      <start>91</start>
      <end>92</end>
      <status>unmodified</status>
      <modifiedWord/>
      <trackRevisions>false</trackRevisions>
    </reviewItem>
    <reviewItem>
      <errorID>52e3a0d7-c5ed-49e7-be12-b3e4063f20bb</errorID>
      <errorWord>）</errorWord>
      <group>L1_Punc</group>
      <groupName>标点问题</groupName>
      <ability>L2_Punc</ability>
      <abilityName>标点符号检查</abilityName>
      <candidateList/>
      <explain>同一形式括号套用。</explain>
      <paraID>3011D364</paraID>
      <start>103</start>
      <end>104</end>
      <status>unmodified</status>
      <modifiedWord/>
      <trackRevisions>false</trackRevisions>
    </reviewItem>
    <reviewItem>
      <errorID>f0c19ed1-0c53-47ce-bcb8-f76b846338d4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3011D364</paraID>
      <start>122</start>
      <end>123</end>
      <status>unmodified</status>
      <modifiedWord/>
      <trackRevisions>false</trackRevisions>
    </reviewItem>
    <reviewItem>
      <errorID>3f30fc2c-8ab5-4e2c-a2eb-0dbc2ff581c3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736052C4</paraID>
      <start>29</start>
      <end>30</end>
      <status>unmodified</status>
      <modifiedWord/>
      <trackRevisions>false</trackRevisions>
    </reviewItem>
    <reviewItem>
      <errorID>0fba4917-0e20-4c18-8ee9-24c9b71d9d8b</errorID>
      <errorWord>]0</errorWord>
      <group>L1_Punc</group>
      <groupName>标点问题</groupName>
      <ability>L2_Punc</ability>
      <abilityName>标点符号检查</abilityName>
      <candidateList>
        <item>〕0</item>
      </candidateList>
      <explain/>
      <paraID>682D21C5</paraID>
      <start>24</start>
      <end>26</end>
      <status>unmodified</status>
      <modifiedWord/>
      <trackRevisions>false</trackRevisions>
    </reviewItem>
    <reviewItem>
      <errorID>12ef0956-1d72-47d2-9675-ec4fe5d5c2a2</errorID>
      <errorWord>泄露</errorWord>
      <group>L1_Word</group>
      <groupName>字词问题</groupName>
      <ability>L2_Typo</ability>
      <abilityName>字词错误</abilityName>
      <candidateList>
        <item>泄漏</item>
      </candidateList>
      <explain/>
      <paraID>3104A4B3</paraID>
      <start>0</start>
      <end>2</end>
      <status>modified</status>
      <modifiedWord>泄漏</modifiedWord>
      <trackRevisions>false</trackRevisions>
    </reviewItem>
    <reviewItem>
      <errorID>1fb670e8-3a53-4012-b2a6-4c3b491a1c64</errorID>
      <errorWord>泄露时间</errorWord>
      <group>L1_Knowledge</group>
      <groupName>知识性问题</groupName>
      <ability>L2_Term</ability>
      <abilityName>专业术语</abilityName>
      <candidateList>
        <item>曝露时间</item>
      </candidateList>
      <explain/>
      <paraID>7930D7F4</paraID>
      <start>29</start>
      <end>33</end>
      <status>unmodified</status>
      <modifiedWord/>
      <trackRevisions>false</trackRevisions>
    </reviewItem>
    <reviewItem>
      <errorID>89e571e0-a08f-48ec-94a8-279663989b41</errorID>
      <errorWord>（</errorWord>
      <group>L1_Format</group>
      <groupName>格式问题</groupName>
      <ability>L2_HalfPunc</ability>
      <abilityName>全半角检查</abilityName>
      <candidateList>
        <item>(</item>
      </candidateList>
      <explain>文本全半角错误。</explain>
      <paraID>27D2533F</paraID>
      <start>0</start>
      <end>1</end>
      <status>unmodified</status>
      <modifiedWord/>
      <trackRevisions>false</trackRevisions>
    </reviewItem>
    <reviewItem>
      <errorID>7621825b-c3a3-41f3-8f02-938a1a846b44</errorID>
      <errorWord>）</errorWord>
      <group>L1_Format</group>
      <groupName>格式问题</groupName>
      <ability>L2_HalfPunc</ability>
      <abilityName>全半角检查</abilityName>
      <candidateList>
        <item>)</item>
      </candidateList>
      <explain>文本全半角错误。</explain>
      <paraID>27D2533F</paraID>
      <start>5</start>
      <end>6</end>
      <status>unmodified</status>
      <modifiedWord/>
      <trackRevisions>false</trackRevisions>
    </reviewItem>
    <reviewItem>
      <errorID>a0160e59-3a4a-4b8c-a893-458390058094</errorID>
      <errorWord>（</errorWord>
      <group>L1_Format</group>
      <groupName>格式问题</groupName>
      <ability>L2_HalfPunc</ability>
      <abilityName>全半角检查</abilityName>
      <candidateList>
        <item>(</item>
      </candidateList>
      <explain>文本全半角错误。</explain>
      <paraID>2FEEF226</paraID>
      <start>0</start>
      <end>1</end>
      <status>unmodified</status>
      <modifiedWord/>
      <trackRevisions>false</trackRevisions>
    </reviewItem>
    <reviewItem>
      <errorID>437ba3ff-19d8-4b51-891e-94cedf9cf650</errorID>
      <errorWord>）</errorWord>
      <group>L1_Format</group>
      <groupName>格式问题</groupName>
      <ability>L2_HalfPunc</ability>
      <abilityName>全半角检查</abilityName>
      <candidateList>
        <item>)</item>
      </candidateList>
      <explain>文本全半角错误。</explain>
      <paraID>2FEEF226</paraID>
      <start>2</start>
      <end>3</end>
      <status>unmodified</status>
      <modifiedWord/>
      <trackRevisions>false</trackRevisions>
    </reviewItem>
    <reviewItem>
      <errorID>410e3ad0-cd18-467c-a90d-e5f948e05fb1</errorID>
      <errorWord>（</errorWord>
      <group>L1_Format</group>
      <groupName>格式问题</groupName>
      <ability>L2_HalfPunc</ability>
      <abilityName>全半角检查</abilityName>
      <candidateList>
        <item>(</item>
      </candidateList>
      <explain>文本全半角错误。</explain>
      <paraID> 6249998</paraID>
      <start>0</start>
      <end>1</end>
      <status>unmodified</status>
      <modifiedWord/>
      <trackRevisions>false</trackRevisions>
    </reviewItem>
    <reviewItem>
      <errorID>739db0f6-0f9d-4258-99a4-8b1156cbafd9</errorID>
      <errorWord>）</errorWord>
      <group>L1_Format</group>
      <groupName>格式问题</groupName>
      <ability>L2_HalfPunc</ability>
      <abilityName>全半角检查</abilityName>
      <candidateList>
        <item>)</item>
      </candidateList>
      <explain>文本全半角错误。</explain>
      <paraID> 6249998</paraID>
      <start>3</start>
      <end>4</end>
      <status>unmodified</status>
      <modifiedWord/>
      <trackRevisions>false</trackRevisions>
    </reviewItem>
    <reviewItem>
      <errorID>06f47c88-5dd4-4ea2-aaf7-601d94423ea0</errorID>
      <errorWord>（</errorWord>
      <group>L1_Format</group>
      <groupName>格式问题</groupName>
      <ability>L2_HalfPunc</ability>
      <abilityName>全半角检查</abilityName>
      <candidateList>
        <item>(</item>
      </candidateList>
      <explain>文本全半角错误。</explain>
      <paraID>1D3510A8</paraID>
      <start>0</start>
      <end>1</end>
      <status>unmodified</status>
      <modifiedWord/>
      <trackRevisions>false</trackRevisions>
    </reviewItem>
    <reviewItem>
      <errorID>bc656e1f-5fa0-478a-bd9f-f676c0c2df71</errorID>
      <errorWord>）</errorWord>
      <group>L1_Format</group>
      <groupName>格式问题</groupName>
      <ability>L2_HalfPunc</ability>
      <abilityName>全半角检查</abilityName>
      <candidateList>
        <item>)</item>
      </candidateList>
      <explain>文本全半角错误。</explain>
      <paraID>1D3510A8</paraID>
      <start>2</start>
      <end>3</end>
      <status>unmodified</status>
      <modifiedWord/>
      <trackRevisions>false</trackRevisions>
    </reviewItem>
    <reviewItem>
      <errorID>a59e759f-cf3a-4333-8721-4cb41d9b11b8</errorID>
      <errorWord>（</errorWord>
      <group>L1_Format</group>
      <groupName>格式问题</groupName>
      <ability>L2_HalfPunc</ability>
      <abilityName>全半角检查</abilityName>
      <candidateList>
        <item>(</item>
      </candidateList>
      <explain>文本全半角错误。</explain>
      <paraID>1C99C0A9</paraID>
      <start>0</start>
      <end>1</end>
      <status>unmodified</status>
      <modifiedWord/>
      <trackRevisions>false</trackRevisions>
    </reviewItem>
    <reviewItem>
      <errorID>9043a973-1c40-46ec-9358-dd93c4164d2d</errorID>
      <errorWord>）</errorWord>
      <group>L1_Format</group>
      <groupName>格式问题</groupName>
      <ability>L2_HalfPunc</ability>
      <abilityName>全半角检查</abilityName>
      <candidateList>
        <item>)</item>
      </candidateList>
      <explain>文本全半角错误。</explain>
      <paraID>1C99C0A9</paraID>
      <start>3</start>
      <end>4</end>
      <status>unmodified</status>
      <modifiedWord/>
      <trackRevisions>false</trackRevisions>
    </reviewItem>
    <reviewItem>
      <errorID>fcdb87c6-0c39-4aeb-949f-3ad0b637f2f6</errorID>
      <errorWord>源强</errorWord>
      <group>L1_Word</group>
      <groupName>字词问题</groupName>
      <ability>L2_Typo</ability>
      <abilityName>字词错误</abilityName>
      <candidateList>
        <item>源头</item>
      </candidateList>
      <explain/>
      <paraID>1122A21E</paraID>
      <start>3</start>
      <end>5</end>
      <status>unmodified</status>
      <modifiedWord/>
      <trackRevisions>false</trackRevisions>
    </reviewItem>
    <reviewItem>
      <errorID>ac3e6ecf-250d-4aa0-8778-cd9d849d91cf</errorID>
      <errorWord>源源</errorWord>
      <group>L1_Word</group>
      <groupName>字词问题</groupName>
      <ability>L2_Typo</ability>
      <abilityName>字词错误</abilityName>
      <candidateList>
        <item>源</item>
      </candidateList>
      <explain/>
      <paraID>5EE6E09D</paraID>
      <start>1</start>
      <end>3</end>
      <status>unmodified</status>
      <modifiedWord/>
      <trackRevisions>false</trackRevisions>
    </reviewItem>
    <reviewItem>
      <errorID>f7d20831-e713-47ac-bd25-497f8d4b7e43</errorID>
      <errorWord>值值</errorWord>
      <group>L1_Word</group>
      <groupName>字词问题</groupName>
      <ability>L2_Typo</ability>
      <abilityName>字词错误</abilityName>
      <candidateList>
        <item>值</item>
      </candidateList>
      <explain/>
      <paraID>1FC52BA4</paraID>
      <start>32</start>
      <end>34</end>
      <status>unmodified</status>
      <modifiedWord/>
      <trackRevisions>false</trackRevisions>
    </reviewItem>
    <reviewItem>
      <errorID>c2e4072b-c797-4633-b83f-6662d15d9059</errorID>
      <errorWord>(</errorWord>
      <group>L1_Format</group>
      <groupName>格式问题</groupName>
      <ability>L2_HalfPunc</ability>
      <abilityName>全半角检查</abilityName>
      <candidateList>
        <item>（</item>
      </candidateList>
      <explain>文本全半角错误。</explain>
      <paraID>2A8AC159</paraID>
      <start>19</start>
      <end>20</end>
      <status>unmodified</status>
      <modifiedWord/>
      <trackRevisions>false</trackRevisions>
    </reviewItem>
    <reviewItem>
      <errorID>18403629-609a-41f2-862a-f7e709326983</errorID>
      <errorWord>:</errorWord>
      <group>L1_Format</group>
      <groupName>格式问题</groupName>
      <ability>L2_HalfPunc</ability>
      <abilityName>全半角检查</abilityName>
      <candidateList>
        <item>：</item>
      </candidateList>
      <explain>文本全半角错误。</explain>
      <paraID>2A8AC159</paraID>
      <start>22</start>
      <end>23</end>
      <status>unmodified</status>
      <modifiedWord/>
      <trackRevisions>false</trackRevisions>
    </reviewItem>
    <reviewItem>
      <errorID>1a673604-67a5-4482-b3b4-6e988c046902</errorID>
      <errorWord>交有</errorWord>
      <group>L1_Word</group>
      <groupName>字词问题</groupName>
      <ability>L2_Typo</ability>
      <abilityName>字词错误</abilityName>
      <candidateList>
        <item>交由</item>
      </candidateList>
      <explain>存在发音相同字词的误用。</explain>
      <paraID>2A8AC159</paraID>
      <start>329</start>
      <end>331</end>
      <status>unmodified</status>
      <modifiedWord/>
      <trackRevisions>false</trackRevisions>
    </reviewItem>
    <reviewItem>
      <errorID>d7d9f6e1-b7c1-44bb-a1e6-29a1367905cf</errorID>
      <errorWord>（</errorWord>
      <group>L1_Format</group>
      <groupName>格式问题</groupName>
      <ability>L2_HalfPunc</ability>
      <abilityName>全半角检查</abilityName>
      <candidateList>
        <item>(</item>
      </candidateList>
      <explain>文本全半角错误。</explain>
      <paraID>379C0A06</paraID>
      <start>0</start>
      <end>1</end>
      <status>unmodified</status>
      <modifiedWord/>
      <trackRevisions>false</trackRevisions>
    </reviewItem>
    <reviewItem>
      <errorID>2d8eaf05-0d5f-475a-af15-b329c193b61c</errorID>
      <errorWord>）</errorWord>
      <group>L1_Format</group>
      <groupName>格式问题</groupName>
      <ability>L2_HalfPunc</ability>
      <abilityName>全半角检查</abilityName>
      <candidateList>
        <item>)</item>
      </candidateList>
      <explain>文本全半角错误。</explain>
      <paraID>379C0A06</paraID>
      <start>4</start>
      <end>5</end>
      <status>unmodified</status>
      <modifiedWord/>
      <trackRevisions>false</trackRevisions>
    </reviewItem>
    <reviewItem>
      <errorID>9a0b5288-e691-416e-a3cc-95b992f331d4</errorID>
      <errorWord>、</errorWord>
      <group>L1_Punc</group>
      <groupName>标点问题</groupName>
      <ability>L2_Punc</ability>
      <abilityName>标点符号检查</abilityName>
      <candidateList>
        <item>.</item>
      </candidateList>
      <explain/>
      <paraID>4F882C44</paraID>
      <start>1</start>
      <end>2</end>
      <status>unmodified</status>
      <modifiedWord/>
      <trackRevisions>false</trackRevisions>
    </reviewItem>
    <reviewItem>
      <errorID>62a9bdda-b0c0-452b-9a90-30dc352f340d</errorID>
      <errorWord>、</errorWord>
      <group>L1_Punc</group>
      <groupName>标点问题</groupName>
      <ability>L2_Punc</ability>
      <abilityName>标点符号检查</abilityName>
      <candidateList>
        <item>.</item>
      </candidateList>
      <explain/>
      <paraID> B1C5BEF</paraID>
      <start>1</start>
      <end>2</end>
      <status>unmodified</status>
      <modifiedWord/>
      <trackRevisions>false</trackRevisions>
    </reviewItem>
    <reviewItem>
      <errorID>fa6aa6b6-095e-47ed-b002-e8f19d98148f</errorID>
      <errorWord>处理处理</errorWord>
      <group>L1_Word</group>
      <groupName>字词问题</groupName>
      <ability>L2_Typo</ability>
      <abilityName>字词错误</abilityName>
      <candidateList>
        <item>处理</item>
      </candidateList>
      <explain/>
      <paraID>374C8B45</paraID>
      <start>32</start>
      <end>34</end>
      <status>modified</status>
      <modifiedWord>处理</modifiedWord>
      <trackRevisions>false</trackRevisions>
    </reviewItem>
    <reviewItem>
      <errorID>ac7c9f14-c701-41d6-bbbe-b8189931e39b</errorID>
      <errorWord>、</errorWord>
      <group>L1_Punc</group>
      <groupName>标点问题</groupName>
      <ability>L2_Punc</ability>
      <abilityName>标点符号检查</abilityName>
      <candidateList>
        <item>.</item>
      </candidateList>
      <explain/>
      <paraID>1ADE1F56</paraID>
      <start>1</start>
      <end>2</end>
      <status>unmodified</status>
      <modifiedWord/>
      <trackRevisions>false</trackRevisions>
    </reviewItem>
    <reviewItem>
      <errorID>ce02dca1-4686-4aae-b29e-40227e0bad46</errorID>
      <errorWord>、</errorWord>
      <group>L1_Punc</group>
      <groupName>标点问题</groupName>
      <ability>L2_Punc</ability>
      <abilityName>标点符号检查</abilityName>
      <candidateList>
        <item>.</item>
      </candidateList>
      <explain/>
      <paraID>  F0604C</paraID>
      <start>1</start>
      <end>2</end>
      <status>unmodified</status>
      <modifiedWord/>
      <trackRevisions>false</trackRevisions>
    </reviewItem>
    <reviewItem>
      <errorID>c18ea21e-30ba-4f5a-b469-3360fb6e8f90</errorID>
      <errorWord>、</errorWord>
      <group>L1_Punc</group>
      <groupName>标点问题</groupName>
      <ability>L2_Punc</ability>
      <abilityName>标点符号检查</abilityName>
      <candidateList>
        <item>.</item>
      </candidateList>
      <explain/>
      <paraID>473CB36A</paraID>
      <start>1</start>
      <end>2</end>
      <status>unmodified</status>
      <modifiedWord/>
      <trackRevisions>false</trackRevisions>
    </reviewItem>
    <reviewItem>
      <errorID>3decb0a6-e440-4a86-b574-388bfd0e1eec</errorID>
      <errorWord>、</errorWord>
      <group>L1_Punc</group>
      <groupName>标点问题</groupName>
      <ability>L2_Punc</ability>
      <abilityName>标点符号检查</abilityName>
      <candidateList>
        <item>.</item>
      </candidateList>
      <explain/>
      <paraID>22306992</paraID>
      <start>1</start>
      <end>2</end>
      <status>unmodified</status>
      <modifiedWord/>
      <trackRevisions>false</trackRevisions>
    </reviewItem>
    <reviewItem>
      <errorID>dda02a3b-676e-4b78-bd02-91d787e04b92</errorID>
      <errorWord>黏土</errorWord>
      <group>L1_Word</group>
      <groupName>字词问题</groupName>
      <ability>L2_Typo</ability>
      <abilityName>字词错误</abilityName>
      <candidateList>
        <item>粘土</item>
      </candidateList>
      <explain/>
      <paraID>6AA7CFC1</paraID>
      <start>82</start>
      <end>84</end>
      <status>unmodified</status>
      <modifiedWord/>
      <trackRevisions>false</trackRevisions>
    </reviewItem>
    <reviewItem>
      <errorID>9c0c8e87-07b1-4234-ba69-77662c875c82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6AA7CFC1</paraID>
      <start>109</start>
      <end>110</end>
      <status>unmodified</status>
      <modifiedWord/>
      <trackRevisions>false</trackRevisions>
    </reviewItem>
    <reviewItem>
      <errorID>b0659e80-804f-49a1-aff9-ab9560967b3b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6AA7CFC1</paraID>
      <start>201</start>
      <end>202</end>
      <status>unmodified</status>
      <modifiedWord/>
      <trackRevisions>false</trackRevisions>
    </reviewItem>
    <reviewItem>
      <errorID>06aca178-8fd2-4e80-9cce-42ad84a78750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6AA7CFC1</paraID>
      <start>270</start>
      <end>271</end>
      <status>unmodified</status>
      <modifiedWord/>
      <trackRevisions>false</trackRevisions>
    </reviewItem>
    <reviewItem>
      <errorID>39737a78-3b83-47d3-8365-9c47a005b3b1</errorID>
      <errorWord>空隙</errorWord>
      <group>L1_Word</group>
      <groupName>字词问题</groupName>
      <ability>L2_Typo</ability>
      <abilityName>字词错误</abilityName>
      <candidateList>
        <item>孔隙</item>
      </candidateList>
      <explain/>
      <paraID>750D5409</paraID>
      <start>4</start>
      <end>6</end>
      <status>unmodified</status>
      <modifiedWord/>
      <trackRevisions>false</trackRevisions>
    </reviewItem>
    <reviewItem>
      <errorID>5e802614-830e-4cbf-831f-398804eb68bb</errorID>
      <errorWord>空隙</errorWord>
      <group>L1_Word</group>
      <groupName>字词问题</groupName>
      <ability>L2_Typo</ability>
      <abilityName>字词错误</abilityName>
      <candidateList>
        <item>孔隙</item>
      </candidateList>
      <explain/>
      <paraID>113C188D</paraID>
      <start>4</start>
      <end>6</end>
      <status>unmodified</status>
      <modifiedWord/>
      <trackRevisions>false</trackRevisions>
    </reviewItem>
    <reviewItem>
      <errorID>49ed9866-fbb1-4b5f-bb75-a5560da30613</errorID>
      <errorWord>物质数量</errorWord>
      <group>L1_Knowledge</group>
      <groupName>知识性问题</groupName>
      <ability>L2_Term</ability>
      <abilityName>专业术语</abilityName>
      <candidateList>
        <item>物质的量</item>
      </candidateList>
      <explain/>
      <paraID> 35B660F</paraID>
      <start>14</start>
      <end>18</end>
      <status>unmodified</status>
      <modifiedWord/>
      <trackRevisions>false</trackRevisions>
    </reviewItem>
    <reviewItem>
      <errorID>6300a7b8-36ac-4201-a30c-6a3bc1022213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64B2D9B1</paraID>
      <start>0</start>
      <end>2</end>
      <status>unmodified</status>
      <modifiedWord/>
      <trackRevisions>false</trackRevisions>
    </reviewItem>
    <reviewItem>
      <errorID>9034c112-5e57-46da-9d4f-94b5b8f8a7b4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6BA0D081</paraID>
      <start>0</start>
      <end>2</end>
      <status>unmodified</status>
      <modifiedWord/>
      <trackRevisions>false</trackRevisions>
    </reviewItem>
    <reviewItem>
      <errorID>264dc803-d776-4ac5-8d74-77c538ea3d55</errorID>
      <errorWord>-</errorWord>
      <group>L1_Format</group>
      <groupName>格式问题</groupName>
      <ability>L2_HalfPunc</ability>
      <abilityName>全半角检查</abilityName>
      <candidateList>
        <item>－</item>
      </candidateList>
      <explain>文本全半角错误。</explain>
      <paraID>3D19FEA8</paraID>
      <start>26</start>
      <end>27</end>
      <status>unmodified</status>
      <modifiedWord/>
      <trackRevisions>false</trackRevisions>
    </reviewItem>
    <reviewItem>
      <errorID>c4f9592a-4dd0-4f0d-beec-95f0bcbeac5c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3D19FEA8</paraID>
      <start>219</start>
      <end>220</end>
      <status>unmodified</status>
      <modifiedWord/>
      <trackRevisions>false</trackRevisions>
    </reviewItem>
    <reviewItem>
      <errorID>5575a4e8-70f1-4f05-b68b-08848790d147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3D19FEA8</paraID>
      <start>258</start>
      <end>259</end>
      <status>unmodified</status>
      <modifiedWord/>
      <trackRevisions>false</trackRevisions>
    </reviewItem>
    <reviewItem>
      <errorID>4bdbe473-8891-4a28-8cd9-c32b09b6a600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779F60A2</paraID>
      <start>60</start>
      <end>61</end>
      <status>unmodified</status>
      <modifiedWord/>
      <trackRevisions>false</trackRevisions>
    </reviewItem>
    <reviewItem>
      <errorID>b0c540c2-639e-453e-aaf7-06b433881627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7F67FEAF</paraID>
      <start>0</start>
      <end>2</end>
      <status>unmodified</status>
      <modifiedWord/>
      <trackRevisions>false</trackRevisions>
    </reviewItem>
    <reviewItem>
      <errorID>3b44a34d-32db-459b-b87f-2af7eb2f0835</errorID>
      <errorWord>进上</errorWord>
      <group>L1_Word</group>
      <groupName>字词问题</groupName>
      <ability>L2_Typo</ability>
      <abilityName>字词错误</abilityName>
      <candidateList>
        <item>进</item>
      </candidateList>
      <explain/>
      <paraID>2ECA6C09</paraID>
      <start>21</start>
      <end>22</end>
      <status>modified</status>
      <modifiedWord>进</modifiedWord>
      <trackRevisions>false</trackRevisions>
    </reviewItem>
    <reviewItem>
      <errorID>a98d4cf5-0ed3-4c47-ac32-b75b615d99ea</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5389D84B</paraID>
      <start>48</start>
      <end>49</end>
      <status>unmodified</status>
      <modifiedWord/>
      <trackRevisions>false</trackRevisions>
    </reviewItem>
    <reviewItem>
      <errorID>7a425768-1dbe-4797-a6e5-955b674a9fcf</errorID>
      <errorWord>来自于</errorWord>
      <group>L1_Word</group>
      <groupName>字词问题</groupName>
      <ability>L2_Typo</ability>
      <abilityName>字词错误</abilityName>
      <candidateList>
        <item>来自</item>
      </candidateList>
      <explain/>
      <paraID>31E77B5A</paraID>
      <start>40</start>
      <end>43</end>
      <status>unmodified</status>
      <modifiedWord/>
      <trackRevisions>false</trackRevisions>
    </reviewItem>
    <reviewItem>
      <errorID>6b723cc4-bf1e-46c6-a011-929bf0c06979</errorID>
      <errorWord>装</errorWord>
      <group>L1_Word</group>
      <groupName>字词问题</groupName>
      <ability>L2_Typo</ability>
      <abilityName>字词错误</abilityName>
      <candidateList>
        <item>装在</item>
      </candidateList>
      <explain/>
      <paraID>18FC0A34</paraID>
      <start>5</start>
      <end>6</end>
      <status>unmodified</status>
      <modifiedWord/>
      <trackRevisions>false</trackRevisions>
    </reviewItem>
    <reviewItem>
      <errorID>4baa4888-6bd9-4587-8890-5c92c05365eb</errorID>
      <errorWord>强</errorWord>
      <group>L1_Word</group>
      <groupName>字词问题</groupName>
      <ability>L2_Typo</ability>
      <abilityName>字词错误</abilityName>
      <candidateList>
        <item>强度</item>
      </candidateList>
      <explain/>
      <paraID>43DC858E</paraID>
      <start>61</start>
      <end>62</end>
      <status>unmodified</status>
      <modifiedWord/>
      <trackRevisions>false</trackRevisions>
    </reviewItem>
    <reviewItem>
      <errorID>dc798a4c-1552-4179-8d1a-3f8c27b71e46</errorID>
      <errorWord>（</errorWord>
      <group>L1_Punc</group>
      <groupName>标点问题</groupName>
      <ability>L2_Punc</ability>
      <abilityName>标点符号检查</abilityName>
      <candidateList>
        <item/>
      </candidateList>
      <explain>同一形式括号套用。</explain>
      <paraID> 34F09F2</paraID>
      <start>4</start>
      <end>5</end>
      <status>unmodified</status>
      <modifiedWord/>
      <trackRevisions>false</trackRevisions>
    </reviewItem>
    <reviewItem>
      <errorID>21ad1eb3-8003-418f-b98b-569bdbee76ad</errorID>
      <errorWord>.</errorWord>
      <group>L1_Format</group>
      <groupName>格式问题</groupName>
      <ability>L2_HalfPunc</ability>
      <abilityName>全半角检查</abilityName>
      <candidateList>
        <item>。</item>
      </candidateList>
      <explain>文本全半角错误。</explain>
      <paraID> 34F09F2</paraID>
      <start>8</start>
      <end>9</end>
      <status>unmodified</status>
      <modifiedWord/>
      <trackRevisions>false</trackRevisions>
    </reviewItem>
    <reviewItem>
      <errorID>28f740da-5560-4f53-9e6d-64016da9f4b4</errorID>
      <errorWord>,</errorWord>
      <group>L1_Format</group>
      <groupName>格式问题</groupName>
      <ability>L2_HalfPunc</ability>
      <abilityName>全半角检查</abilityName>
      <candidateList>
        <item>，</item>
      </candidateList>
      <explain>文本全半角错误。</explain>
      <paraID> 34F09F2</paraID>
      <start>30</start>
      <end>31</end>
      <status>unmodified</status>
      <modifiedWord/>
      <trackRevisions>false</trackRevisions>
    </reviewItem>
    <reviewItem>
      <errorID>5c76c08d-e702-43f3-a317-94c89c6478f3</errorID>
      <errorWord>(</errorWord>
      <group>L1_Punc</group>
      <groupName>标点问题</groupName>
      <ability>L2_Punc</ability>
      <abilityName>标点符号检查</abilityName>
      <candidateList/>
      <explain>同一形式括号套用。</explain>
      <paraID> 34F09F2</paraID>
      <start>35</start>
      <end>36</end>
      <status>unmodified</status>
      <modifiedWord/>
      <trackRevisions>false</trackRevisions>
    </reviewItem>
    <reviewItem>
      <errorID>de97e627-a249-4405-894b-38baf7100142</errorID>
      <errorWord>)</errorWord>
      <group>L1_Punc</group>
      <groupName>标点问题</groupName>
      <ability>L2_Punc</ability>
      <abilityName>标点符号检查</abilityName>
      <candidateList/>
      <explain>同一形式括号套用。</explain>
      <paraID> 34F09F2</paraID>
      <start>37</start>
      <end>38</end>
      <status>unmodified</status>
      <modifiedWord/>
      <trackRevisions>false</trackRevisions>
    </reviewItem>
    <reviewItem>
      <errorID>9d627b63-416e-4db3-aeb7-a346007774b2</errorID>
      <errorWord>）</errorWord>
      <group>L1_Punc</group>
      <groupName>标点问题</groupName>
      <ability>L2_Punc</ability>
      <abilityName>标点符号检查</abilityName>
      <candidateList/>
      <explain>同一形式括号套用。</explain>
      <paraID> 34F09F2</paraID>
      <start>47</start>
      <end>48</end>
      <status>unmodified</status>
      <modifiedWord/>
      <trackRevisions>false</trackRevisions>
    </reviewItem>
    <reviewItem>
      <errorID>2f8479cb-51a3-4271-b084-2f7f357b1665</errorID>
      <errorWord>体形</errorWord>
      <group>L1_Word</group>
      <groupName>字词问题</groupName>
      <ability>L2_Typo</ability>
      <abilityName>字词错误</abilityName>
      <candidateList>
        <item>体</item>
      </candidateList>
      <explain/>
      <paraID>7A435F9E</paraID>
      <start>109</start>
      <end>111</end>
      <status>unmodified</status>
      <modifiedWord/>
      <trackRevisions>false</trackRevisions>
    </reviewItem>
    <reviewItem>
      <errorID>5812d833-c18c-47a2-8f33-9b290301f538</errorID>
      <errorWord>-</errorWord>
      <group>L1_Format</group>
      <groupName>格式问题</groupName>
      <ability>L2_HalfPunc</ability>
      <abilityName>全半角检查</abilityName>
      <candidateList>
        <item>－</item>
      </candidateList>
      <explain>文本全半角错误。</explain>
      <paraID>45371B87</paraID>
      <start>68</start>
      <end>69</end>
      <status>unmodified</status>
      <modifiedWord/>
      <trackRevisions>false</trackRevisions>
    </reviewItem>
    <reviewItem>
      <errorID>47aadf3d-771d-4672-b3ef-fc5f5d63934d</errorID>
      <errorWord>成为</errorWord>
      <group>L1_Word</group>
      <groupName>字词问题</groupName>
      <ability>L2_Typo</ability>
      <abilityName>字词错误</abilityName>
      <candidateList>
        <item>成</item>
      </candidateList>
      <explain>（～儿）〈量〉十分之一叫一成：九～金｜村里今年收的庄稼比去年增加两～。</explain>
      <paraID>45371B87</paraID>
      <start>86</start>
      <end>88</end>
      <status>unmodified</status>
      <modifiedWord/>
      <trackRevisions>false</trackRevisions>
    </reviewItem>
    <reviewItem>
      <errorID>07c5f2df-8234-42b1-8f48-eec4393eb450</errorID>
      <errorWord>（</errorWord>
      <group>L1_Format</group>
      <groupName>格式问题</groupName>
      <ability>L2_HalfPunc</ability>
      <abilityName>全半角检查</abilityName>
      <candidateList>
        <item>(</item>
      </candidateList>
      <explain>文本全半角错误。</explain>
      <paraID> A2E691F</paraID>
      <start>5</start>
      <end>6</end>
      <status>unmodified</status>
      <modifiedWord/>
      <trackRevisions>false</trackRevisions>
    </reviewItem>
    <reviewItem>
      <errorID>cf652336-1b6b-45a2-8418-6015df2ce426</errorID>
      <errorWord>）</errorWord>
      <group>L1_Format</group>
      <groupName>格式问题</groupName>
      <ability>L2_HalfPunc</ability>
      <abilityName>全半角检查</abilityName>
      <candidateList>
        <item>)</item>
      </candidateList>
      <explain>文本全半角错误。</explain>
      <paraID> A2E691F</paraID>
      <start>11</start>
      <end>12</end>
      <status>unmodified</status>
      <modifiedWord/>
      <trackRevisions>false</trackRevisions>
    </reviewItem>
    <reviewItem>
      <errorID>77431490-5d8b-4046-b880-34d762348824</errorID>
      <errorWord>（</errorWord>
      <group>L1_Format</group>
      <groupName>格式问题</groupName>
      <ability>L2_HalfPunc</ability>
      <abilityName>全半角检查</abilityName>
      <candidateList>
        <item>(</item>
      </candidateList>
      <explain>文本全半角错误。</explain>
      <paraID>7930BEA1</paraID>
      <start>1</start>
      <end>2</end>
      <status>unmodified</status>
      <modifiedWord/>
      <trackRevisions>false</trackRevisions>
    </reviewItem>
    <reviewItem>
      <errorID>9cf87592-cbd0-427f-863f-3f0cf5bfa3e8</errorID>
      <errorWord>）</errorWord>
      <group>L1_Format</group>
      <groupName>格式问题</groupName>
      <ability>L2_HalfPunc</ability>
      <abilityName>全半角检查</abilityName>
      <candidateList>
        <item>)</item>
      </candidateList>
      <explain>文本全半角错误。</explain>
      <paraID>7930BEA1</paraID>
      <start>7</start>
      <end>8</end>
      <status>unmodified</status>
      <modifiedWord/>
      <trackRevisions>false</trackRevisions>
    </reviewItem>
    <reviewItem>
      <errorID>3ee6d68c-7594-41c4-a625-eab9078beab7</errorID>
      <errorWord>（</errorWord>
      <group>L1_Format</group>
      <groupName>格式问题</groupName>
      <ability>L2_HalfPunc</ability>
      <abilityName>全半角检查</abilityName>
      <candidateList>
        <item>(</item>
      </candidateList>
      <explain>文本全半角错误。</explain>
      <paraID>7930BEA1</paraID>
      <start>17</start>
      <end>18</end>
      <status>unmodified</status>
      <modifiedWord/>
      <trackRevisions>false</trackRevisions>
    </reviewItem>
    <reviewItem>
      <errorID>c6aeff86-cd9d-474b-beb6-f0561efbcf7c</errorID>
      <errorWord>）</errorWord>
      <group>L1_Format</group>
      <groupName>格式问题</groupName>
      <ability>L2_HalfPunc</ability>
      <abilityName>全半角检查</abilityName>
      <candidateList>
        <item>)</item>
      </candidateList>
      <explain>文本全半角错误。</explain>
      <paraID>7930BEA1</paraID>
      <start>23</start>
      <end>24</end>
      <status>unmodified</status>
      <modifiedWord/>
      <trackRevisions>false</trackRevisions>
    </reviewItem>
    <reviewItem>
      <errorID>b2f58f1f-cc7f-4a8f-bc0a-6bcd26ea6c15</errorID>
      <errorWord>（</errorWord>
      <group>L1_Format</group>
      <groupName>格式问题</groupName>
      <ability>L2_HalfPunc</ability>
      <abilityName>全半角检查</abilityName>
      <candidateList>
        <item>(</item>
      </candidateList>
      <explain>文本全半角错误。</explain>
      <paraID>1A67FD77</paraID>
      <start>19</start>
      <end>20</end>
      <status>unmodified</status>
      <modifiedWord/>
      <trackRevisions>false</trackRevisions>
    </reviewItem>
    <reviewItem>
      <errorID>72ee1522-6bb0-4836-9082-5c764d6c642a</errorID>
      <errorWord>）</errorWord>
      <group>L1_Format</group>
      <groupName>格式问题</groupName>
      <ability>L2_HalfPunc</ability>
      <abilityName>全半角检查</abilityName>
      <candidateList>
        <item>)</item>
      </candidateList>
      <explain>文本全半角错误。</explain>
      <paraID>1A67FD77</paraID>
      <start>25</start>
      <end>26</end>
      <status>unmodified</status>
      <modifiedWord/>
      <trackRevisions>false</trackRevisions>
    </reviewItem>
    <reviewItem>
      <errorID>35e1d166-e32b-4257-a1a3-d2f5839d89fe</errorID>
      <errorWord>行</errorWord>
      <group>L1_Word</group>
      <groupName>字词问题</groupName>
      <ability>L2_Typo</ability>
      <abilityName>字词错误</abilityName>
      <candidateList>
        <item>行性</item>
      </candidateList>
      <explain/>
      <paraID>1064B2A9</paraID>
      <start>53</start>
      <end>54</end>
      <status>unmodified</status>
      <modifiedWord/>
      <trackRevisions>false</trackRevisions>
    </reviewItem>
    <reviewItem>
      <errorID>c4699041-ba13-40ff-9bfa-29e6272f3e72</errorID>
      <errorWord>[2019]53号</errorWord>
      <group>L1_Knowledge</group>
      <groupName>知识性问题</groupName>
      <ability>L2_Knowledge</ability>
      <abilityName>其他知识</abilityName>
      <candidateList>
        <item>〔2019〕53号</item>
      </candidateList>
      <explain>发文字号格式错误</explain>
      <paraID>7937E675</paraID>
      <start>34</start>
      <end>43</end>
      <status>unmodified</status>
      <modifiedWord/>
      <trackRevisions>false</trackRevisions>
    </reviewItem>
    <reviewItem>
      <errorID>71ee2415-e40b-4891-8816-487408038cd8</errorID>
      <errorWord>~</errorWord>
      <group>L1_Format</group>
      <groupName>格式问题</groupName>
      <ability>L2_HalfPunc</ability>
      <abilityName>全半角检查</abilityName>
      <candidateList>
        <item>～</item>
      </candidateList>
      <explain>文本全半角错误。</explain>
      <paraID>60119878</paraID>
      <start>240</start>
      <end>241</end>
      <status>unmodified</status>
      <modifiedWord/>
      <trackRevisions>false</trackRevisions>
    </reviewItem>
    <reviewItem>
      <errorID>a3f78189-b2f8-456b-9461-2aa14f6c8866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7AF1FB1B</paraID>
      <start>12</start>
      <end>13</end>
      <status>unmodified</status>
      <modifiedWord/>
      <trackRevisions>false</trackRevisions>
    </reviewItem>
    <reviewItem>
      <errorID>1a62d531-3221-466c-9236-1cf2ca196819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3E5F0255</paraID>
      <start>64</start>
      <end>65</end>
      <status>unmodified</status>
      <modifiedWord/>
      <trackRevisions>false</trackRevisions>
    </reviewItem>
    <reviewItem>
      <errorID>655af7ba-5906-49d9-a221-615759c08271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3894E262</paraID>
      <start>48</start>
      <end>49</end>
      <status>unmodified</status>
      <modifiedWord/>
      <trackRevisions>false</trackRevisions>
    </reviewItem>
    <reviewItem>
      <errorID>0d13758f-0876-4218-bb33-f30dcdbdf329</errorID>
      <errorWord>黏土</errorWord>
      <group>L1_Word</group>
      <groupName>字词问题</groupName>
      <ability>L2_Typo</ability>
      <abilityName>字词错误</abilityName>
      <candidateList>
        <item>粘土</item>
      </candidateList>
      <explain/>
      <paraID>3894E262</paraID>
      <start>116</start>
      <end>118</end>
      <status>unmodified</status>
      <modifiedWord/>
      <trackRevisions>false</trackRevisions>
    </reviewItem>
    <reviewItem>
      <errorID>3010f16e-9f0b-48d5-99f4-32679c289513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3894E262</paraID>
      <start>143</start>
      <end>144</end>
      <status>unmodified</status>
      <modifiedWord/>
      <trackRevisions>false</trackRevisions>
    </reviewItem>
    <reviewItem>
      <errorID>2b269526-de45-4bf2-93d6-28667d6a3b0a</errorID>
      <errorWord>，</errorWord>
      <group>L1_Word</group>
      <groupName>字词问题</groupName>
      <ability>L2_Typo</ability>
      <abilityName>字词错误</abilityName>
      <candidateList>
        <item>，在</item>
      </candidateList>
      <explain/>
      <paraID>33E6E596</paraID>
      <start>90</start>
      <end>91</end>
      <status>unmodified</status>
      <modifiedWord/>
      <trackRevisions>false</trackRevisions>
    </reviewItem>
    <reviewItem>
      <errorID>701fecbe-4d55-4c2e-ac25-b43c16625385</errorID>
      <errorWord>，</errorWord>
      <group>L1_Word</group>
      <groupName>字词问题</groupName>
      <ability>L2_Typo</ability>
      <abilityName>字词错误</abilityName>
      <candidateList>
        <item>，具</item>
      </candidateList>
      <explain/>
      <paraID>38F55AC1</paraID>
      <start>77</start>
      <end>78</end>
      <status>unmodified</status>
      <modifiedWord/>
      <trackRevisions>false</trackRevisions>
    </reviewItem>
    <reviewItem>
      <errorID>c4adbb4f-4a29-4835-8468-41cc9b23e834</errorID>
      <errorWord>辆</errorWord>
      <group>L1_Word</group>
      <groupName>字词问题</groupName>
      <ability>L2_Typo</ability>
      <abilityName>字词错误</abilityName>
      <candidateList>
        <item>辆运</item>
      </candidateList>
      <explain/>
      <paraID>7481CE34</paraID>
      <start>52</start>
      <end>53</end>
      <status>unmodified</status>
      <modifiedWord/>
      <trackRevisions>false</trackRevisions>
    </reviewItem>
    <reviewItem>
      <errorID>d70a13c7-452b-4ff7-9b13-a5ec95c3b618</errorID>
      <errorWord>，</errorWord>
      <group>L1_Word</group>
      <groupName>字词问题</groupName>
      <ability>L2_Typo</ability>
      <abilityName>字词错误</abilityName>
      <candidateList>
        <item>，在</item>
      </candidateList>
      <explain/>
      <paraID> F106E26</paraID>
      <start>2</start>
      <end>3</end>
      <status>unmodified</status>
      <modifiedWord/>
      <trackRevisions>false</trackRevisions>
    </reviewItem>
    <reviewItem>
      <errorID>03dc8977-32b5-4bcf-b7be-489d94fed561</errorID>
      <errorWord>地</errorWord>
      <group>L1_Word</group>
      <groupName>字词问题</groupName>
      <ability>L2_DDD</ability>
      <abilityName>的地得用法</abilityName>
      <candidateList>
        <item>的</item>
      </candidateList>
      <explain>“的”常用于连接修饰语与名词性中心语，表示属性、所属或描述。</explain>
      <paraID>266ABF21</paraID>
      <start>77</start>
      <end>78</end>
      <status>unmodified</status>
      <modifiedWord/>
      <trackRevisions>false</trackRevisions>
    </reviewItem>
    <reviewItem>
      <errorID>4ff5518f-6f28-4ca2-991d-ee4fe0693495</errorID>
      <errorWord>系统的</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 2A466F1</paraID>
      <start>54</start>
      <end>57</end>
      <status>unmodified</status>
      <modifiedWord/>
      <trackRevisions>false</trackRevisions>
    </reviewItem>
    <reviewItem>
      <errorID>c2168244-da9f-4586-abd6-a0ff26afc834</errorID>
      <errorWord>影响到</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7B04AFD0</paraID>
      <start>84</start>
      <end>87</end>
      <status>unmodified</status>
      <modifiedWord/>
      <trackRevisions>false</trackRevisions>
    </reviewItem>
    <reviewItem>
      <errorID>ba625782-ebf4-4c2e-9c06-7f5bf8e7f557</errorID>
      <errorWord>泄露</errorWord>
      <group>L1_Word</group>
      <groupName>字词问题</groupName>
      <ability>L2_Typo</ability>
      <abilityName>字词错误</abilityName>
      <candidateList>
        <item>泄漏</item>
      </candidateList>
      <explain>存在发音相同字词的误用。</explain>
      <paraID>19BD776B</paraID>
      <start>28</start>
      <end>30</end>
      <status>modified</status>
      <modifiedWord>泄漏</modifiedWord>
      <trackRevisions>false</trackRevisions>
    </reviewItem>
    <reviewItem>
      <errorID>453a7b1b-16fe-4fcf-aa9d-e95c238154e5</errorID>
      <errorWord>泄露</errorWord>
      <group>L1_Word</group>
      <groupName>字词问题</groupName>
      <ability>L2_Typo</ability>
      <abilityName>字词错误</abilityName>
      <candidateList>
        <item>泄漏</item>
      </candidateList>
      <explain>存在发音相同字词的误用。</explain>
      <paraID>19BD776B</paraID>
      <start>56</start>
      <end>58</end>
      <status>modified</status>
      <modifiedWord>泄漏</modifiedWord>
      <trackRevisions>false</trackRevisions>
    </reviewItem>
    <reviewItem>
      <errorID>88bc60f3-7e99-402a-b47e-e67e04f4235b</errorID>
      <errorWord>泄露</errorWord>
      <group>L1_Word</group>
      <groupName>字词问题</groupName>
      <ability>L2_Typo</ability>
      <abilityName>字词错误</abilityName>
      <candidateList>
        <item>泄漏</item>
      </candidateList>
      <explain>存在发音相同字词的误用。</explain>
      <paraID>19BD776B</paraID>
      <start>85</start>
      <end>87</end>
      <status>modified</status>
      <modifiedWord>泄漏</modifiedWord>
      <trackRevisions>false</trackRevisions>
    </reviewItem>
    <reviewItem>
      <errorID>6d93d568-3b7e-4ddf-b88a-259df7d25e91</errorID>
      <errorWord>，</errorWord>
      <group>L1_Word</group>
      <groupName>字词问题</groupName>
      <ability>L2_Typo</ability>
      <abilityName>字词错误</abilityName>
      <candidateList>
        <item>，在</item>
      </candidateList>
      <explain/>
      <paraID>748EF23A</paraID>
      <start>40</start>
      <end>41</end>
      <status>unmodified</status>
      <modifiedWord/>
      <trackRevisions>false</trackRevisions>
    </reviewItem>
    <reviewItem>
      <errorID>792eb407-8728-4621-a2ba-dcd943a6afdc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3913F05</paraID>
      <start>24</start>
      <end>27</end>
      <status>unmodified</status>
      <modifiedWord/>
      <trackRevisions>false</trackRevisions>
    </reviewItem>
    <reviewItem>
      <errorID>a0e96986-b080-4cbf-9d06-de6fd8c0fa17</errorID>
      <errorWord>晰</errorWord>
      <group>L1_Word</group>
      <groupName>字词问题</groupName>
      <ability>L2_Typo</ability>
      <abilityName>字词错误</abilityName>
      <candidateList>
        <item>晰地</item>
      </candidateList>
      <explain/>
      <paraID> B8CC69B</paraID>
      <start>50</start>
      <end>51</end>
      <status>unmodified</status>
      <modifiedWord/>
      <trackRevisions>false</trackRevisions>
    </reviewItem>
    <reviewItem>
      <errorID>25e92f25-7a4c-4963-9b35-aba23f113f21</errorID>
      <errorWord>员</errorWord>
      <group>L1_Word</group>
      <groupName>字词问题</groupName>
      <ability>L2_Typo</ability>
      <abilityName>字词错误</abilityName>
      <candidateList>
        <item>员在</item>
      </candidateList>
      <explain/>
      <paraID> B8CC69B</paraID>
      <start>71</start>
      <end>72</end>
      <status>unmodified</status>
      <modifiedWord/>
      <trackRevisions>false</trackRevisions>
    </reviewItem>
    <reviewItem>
      <errorID>cf0bbedf-d348-4637-a425-079ddd112fc8</errorID>
      <errorWord>社会力量援助</errorWord>
      <group>L1_Political</group>
      <groupName>政治性问题</groupName>
      <ability>L2_Keyword</ability>
      <abilityName>固定表述</abilityName>
      <candidateList>
        <item>社会力量帮扶</item>
      </candidateList>
      <explain>词汇“社会力量帮扶”在特定场景下为固定表述形式，请确认此处的“社会力量援助”是否存在不当。</explain>
      <paraID>22703DEC</paraID>
      <start>132</start>
      <end>138</end>
      <status>unmodified</status>
      <modifiedWord/>
      <trackRevisions>false</trackRevisions>
    </reviewItem>
    <reviewItem>
      <errorID>29360669-843e-43c8-88c3-9a0b4204ceef</errorID>
      <errorWord>最小程度</errorWord>
      <group>L1_Word</group>
      <groupName>字词问题</groupName>
      <ability>L2_Typo</ability>
      <abilityName>字词错误</abilityName>
      <candidateList>
        <item>最低程度</item>
      </candidateList>
      <explain/>
      <paraID> 9198376</paraID>
      <start>114</start>
      <end>118</end>
      <status>unmodified</status>
      <modifiedWord/>
      <trackRevisions>false</trackRevisions>
    </reviewItem>
    <reviewItem>
      <errorID>5479b72a-9281-4a41-bb1f-1c2da2e19b15</errorID>
      <errorWord>环保治理</errorWord>
      <group>L1_Word</group>
      <groupName>字词问题</groupName>
      <ability>L2_Typo</ability>
      <abilityName>字词错误</abilityName>
      <candidateList>
        <item>环境治理</item>
      </candidateList>
      <explain/>
      <paraID> 42CBCA1</paraID>
      <start>36</start>
      <end>40</end>
      <status>unmodified</status>
      <modifiedWord/>
      <trackRevisions>false</trackRevisions>
    </reviewItem>
    <reviewItem>
      <errorID>79ba1ab2-efd5-45da-8327-049e1aad7cec</errorID>
      <errorWord>既是</errorWord>
      <group>L1_Word</group>
      <groupName>字词问题</groupName>
      <ability>L2_Typo</ability>
      <abilityName>字词错误</abilityName>
      <candidateList>
        <item>既</item>
      </candidateList>
      <explain>❶〈副〉已经：～成事实｜～得利益｜～往不咎。❷〈连〉既然：～来之，则安之｜～要做，就一定要做好。❸〈书〉完了；尽：食～。❹〈副〉跟“且、又、也”等副词呼应，表示两种情况兼而有之：～高且大｜～聪明又用功｜～要有周密的计划，也要有切实的措施。</explain>
      <paraID>61850897</paraID>
      <start>95</start>
      <end>97</end>
      <status>unmodified</status>
      <modifiedWord/>
      <trackRevisions>false</trackRevisions>
    </reviewItem>
    <reviewItem>
      <errorID>fb74ebfe-3f4b-4b83-9aa8-2738a00a764d</errorID>
      <errorWord>及其</errorWord>
      <group>L1_Word</group>
      <groupName>字词问题</groupName>
      <ability>L2_Typo</ability>
      <abilityName>字词错误</abilityName>
      <candidateList>
        <item>极其</item>
      </candidateList>
      <explain>〈副〉非常；极端：～重视｜～光荣｜受到了～深刻的教育。</explain>
      <paraID>337C3796</paraID>
      <start>25</start>
      <end>27</end>
      <status>unmodified</status>
      <modifiedWord/>
      <trackRevisions>false</trackRevisions>
    </reviewItem>
    <reviewItem>
      <errorID>b4831837-9a80-4f41-aa32-5fd6cd709b9d</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337C3796</paraID>
      <start>48</start>
      <end>49</end>
      <status>unmodified</status>
      <modifiedWord/>
      <trackRevisions>false</trackRevisions>
    </reviewItem>
    <reviewItem>
      <errorID>e67d199e-db1c-4411-8644-8c90ebd21483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230E2EB4</paraID>
      <start>72</start>
      <end>73</end>
      <status>unmodified</status>
      <modifiedWord/>
      <trackRevisions>false</trackRevisions>
    </reviewItem>
    <reviewItem>
      <errorID>ac054c36-b634-4865-8d8e-92e5cb818a6b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6280B364</paraID>
      <start>53</start>
      <end>54</end>
      <status>unmodified</status>
      <modifiedWord/>
      <trackRevisions>false</trackRevisions>
    </reviewItem>
    <reviewItem>
      <errorID>b141bf3d-8af1-43fc-af27-df494a1d04fc</errorID>
      <errorWord>主要是</errorWord>
      <group>L1_Word</group>
      <groupName>字词问题</groupName>
      <ability>L2_Typo</ability>
      <abilityName>字词错误</abilityName>
      <candidateList>
        <item>主要</item>
      </candidateList>
      <explain>〈形〉属性词。有关事物中最重要的；起决定作用的：～原因｜～目的｜～人物。</explain>
      <paraID>774933A6</paraID>
      <start>6</start>
      <end>9</end>
      <status>unmodified</status>
      <modifiedWord/>
      <trackRevisions>false</trackRevisions>
    </reviewItem>
    <reviewItem>
      <errorID>316a0caf-8b01-4471-9837-b507315c67f8</errorID>
      <errorWord>法律、法规</errorWord>
      <group>L1_Word</group>
      <groupName>字词问题</groupName>
      <ability>L2_Typo</ability>
      <abilityName>字词错误</abilityName>
      <candidateList>
        <item>法律法规</item>
      </candidateList>
      <explain/>
      <paraID>6CCE9DEE</paraID>
      <start>15</start>
      <end>20</end>
      <status>unmodified</status>
      <modifiedWord/>
      <trackRevisions>false</trackRevisions>
    </reviewItem>
    <reviewItem>
      <errorID>dc4e9f40-f977-4783-85b0-64e9e80b5066</errorID>
      <errorWord>三</errorWord>
      <group>L1_Word</group>
      <groupName>字词问题</groupName>
      <ability>L2_Typo</ability>
      <abilityName>字词错误</abilityName>
      <candidateList>
        <item>三个</item>
      </candidateList>
      <explain/>
      <paraID>7267CC6A</paraID>
      <start>29</start>
      <end>30</end>
      <status>unmodified</status>
      <modifiedWord/>
      <trackRevisions>false</trackRevisions>
    </reviewItem>
    <reviewItem>
      <errorID>34e6bf90-e610-4426-8a41-da6b870c12a9</errorID>
      <errorWord>拟定</errorWord>
      <group>L1_Word</group>
      <groupName>字词问题</groupName>
      <ability>L2_Typo</ability>
      <abilityName>字词错误</abilityName>
      <candidateList>
        <item>制定</item>
      </candidateList>
      <explain>“拟定～办法”搭配不当，建议修改为“制定～办法”。</explain>
      <paraID> CE1BD54</paraID>
      <start>2</start>
      <end>4</end>
      <status>unmodified</status>
      <modifiedWord/>
      <trackRevisions>false</trackRevisions>
    </reviewItem>
    <reviewItem>
      <errorID>35a65188-3830-4a28-bf8e-5453b191d60a</errorID>
      <errorWord>深度开展</errorWord>
      <group>L1_Word</group>
      <groupName>字词问题</groupName>
      <ability>L2_Typo</ability>
      <abilityName>字词错误</abilityName>
      <candidateList>
        <item>深入开展</item>
      </candidateList>
      <explain>存在发音相近字词的误用。</explain>
      <paraID>4586CAF4</paraID>
      <start>52</start>
      <end>56</end>
      <status>unmodified</status>
      <modifiedWord/>
      <trackRevisions>false</trackRevisions>
    </reviewItem>
    <reviewItem>
      <errorID>709e37de-cd0c-47c0-a4f8-a102084adca0</errorID>
      <errorWord>国家生态环境部</errorWord>
      <group>L1_Political</group>
      <groupName>政治性问题</groupName>
      <ability>L2_Unpolitical</ability>
      <abilityName>政治敏感错误</abilityName>
      <candidateList>
        <item>生态环境部</item>
      </candidateList>
      <explain/>
      <paraID>493A7F3C</paraID>
      <start>114</start>
      <end>121</end>
      <status>unmodified</status>
      <modifiedWord/>
      <trackRevisions>false</trackRevisions>
    </reviewItem>
    <reviewItem>
      <errorID>7e63817e-facb-49ee-897d-a55c2dbe7354</errorID>
      <errorWord>，</errorWord>
      <group>L1_Word</group>
      <groupName>字词问题</groupName>
      <ability>L2_Typo</ability>
      <abilityName>字词错误</abilityName>
      <candidateList>
        <item>，并</item>
      </candidateList>
      <explain/>
      <paraID>40D55FF0</paraID>
      <start>71</start>
      <end>72</end>
      <status>unmodified</status>
      <modifiedWord/>
      <trackRevisions>false</trackRevisions>
    </reviewItem>
    <reviewItem>
      <errorID>e824267c-face-40d9-b6bb-5236a478bd6e</errorID>
      <errorWord>[2013]81号</errorWord>
      <group>L1_Knowledge</group>
      <groupName>知识性问题</groupName>
      <ability>L2_Knowledge</ability>
      <abilityName>其他知识</abilityName>
      <candidateList>
        <item>〔2013〕81号</item>
      </candidateList>
      <explain>发文字号格式错误</explain>
      <paraID>55194078</paraID>
      <start>76</start>
      <end>85</end>
      <status>unmodified</status>
      <modifiedWord/>
      <trackRevisions>false</trackRevisions>
    </reviewItem>
    <reviewItem>
      <errorID>c3407844-abc9-4941-ae72-4f8fb7e4a3d1</errorID>
      <errorWord>[2016]81号</errorWord>
      <group>L1_Knowledge</group>
      <groupName>知识性问题</groupName>
      <ability>L2_Knowledge</ability>
      <abilityName>其他知识</abilityName>
      <candidateList>
        <item>〔2016〕81号</item>
      </candidateList>
      <explain>发文字号格式错误</explain>
      <paraID>399F18F9</paraID>
      <start>91</start>
      <end>100</end>
      <status>unmodified</status>
      <modifiedWord/>
      <trackRevisions>false</trackRevisions>
    </reviewItem>
    <reviewItem>
      <errorID>91e7087b-6499-4cfa-ba96-a9a0b12b33a5</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6DB72C69</paraID>
      <start>58</start>
      <end>59</end>
      <status>unmodified</status>
      <modifiedWord/>
      <trackRevisions>false</trackRevisions>
    </reviewItem>
    <reviewItem>
      <errorID>0338ba63-6bce-4130-861a-de1ace8205f1</errorID>
      <errorWord>得</errorWord>
      <group>L1_Word</group>
      <groupName>字词问题</groupName>
      <ability>L2_DDD</ability>
      <abilityName>的地得用法</abilityName>
      <candidateList>
        <item>的</item>
      </candidateList>
      <explain>“的”常用于连接修饰语与名词性中心语，表示属性、所属或描述。</explain>
      <paraID>59C37DCC</paraID>
      <start>75</start>
      <end>76</end>
      <status>unmodified</status>
      <modifiedWord/>
      <trackRevisions>false</trackRevisions>
    </reviewItem>
    <reviewItem>
      <errorID>d2c51a3a-1d11-41e8-9a68-2dabb31a5a94</errorID>
      <errorWord>物</errorWord>
      <group>L1_Word</group>
      <groupName>字词问题</groupName>
      <ability>L2_Typo</ability>
      <abilityName>字词错误</abilityName>
      <candidateList>
        <item>物的</item>
      </candidateList>
      <explain/>
      <paraID>59C37DCC</paraID>
      <start>96</start>
      <end>97</end>
      <status>unmodified</status>
      <modifiedWord/>
      <trackRevisions>false</trackRevisions>
    </reviewItem>
    <reviewItem>
      <errorID>a680bf5c-9386-43d1-9b81-d629f34f9b6c</errorID>
      <errorWord>相应地</errorWord>
      <group>L1_Word</group>
      <groupName>字词问题</groupName>
      <ability>L2_Typo</ability>
      <abilityName>字词错误</abilityName>
      <candidateList>
        <item>相应</item>
      </candidateList>
      <explain>〈动〉互相呼应或照应；相适应：这篇文章前后不～｜环境改变了，工作方法也要～地改变。</explain>
      <paraID>4970DE50</paraID>
      <start>15</start>
      <end>18</end>
      <status>unmodified</status>
      <modifiedWord/>
      <trackRevisions>false</trackRevisions>
    </reviewItem>
    <reviewItem>
      <errorID>d13392a1-a832-47ef-92f4-d68ce0074759</errorID>
      <errorWord>；</errorWord>
      <group>L1_Word</group>
      <groupName>字词问题</groupName>
      <ability>L2_Typo</ability>
      <abilityName>字词错误</abilityName>
      <candidateList>
        <item>；在</item>
      </candidateList>
      <explain/>
      <paraID>621FDA76</paraID>
      <start>44</start>
      <end>45</end>
      <status>unmodified</status>
      <modifiedWord/>
      <trackRevisions>false</trackRevisions>
    </reviewItem>
    <reviewItem>
      <errorID>de855c14-03e3-4256-a29e-27b84eda4cfc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440FAEF1</paraID>
      <start>57</start>
      <end>58</end>
      <status>unmodified</status>
      <modifiedWord/>
      <trackRevisions>false</trackRevisions>
    </reviewItem>
    <reviewItem>
      <errorID>fe92f81f-2673-456b-bf85-716d2af2177c</errorID>
      <errorWord>防振</errorWord>
      <group>L1_Word</group>
      <groupName>字词问题</groupName>
      <ability>L2_Typo</ability>
      <abilityName>字词错误</abilityName>
      <candidateList>
        <item>防震</item>
      </candidateList>
      <explain>〈动〉❶采取一定的措施或安装某种装置，使建筑物、机器、仪表等减少震动或免受震动：～手表。❷防备地震：～棚。</explain>
      <paraID>64C3A492</paraID>
      <start>45</start>
      <end>47</end>
      <status>unmodified</status>
      <modifiedWord/>
      <trackRevisions>false</trackRevisions>
    </reviewItem>
    <reviewItem>
      <errorID>aa911ed9-48c8-4785-a6a1-e9b23a12572f</errorID>
      <errorWord>的高</errorWord>
      <group>L1_Word</group>
      <groupName>字词问题</groupName>
      <ability>L2_Typo</ability>
      <abilityName>字词错误</abilityName>
      <candidateList>
        <item>的</item>
      </candidateList>
      <explain>置于形容词、名词后，用于修饰事物的形态。</explain>
      <paraID>23CB6B1B</paraID>
      <start>38</start>
      <end>40</end>
      <status>unmodified</status>
      <modifiedWord/>
      <trackRevisions>false</trackRevisions>
    </reviewItem>
    <reviewItem>
      <errorID>fda05c49-8260-4f56-ac43-9637aa5c5593</errorID>
      <errorWord>环保治理</errorWord>
      <group>L1_Word</group>
      <groupName>字词问题</groupName>
      <ability>L2_Typo</ability>
      <abilityName>字词错误</abilityName>
      <candidateList>
        <item>环境治理</item>
      </candidateList>
      <explain/>
      <paraID>2542D58D</paraID>
      <start>159</start>
      <end>163</end>
      <status>unmodified</status>
      <modifiedWord/>
      <trackRevisions>false</trackRevisions>
    </reviewItem>
    <reviewItem>
      <errorID>d11f36c5-4c43-480f-9c97-a425ecf66143</errorID>
      <errorWord>~</errorWord>
      <group>L1_Format</group>
      <groupName>格式问题</groupName>
      <ability>L2_HalfPunc</ability>
      <abilityName>全半角检查</abilityName>
      <candidateList>
        <item>～</item>
      </candidateList>
      <explain>文本全半角错误。</explain>
      <paraID>1F4A2920</paraID>
      <start>3</start>
      <end>4</end>
      <status>unmodified</status>
      <modifiedWord/>
      <trackRevisions>false</trackRevisions>
    </reviewItem>
    <reviewItem>
      <errorID>639a1691-b79a-4b25-9024-fc253d297e1d</errorID>
      <errorWord>~</errorWord>
      <group>L1_Format</group>
      <groupName>格式问题</groupName>
      <ability>L2_HalfPunc</ability>
      <abilityName>全半角检查</abilityName>
      <candidateList>
        <item>～</item>
      </candidateList>
      <explain>文本全半角错误。</explain>
      <paraID>46E5C737</paraID>
      <start>3</start>
      <end>4</end>
      <status>unmodified</status>
      <modifiedWord/>
      <trackRevisions>false</trackRevisions>
    </reviewItem>
    <reviewItem>
      <errorID>0520358a-2163-4133-b551-2c5dce3a621d</errorID>
      <errorWord>~</errorWord>
      <group>L1_Format</group>
      <groupName>格式问题</groupName>
      <ability>L2_HalfPunc</ability>
      <abilityName>全半角检查</abilityName>
      <candidateList>
        <item>～</item>
      </candidateList>
      <explain>文本全半角错误。</explain>
      <paraID>427E430A</paraID>
      <start>3</start>
      <end>4</end>
      <status>unmodified</status>
      <modifiedWord/>
      <trackRevisions>false</trackRevisions>
    </reviewItem>
    <reviewItem>
      <errorID>97a01697-2c4e-4883-a9ab-8f8352d9fcf6</errorID>
      <errorWord>：（）</errorWord>
      <group>L1_Format</group>
      <groupName>格式问题</groupName>
      <ability>L2_HalfPunc</ability>
      <abilityName>全半角检查</abilityName>
      <candidateList>
        <item>:()</item>
      </candidateList>
      <explain>文本全半角错误。</explain>
      <paraID>77C53916</paraID>
      <start>3</start>
      <end>6</end>
      <status>unmodified</status>
      <modifiedWord/>
      <trackRevisions>false</trackRevisions>
    </reviewItem>
    <reviewItem>
      <errorID>fa132db0-c66a-4bd3-8b8d-29c3450e6c0c</errorID>
      <errorWord>：（</errorWord>
      <group>L1_Format</group>
      <groupName>格式问题</groupName>
      <ability>L2_HalfPunc</ability>
      <abilityName>全半角检查</abilityName>
      <candidateList>
        <item>:(</item>
      </candidateList>
      <explain>文本全半角错误。</explain>
      <paraID>7EA3B8F0</paraID>
      <start>3</start>
      <end>5</end>
      <status>unmodified</status>
      <modifiedWord/>
      <trackRevisions>false</trackRevisions>
    </reviewItem>
    <reviewItem>
      <errorID>ee2389b8-a808-4017-be76-5ff257681a0a</errorID>
      <errorWord>）</errorWord>
      <group>L1_Format</group>
      <groupName>格式问题</groupName>
      <ability>L2_HalfPunc</ability>
      <abilityName>全半角检查</abilityName>
      <candidateList>
        <item>)</item>
      </candidateList>
      <explain>文本全半角错误。</explain>
      <paraID>7EA3B8F0</paraID>
      <start>9</start>
      <end>10</end>
      <status>unmodified</status>
      <modifiedWord/>
      <trackRevisions>false</trackRevisions>
    </reviewItem>
    <reviewItem>
      <errorID>d83ef9e5-02b0-48c4-8a98-891c35a6a8ce</errorID>
      <errorWord>：（</errorWord>
      <group>L1_Format</group>
      <groupName>格式问题</groupName>
      <ability>L2_HalfPunc</ability>
      <abilityName>全半角检查</abilityName>
      <candidateList>
        <item>:(</item>
      </candidateList>
      <explain>文本全半角错误。</explain>
      <paraID>45ED0199</paraID>
      <start>4</start>
      <end>6</end>
      <status>unmodified</status>
      <modifiedWord/>
      <trackRevisions>false</trackRevisions>
    </reviewItem>
    <reviewItem>
      <errorID>472601a3-db32-4168-a23f-516306968d03</errorID>
      <errorWord>）</errorWord>
      <group>L1_Format</group>
      <groupName>格式问题</groupName>
      <ability>L2_HalfPunc</ability>
      <abilityName>全半角检查</abilityName>
      <candidateList>
        <item>)</item>
      </candidateList>
      <explain>文本全半角错误。</explain>
      <paraID>45ED0199</paraID>
      <start>10</start>
      <end>11</end>
      <status>unmodified</status>
      <modifiedWord/>
      <trackRevisions>false</trackRevisions>
    </reviewItem>
    <reviewItem>
      <errorID>decd95e8-e019-490f-a0d4-44e7b935e7ef</errorID>
      <errorWord>珍惜</errorWord>
      <group>L1_Word</group>
      <groupName>字词问题</groupName>
      <ability>L2_Typo</ability>
      <abilityName>字词错误</abilityName>
      <candidateList>
        <item>珍稀</item>
      </candidateList>
      <explain>〈形〉珍贵而稀有：大熊猫、金丝猴、野牦牛是我国的～动物。</explain>
      <paraID>73F59536</paraID>
      <start>5</start>
      <end>7</end>
      <status>modified</status>
      <modifiedWord>珍稀</modifiedWord>
      <trackRevisions>false</trackRevisions>
    </reviewItem>
    <reviewItem>
      <errorID>e849265e-8f42-40bc-b920-7da9c42a193e</errorID>
      <errorWord>年</errorWord>
      <group>L1_Word</group>
      <groupName>字词问题</groupName>
      <ability>L2_Typo</ability>
      <abilityName>字词错误</abilityName>
      <candidateList>
        <item>年度</item>
      </candidateList>
      <explain/>
      <paraID>4CD0DD75</paraID>
      <start>2</start>
      <end>3</end>
      <status>unmodified</status>
      <modifiedWord/>
      <trackRevisions>false</trackRevisions>
    </reviewItem>
    <reviewItem>
      <errorID>a80d88af-cbff-4af8-8c44-bc83483d5a36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36CB63C0</paraID>
      <start>0</start>
      <end>2</end>
      <status>unmodified</status>
      <modifiedWord/>
      <trackRevisions>false</trackRevisions>
    </reviewItem>
    <reviewItem>
      <errorID>d8dfcb88-1cb3-4772-af9f-da4e16eb69df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272B0C42</paraID>
      <start>0</start>
      <end>2</end>
      <status>unmodified</status>
      <modifiedWord/>
      <trackRevisions>false</trackRevisions>
    </reviewItem>
    <reviewItem>
      <errorID>cbc041b3-a7bb-4c2b-abe1-103c0a35a094</errorID>
      <errorWord>，</errorWord>
      <group>L1_Word</group>
      <groupName>字词问题</groupName>
      <ability>L2_Typo</ability>
      <abilityName>字词错误</abilityName>
      <candidateList>
        <item>，在</item>
      </candidateList>
      <explain/>
      <paraID>272B0C42</paraID>
      <start>39</start>
      <end>40</end>
      <status>unmodified</status>
      <modifiedWord/>
      <trackRevisions>false</trackRevisions>
    </reviewItem>
    <reviewItem>
      <errorID>f4ee5298-7b66-4a49-8b8e-08d893f42549</errorID>
      <errorWord>环境影响评级</errorWord>
      <group>L1_Knowledge</group>
      <groupName>知识性问题</groupName>
      <ability>L2_Term</ability>
      <abilityName>专业术语</abilityName>
      <candidateList>
        <item>环境影响评价</item>
      </candidateList>
      <explain/>
      <paraID>3242C8B9</paraID>
      <start>11</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bdc22-4a53-4089-9857-2ce1a1efea98}">
  <ds:schemaRefs/>
</ds:datastoreItem>
</file>

<file path=docProps/app.xml><?xml version="1.0" encoding="utf-8"?>
<Properties xmlns="http://schemas.openxmlformats.org/officeDocument/2006/extended-properties" xmlns:vt="http://schemas.openxmlformats.org/officeDocument/2006/docPropsVTypes">
  <Template>Building Blocks</Template>
  <Company>China</Company>
  <Pages>147</Pages>
  <Words>3418</Words>
  <Characters>3717</Characters>
  <Lines>1184</Lines>
  <Paragraphs>333</Paragraphs>
  <TotalTime>16</TotalTime>
  <ScaleCrop>false</ScaleCrop>
  <LinksUpToDate>false</LinksUpToDate>
  <CharactersWithSpaces>3867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2019-12-26T05:43:00Z</dcterms:created>
  <dc:creator>Administrator</dc:creator>
  <cp:lastModifiedBy>啤酒奶盖</cp:lastModifiedBy>
  <cp:lastPrinted>2020-03-19T08:55:00Z</cp:lastPrinted>
  <dcterms:modified xsi:type="dcterms:W3CDTF">2026-03-26T06:55:05Z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6F67A354ADA44849840B154C948CE28B_13</vt:lpwstr>
  </property>
  <property fmtid="{D5CDD505-2E9C-101B-9397-08002B2CF9AE}" pid="4" name="KSOTemplateDocerSaveRecord">
    <vt:lpwstr>eyJoZGlkIjoiMjU0NWY0NzU5MDEzYzllZTVmODhmMDJlNjY2YmFhMjkiLCJ1c2VySWQiOiIxNDMxMTE1ODU1In0=</vt:lpwstr>
  </property>
</Properties>
</file>